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B" w:rsidRDefault="005C20FB">
      <w:pPr>
        <w:rPr>
          <w:rFonts w:ascii="Arial" w:hAnsi="Arial" w:cs="Arial"/>
          <w:b/>
          <w:sz w:val="28"/>
          <w:szCs w:val="28"/>
        </w:rPr>
      </w:pPr>
      <w:r w:rsidRPr="005C20FB">
        <w:rPr>
          <w:rFonts w:ascii="Arial" w:hAnsi="Arial" w:cs="Arial"/>
          <w:b/>
          <w:sz w:val="28"/>
          <w:szCs w:val="28"/>
        </w:rPr>
        <w:t xml:space="preserve">SD5: Explanation of the difference in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5C20FB">
        <w:rPr>
          <w:rFonts w:ascii="Arial" w:hAnsi="Arial" w:cs="Arial"/>
          <w:b/>
          <w:sz w:val="28"/>
          <w:szCs w:val="28"/>
        </w:rPr>
        <w:t xml:space="preserve">profit </w:t>
      </w:r>
      <w:r>
        <w:rPr>
          <w:rFonts w:ascii="Arial" w:hAnsi="Arial" w:cs="Arial"/>
          <w:b/>
          <w:sz w:val="28"/>
          <w:szCs w:val="28"/>
        </w:rPr>
        <w:t>of</w:t>
      </w:r>
      <w:r w:rsidRPr="005C20FB">
        <w:rPr>
          <w:rFonts w:ascii="Arial" w:hAnsi="Arial" w:cs="Arial"/>
          <w:b/>
          <w:sz w:val="28"/>
          <w:szCs w:val="28"/>
        </w:rPr>
        <w:t xml:space="preserve"> Quarter 3/2012 and Quarter 3/2011</w:t>
      </w:r>
    </w:p>
    <w:p w:rsidR="005C20FB" w:rsidRDefault="005C2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Song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No.5 JSC announces the explanation of the 10% difference in the profit of Quarter 3/2012 and Quarter 3/2011 as below: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20FB" w:rsidTr="005C20FB">
        <w:tc>
          <w:tcPr>
            <w:tcW w:w="2394" w:type="dxa"/>
          </w:tcPr>
          <w:p w:rsidR="005C20FB" w:rsidRPr="005C20FB" w:rsidRDefault="005C20FB" w:rsidP="005C20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0FB">
              <w:rPr>
                <w:rFonts w:ascii="Arial" w:hAnsi="Arial" w:cs="Arial"/>
                <w:b/>
                <w:sz w:val="24"/>
                <w:szCs w:val="24"/>
              </w:rPr>
              <w:t>Profit</w:t>
            </w:r>
          </w:p>
        </w:tc>
        <w:tc>
          <w:tcPr>
            <w:tcW w:w="2394" w:type="dxa"/>
          </w:tcPr>
          <w:p w:rsidR="005C20FB" w:rsidRPr="005C20FB" w:rsidRDefault="005C20FB" w:rsidP="005C20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0FB"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2394" w:type="dxa"/>
          </w:tcPr>
          <w:p w:rsidR="005C20FB" w:rsidRPr="005C20FB" w:rsidRDefault="005C20FB" w:rsidP="005C20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0FB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5C20FB" w:rsidRPr="005C20FB" w:rsidRDefault="005C20FB" w:rsidP="005C20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0FB">
              <w:rPr>
                <w:rFonts w:ascii="Arial" w:hAnsi="Arial" w:cs="Arial"/>
                <w:b/>
                <w:sz w:val="24"/>
                <w:szCs w:val="24"/>
              </w:rPr>
              <w:t>% increase</w:t>
            </w:r>
          </w:p>
        </w:tc>
      </w:tr>
      <w:tr w:rsidR="005C20FB" w:rsidTr="005C20FB">
        <w:tc>
          <w:tcPr>
            <w:tcW w:w="2394" w:type="dxa"/>
          </w:tcPr>
          <w:p w:rsidR="005C20FB" w:rsidRPr="005C20FB" w:rsidRDefault="005C20FB" w:rsidP="005C20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0FB">
              <w:rPr>
                <w:rFonts w:ascii="Arial" w:hAnsi="Arial" w:cs="Arial"/>
                <w:b/>
                <w:sz w:val="24"/>
                <w:szCs w:val="24"/>
              </w:rPr>
              <w:t>Profit Quarter 3</w:t>
            </w:r>
            <w:r w:rsidR="00E774E1">
              <w:rPr>
                <w:rFonts w:ascii="Arial" w:hAnsi="Arial" w:cs="Arial"/>
                <w:b/>
                <w:sz w:val="24"/>
                <w:szCs w:val="24"/>
              </w:rPr>
              <w:t>(mil VND)</w:t>
            </w:r>
          </w:p>
        </w:tc>
        <w:tc>
          <w:tcPr>
            <w:tcW w:w="2394" w:type="dxa"/>
          </w:tcPr>
          <w:p w:rsidR="005C20FB" w:rsidRDefault="005C20FB" w:rsidP="005C2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7,709</w:t>
            </w:r>
          </w:p>
        </w:tc>
        <w:tc>
          <w:tcPr>
            <w:tcW w:w="2394" w:type="dxa"/>
          </w:tcPr>
          <w:p w:rsidR="005C20FB" w:rsidRDefault="005C20FB" w:rsidP="005C2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15,951</w:t>
            </w:r>
          </w:p>
        </w:tc>
        <w:tc>
          <w:tcPr>
            <w:tcW w:w="2394" w:type="dxa"/>
          </w:tcPr>
          <w:p w:rsidR="005C20FB" w:rsidRDefault="005C20FB" w:rsidP="005C2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107%</w:t>
            </w:r>
          </w:p>
        </w:tc>
      </w:tr>
    </w:tbl>
    <w:p w:rsidR="005C20FB" w:rsidRPr="005C20FB" w:rsidRDefault="005C2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75E2" w:rsidRDefault="00E77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Quarter 3/2012, the Company focus on recalling capital at the priority constructions such as Lai </w:t>
      </w:r>
      <w:proofErr w:type="spellStart"/>
      <w:r>
        <w:rPr>
          <w:rFonts w:ascii="Arial" w:hAnsi="Arial" w:cs="Arial"/>
          <w:sz w:val="24"/>
          <w:szCs w:val="24"/>
        </w:rPr>
        <w:t>Chau</w:t>
      </w:r>
      <w:proofErr w:type="spellEnd"/>
      <w:r>
        <w:rPr>
          <w:rFonts w:ascii="Arial" w:hAnsi="Arial" w:cs="Arial"/>
          <w:sz w:val="24"/>
          <w:szCs w:val="24"/>
        </w:rPr>
        <w:t xml:space="preserve"> and others. During the production, the Company had the suitable solution, good corporate governance so the expenses were saved and the price of products decreased. </w:t>
      </w:r>
    </w:p>
    <w:p w:rsidR="00E774E1" w:rsidRPr="005C20FB" w:rsidRDefault="00E774E1">
      <w:pPr>
        <w:rPr>
          <w:rFonts w:ascii="Arial" w:hAnsi="Arial" w:cs="Arial"/>
          <w:sz w:val="24"/>
          <w:szCs w:val="24"/>
        </w:rPr>
      </w:pPr>
    </w:p>
    <w:sectPr w:rsidR="00E774E1" w:rsidRPr="005C20FB" w:rsidSect="00C5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C20FB"/>
    <w:rsid w:val="005C20FB"/>
    <w:rsid w:val="009B656E"/>
    <w:rsid w:val="009D5138"/>
    <w:rsid w:val="00C54547"/>
    <w:rsid w:val="00E7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trangpt</dc:creator>
  <cp:keywords/>
  <dc:description/>
  <cp:lastModifiedBy>trangpt</cp:lastModifiedBy>
  <cp:revision>1</cp:revision>
  <dcterms:created xsi:type="dcterms:W3CDTF">2012-10-24T07:22:00Z</dcterms:created>
  <dcterms:modified xsi:type="dcterms:W3CDTF">2012-10-24T07:40:00Z</dcterms:modified>
</cp:coreProperties>
</file>