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E2" w:rsidRPr="00774242" w:rsidRDefault="00774242">
      <w:pPr>
        <w:rPr>
          <w:rFonts w:ascii="Arial" w:hAnsi="Arial" w:cs="Arial"/>
          <w:b/>
          <w:sz w:val="28"/>
          <w:szCs w:val="28"/>
        </w:rPr>
      </w:pPr>
      <w:r>
        <w:rPr>
          <w:rFonts w:ascii="Arial" w:hAnsi="Arial" w:cs="Arial"/>
          <w:b/>
          <w:sz w:val="28"/>
          <w:szCs w:val="28"/>
        </w:rPr>
        <w:t>SDP: R</w:t>
      </w:r>
      <w:r w:rsidRPr="00774242">
        <w:rPr>
          <w:rFonts w:ascii="Arial" w:hAnsi="Arial" w:cs="Arial"/>
          <w:b/>
          <w:sz w:val="28"/>
          <w:szCs w:val="28"/>
        </w:rPr>
        <w:t>esolution of</w:t>
      </w:r>
      <w:r>
        <w:rPr>
          <w:rFonts w:ascii="Arial" w:hAnsi="Arial" w:cs="Arial"/>
          <w:b/>
          <w:sz w:val="28"/>
          <w:szCs w:val="28"/>
        </w:rPr>
        <w:t xml:space="preserve"> Extraordinary</w:t>
      </w:r>
      <w:r w:rsidRPr="00774242">
        <w:rPr>
          <w:rFonts w:ascii="Arial" w:hAnsi="Arial" w:cs="Arial"/>
          <w:b/>
          <w:sz w:val="28"/>
          <w:szCs w:val="28"/>
        </w:rPr>
        <w:t xml:space="preserve"> General Shareholder Meeting 2012</w:t>
      </w:r>
    </w:p>
    <w:p w:rsidR="00774242" w:rsidRDefault="00774242">
      <w:pPr>
        <w:rPr>
          <w:rFonts w:ascii="Arial" w:hAnsi="Arial" w:cs="Arial"/>
          <w:sz w:val="24"/>
          <w:szCs w:val="24"/>
        </w:rPr>
      </w:pPr>
      <w:r>
        <w:rPr>
          <w:rFonts w:ascii="Arial" w:hAnsi="Arial" w:cs="Arial"/>
          <w:sz w:val="24"/>
          <w:szCs w:val="24"/>
        </w:rPr>
        <w:t xml:space="preserve">On 18/10/2012, Petro Song </w:t>
      </w:r>
      <w:proofErr w:type="spellStart"/>
      <w:r>
        <w:rPr>
          <w:rFonts w:ascii="Arial" w:hAnsi="Arial" w:cs="Arial"/>
          <w:sz w:val="24"/>
          <w:szCs w:val="24"/>
        </w:rPr>
        <w:t>Da</w:t>
      </w:r>
      <w:proofErr w:type="spellEnd"/>
      <w:r>
        <w:rPr>
          <w:rFonts w:ascii="Arial" w:hAnsi="Arial" w:cs="Arial"/>
          <w:sz w:val="24"/>
          <w:szCs w:val="24"/>
        </w:rPr>
        <w:t xml:space="preserve"> Trading and Investment JSC announces the resolution of the extraordinary General Shareholder Meeting 2012 as below: </w:t>
      </w:r>
    </w:p>
    <w:p w:rsidR="00774242" w:rsidRPr="00774242" w:rsidRDefault="00774242">
      <w:pPr>
        <w:rPr>
          <w:rFonts w:ascii="Arial" w:hAnsi="Arial" w:cs="Arial"/>
          <w:sz w:val="24"/>
          <w:szCs w:val="24"/>
        </w:rPr>
      </w:pPr>
      <w:r>
        <w:rPr>
          <w:rFonts w:ascii="Arial" w:hAnsi="Arial" w:cs="Arial"/>
          <w:sz w:val="24"/>
          <w:szCs w:val="24"/>
        </w:rPr>
        <w:t xml:space="preserve"> </w:t>
      </w:r>
      <w:r w:rsidR="00444B4B">
        <w:rPr>
          <w:rFonts w:ascii="Arial" w:hAnsi="Arial" w:cs="Arial"/>
          <w:sz w:val="24"/>
          <w:szCs w:val="24"/>
        </w:rPr>
        <w:t>1, Approval of adjustment of production business plan 2012:</w:t>
      </w:r>
    </w:p>
    <w:tbl>
      <w:tblPr>
        <w:tblStyle w:val="TableGrid"/>
        <w:tblW w:w="0" w:type="auto"/>
        <w:tblLook w:val="04A0"/>
      </w:tblPr>
      <w:tblGrid>
        <w:gridCol w:w="648"/>
        <w:gridCol w:w="2544"/>
        <w:gridCol w:w="1596"/>
        <w:gridCol w:w="1596"/>
        <w:gridCol w:w="1596"/>
        <w:gridCol w:w="1596"/>
      </w:tblGrid>
      <w:tr w:rsidR="00774242" w:rsidTr="00774242">
        <w:tc>
          <w:tcPr>
            <w:tcW w:w="648" w:type="dxa"/>
          </w:tcPr>
          <w:p w:rsidR="00774242" w:rsidRDefault="00774242">
            <w:pPr>
              <w:rPr>
                <w:rFonts w:ascii="Arial" w:hAnsi="Arial" w:cs="Arial"/>
                <w:sz w:val="24"/>
                <w:szCs w:val="24"/>
              </w:rPr>
            </w:pPr>
            <w:r>
              <w:rPr>
                <w:rFonts w:ascii="Arial" w:hAnsi="Arial" w:cs="Arial"/>
                <w:sz w:val="24"/>
                <w:szCs w:val="24"/>
              </w:rPr>
              <w:t>No.</w:t>
            </w:r>
          </w:p>
        </w:tc>
        <w:tc>
          <w:tcPr>
            <w:tcW w:w="2544" w:type="dxa"/>
          </w:tcPr>
          <w:p w:rsidR="00774242" w:rsidRDefault="00774242">
            <w:pPr>
              <w:rPr>
                <w:rFonts w:ascii="Arial" w:hAnsi="Arial" w:cs="Arial"/>
                <w:sz w:val="24"/>
                <w:szCs w:val="24"/>
              </w:rPr>
            </w:pPr>
            <w:r>
              <w:rPr>
                <w:rFonts w:ascii="Arial" w:hAnsi="Arial" w:cs="Arial"/>
                <w:sz w:val="24"/>
                <w:szCs w:val="24"/>
              </w:rPr>
              <w:t>Content</w:t>
            </w:r>
          </w:p>
        </w:tc>
        <w:tc>
          <w:tcPr>
            <w:tcW w:w="1596" w:type="dxa"/>
          </w:tcPr>
          <w:p w:rsidR="00774242" w:rsidRDefault="00774242">
            <w:pPr>
              <w:rPr>
                <w:rFonts w:ascii="Arial" w:hAnsi="Arial" w:cs="Arial"/>
                <w:sz w:val="24"/>
                <w:szCs w:val="24"/>
              </w:rPr>
            </w:pPr>
            <w:r>
              <w:rPr>
                <w:rFonts w:ascii="Arial" w:hAnsi="Arial" w:cs="Arial"/>
                <w:sz w:val="24"/>
                <w:szCs w:val="24"/>
              </w:rPr>
              <w:t>Unit</w:t>
            </w:r>
          </w:p>
        </w:tc>
        <w:tc>
          <w:tcPr>
            <w:tcW w:w="1596" w:type="dxa"/>
          </w:tcPr>
          <w:p w:rsidR="00774242" w:rsidRDefault="00774242">
            <w:pPr>
              <w:rPr>
                <w:rFonts w:ascii="Arial" w:hAnsi="Arial" w:cs="Arial"/>
                <w:sz w:val="24"/>
                <w:szCs w:val="24"/>
              </w:rPr>
            </w:pPr>
            <w:r>
              <w:rPr>
                <w:rFonts w:ascii="Arial" w:hAnsi="Arial" w:cs="Arial"/>
                <w:sz w:val="24"/>
                <w:szCs w:val="24"/>
              </w:rPr>
              <w:t>Approved Plan 2012</w:t>
            </w:r>
          </w:p>
        </w:tc>
        <w:tc>
          <w:tcPr>
            <w:tcW w:w="1596" w:type="dxa"/>
          </w:tcPr>
          <w:p w:rsidR="00774242" w:rsidRDefault="00444B4B">
            <w:pPr>
              <w:rPr>
                <w:rFonts w:ascii="Arial" w:hAnsi="Arial" w:cs="Arial"/>
                <w:sz w:val="24"/>
                <w:szCs w:val="24"/>
              </w:rPr>
            </w:pPr>
            <w:r>
              <w:rPr>
                <w:rFonts w:ascii="Arial" w:hAnsi="Arial" w:cs="Arial"/>
                <w:sz w:val="24"/>
                <w:szCs w:val="24"/>
              </w:rPr>
              <w:t>Plan waiting for being adjusted</w:t>
            </w:r>
            <w:r w:rsidR="00774242">
              <w:rPr>
                <w:rFonts w:ascii="Arial" w:hAnsi="Arial" w:cs="Arial"/>
                <w:sz w:val="24"/>
                <w:szCs w:val="24"/>
              </w:rPr>
              <w:t xml:space="preserve"> 2012</w:t>
            </w:r>
          </w:p>
        </w:tc>
        <w:tc>
          <w:tcPr>
            <w:tcW w:w="1596" w:type="dxa"/>
          </w:tcPr>
          <w:p w:rsidR="00774242" w:rsidRDefault="00444B4B">
            <w:pPr>
              <w:rPr>
                <w:rFonts w:ascii="Arial" w:hAnsi="Arial" w:cs="Arial"/>
                <w:sz w:val="24"/>
                <w:szCs w:val="24"/>
              </w:rPr>
            </w:pPr>
            <w:r>
              <w:rPr>
                <w:rFonts w:ascii="Arial" w:hAnsi="Arial" w:cs="Arial"/>
                <w:sz w:val="24"/>
                <w:szCs w:val="24"/>
              </w:rPr>
              <w:t>Increase (decrease) %</w:t>
            </w:r>
          </w:p>
        </w:tc>
      </w:tr>
      <w:tr w:rsidR="00774242" w:rsidTr="00774242">
        <w:tc>
          <w:tcPr>
            <w:tcW w:w="648" w:type="dxa"/>
          </w:tcPr>
          <w:p w:rsidR="00774242" w:rsidRDefault="00774242">
            <w:pPr>
              <w:rPr>
                <w:rFonts w:ascii="Arial" w:hAnsi="Arial" w:cs="Arial"/>
                <w:sz w:val="24"/>
                <w:szCs w:val="24"/>
              </w:rPr>
            </w:pPr>
            <w:r>
              <w:rPr>
                <w:rFonts w:ascii="Arial" w:hAnsi="Arial" w:cs="Arial"/>
                <w:sz w:val="24"/>
                <w:szCs w:val="24"/>
              </w:rPr>
              <w:t>1</w:t>
            </w:r>
          </w:p>
        </w:tc>
        <w:tc>
          <w:tcPr>
            <w:tcW w:w="2544" w:type="dxa"/>
          </w:tcPr>
          <w:p w:rsidR="00774242" w:rsidRDefault="00444B4B">
            <w:pPr>
              <w:rPr>
                <w:rFonts w:ascii="Arial" w:hAnsi="Arial" w:cs="Arial"/>
                <w:sz w:val="24"/>
                <w:szCs w:val="24"/>
              </w:rPr>
            </w:pPr>
            <w:r>
              <w:rPr>
                <w:rFonts w:ascii="Arial" w:hAnsi="Arial" w:cs="Arial"/>
                <w:sz w:val="24"/>
                <w:szCs w:val="24"/>
              </w:rPr>
              <w:t>Capacity Plan</w:t>
            </w:r>
          </w:p>
        </w:tc>
        <w:tc>
          <w:tcPr>
            <w:tcW w:w="1596" w:type="dxa"/>
          </w:tcPr>
          <w:p w:rsidR="00774242" w:rsidRDefault="00444B4B">
            <w:pPr>
              <w:rPr>
                <w:rFonts w:ascii="Arial" w:hAnsi="Arial" w:cs="Arial"/>
                <w:sz w:val="24"/>
                <w:szCs w:val="24"/>
              </w:rPr>
            </w:pPr>
            <w:r>
              <w:rPr>
                <w:rFonts w:ascii="Arial" w:hAnsi="Arial" w:cs="Arial"/>
                <w:sz w:val="24"/>
                <w:szCs w:val="24"/>
              </w:rPr>
              <w:t>VND 10,000,000</w:t>
            </w:r>
          </w:p>
        </w:tc>
        <w:tc>
          <w:tcPr>
            <w:tcW w:w="1596" w:type="dxa"/>
          </w:tcPr>
          <w:p w:rsidR="00774242" w:rsidRDefault="00444B4B">
            <w:pPr>
              <w:rPr>
                <w:rFonts w:ascii="Arial" w:hAnsi="Arial" w:cs="Arial"/>
                <w:sz w:val="24"/>
                <w:szCs w:val="24"/>
              </w:rPr>
            </w:pPr>
            <w:r>
              <w:rPr>
                <w:rFonts w:ascii="Arial" w:hAnsi="Arial" w:cs="Arial"/>
                <w:sz w:val="24"/>
                <w:szCs w:val="24"/>
              </w:rPr>
              <w:t>958,25</w:t>
            </w:r>
          </w:p>
        </w:tc>
        <w:tc>
          <w:tcPr>
            <w:tcW w:w="1596" w:type="dxa"/>
          </w:tcPr>
          <w:p w:rsidR="00774242" w:rsidRDefault="00444B4B">
            <w:pPr>
              <w:rPr>
                <w:rFonts w:ascii="Arial" w:hAnsi="Arial" w:cs="Arial"/>
                <w:sz w:val="24"/>
                <w:szCs w:val="24"/>
              </w:rPr>
            </w:pPr>
            <w:r w:rsidRPr="00AC20F6">
              <w:rPr>
                <w:rFonts w:ascii="Times New Roman" w:hAnsi="Times New Roman"/>
                <w:sz w:val="27"/>
                <w:szCs w:val="27"/>
                <w:lang w:val="nl-NL"/>
              </w:rPr>
              <w:t>958,25</w:t>
            </w:r>
          </w:p>
        </w:tc>
        <w:tc>
          <w:tcPr>
            <w:tcW w:w="1596" w:type="dxa"/>
          </w:tcPr>
          <w:p w:rsidR="00774242" w:rsidRDefault="00444B4B">
            <w:pPr>
              <w:rPr>
                <w:rFonts w:ascii="Arial" w:hAnsi="Arial" w:cs="Arial"/>
                <w:sz w:val="24"/>
                <w:szCs w:val="24"/>
              </w:rPr>
            </w:pPr>
            <w:r w:rsidRPr="00AC20F6">
              <w:rPr>
                <w:rFonts w:ascii="Times New Roman" w:hAnsi="Times New Roman"/>
                <w:sz w:val="27"/>
                <w:szCs w:val="27"/>
                <w:lang w:val="nl-NL"/>
              </w:rPr>
              <w:t>0,00%</w:t>
            </w:r>
          </w:p>
        </w:tc>
      </w:tr>
      <w:tr w:rsidR="00774242" w:rsidTr="00774242">
        <w:tc>
          <w:tcPr>
            <w:tcW w:w="648" w:type="dxa"/>
          </w:tcPr>
          <w:p w:rsidR="00774242" w:rsidRDefault="00774242">
            <w:pPr>
              <w:rPr>
                <w:rFonts w:ascii="Arial" w:hAnsi="Arial" w:cs="Arial"/>
                <w:sz w:val="24"/>
                <w:szCs w:val="24"/>
              </w:rPr>
            </w:pPr>
            <w:r>
              <w:rPr>
                <w:rFonts w:ascii="Arial" w:hAnsi="Arial" w:cs="Arial"/>
                <w:sz w:val="24"/>
                <w:szCs w:val="24"/>
              </w:rPr>
              <w:t>2</w:t>
            </w:r>
          </w:p>
        </w:tc>
        <w:tc>
          <w:tcPr>
            <w:tcW w:w="2544" w:type="dxa"/>
          </w:tcPr>
          <w:p w:rsidR="00774242" w:rsidRDefault="00444B4B">
            <w:pPr>
              <w:rPr>
                <w:rFonts w:ascii="Arial" w:hAnsi="Arial" w:cs="Arial"/>
                <w:sz w:val="24"/>
                <w:szCs w:val="24"/>
              </w:rPr>
            </w:pPr>
            <w:r>
              <w:rPr>
                <w:rFonts w:ascii="Arial" w:hAnsi="Arial" w:cs="Arial"/>
                <w:sz w:val="24"/>
                <w:szCs w:val="24"/>
              </w:rPr>
              <w:t>Revenue Plan</w:t>
            </w:r>
          </w:p>
        </w:tc>
        <w:tc>
          <w:tcPr>
            <w:tcW w:w="1596" w:type="dxa"/>
          </w:tcPr>
          <w:p w:rsidR="00774242" w:rsidRDefault="00444B4B">
            <w:pPr>
              <w:rPr>
                <w:rFonts w:ascii="Arial" w:hAnsi="Arial" w:cs="Arial"/>
                <w:sz w:val="24"/>
                <w:szCs w:val="24"/>
              </w:rPr>
            </w:pPr>
            <w:r>
              <w:rPr>
                <w:rFonts w:ascii="Arial" w:hAnsi="Arial" w:cs="Arial"/>
                <w:sz w:val="24"/>
                <w:szCs w:val="24"/>
              </w:rPr>
              <w:t>VND 10,000,000</w:t>
            </w:r>
          </w:p>
        </w:tc>
        <w:tc>
          <w:tcPr>
            <w:tcW w:w="1596" w:type="dxa"/>
          </w:tcPr>
          <w:p w:rsidR="00774242" w:rsidRDefault="00444B4B">
            <w:pPr>
              <w:rPr>
                <w:rFonts w:ascii="Arial" w:hAnsi="Arial" w:cs="Arial"/>
                <w:sz w:val="24"/>
                <w:szCs w:val="24"/>
              </w:rPr>
            </w:pPr>
            <w:r w:rsidRPr="00AC20F6">
              <w:rPr>
                <w:rFonts w:ascii="Times New Roman" w:hAnsi="Times New Roman"/>
                <w:sz w:val="27"/>
                <w:szCs w:val="27"/>
                <w:lang w:val="nl-NL"/>
              </w:rPr>
              <w:t>785,21</w:t>
            </w:r>
          </w:p>
        </w:tc>
        <w:tc>
          <w:tcPr>
            <w:tcW w:w="1596" w:type="dxa"/>
          </w:tcPr>
          <w:p w:rsidR="00774242" w:rsidRDefault="00444B4B">
            <w:pPr>
              <w:rPr>
                <w:rFonts w:ascii="Arial" w:hAnsi="Arial" w:cs="Arial"/>
                <w:sz w:val="24"/>
                <w:szCs w:val="24"/>
              </w:rPr>
            </w:pPr>
            <w:r w:rsidRPr="00AC20F6">
              <w:rPr>
                <w:rFonts w:ascii="Times New Roman" w:hAnsi="Times New Roman"/>
                <w:sz w:val="27"/>
                <w:szCs w:val="27"/>
                <w:lang w:val="nl-NL"/>
              </w:rPr>
              <w:t>785,21</w:t>
            </w:r>
          </w:p>
        </w:tc>
        <w:tc>
          <w:tcPr>
            <w:tcW w:w="1596" w:type="dxa"/>
          </w:tcPr>
          <w:p w:rsidR="00774242" w:rsidRDefault="00444B4B">
            <w:pPr>
              <w:rPr>
                <w:rFonts w:ascii="Arial" w:hAnsi="Arial" w:cs="Arial"/>
                <w:sz w:val="24"/>
                <w:szCs w:val="24"/>
              </w:rPr>
            </w:pPr>
            <w:r w:rsidRPr="00AC20F6">
              <w:rPr>
                <w:rFonts w:ascii="Times New Roman" w:hAnsi="Times New Roman"/>
                <w:sz w:val="27"/>
                <w:szCs w:val="27"/>
                <w:lang w:val="nl-NL"/>
              </w:rPr>
              <w:t>0,00%</w:t>
            </w:r>
          </w:p>
        </w:tc>
      </w:tr>
      <w:tr w:rsidR="00774242" w:rsidTr="00774242">
        <w:tc>
          <w:tcPr>
            <w:tcW w:w="648" w:type="dxa"/>
          </w:tcPr>
          <w:p w:rsidR="00774242" w:rsidRDefault="00774242">
            <w:pPr>
              <w:rPr>
                <w:rFonts w:ascii="Arial" w:hAnsi="Arial" w:cs="Arial"/>
                <w:sz w:val="24"/>
                <w:szCs w:val="24"/>
              </w:rPr>
            </w:pPr>
            <w:r>
              <w:rPr>
                <w:rFonts w:ascii="Arial" w:hAnsi="Arial" w:cs="Arial"/>
                <w:sz w:val="24"/>
                <w:szCs w:val="24"/>
              </w:rPr>
              <w:t>3</w:t>
            </w:r>
          </w:p>
        </w:tc>
        <w:tc>
          <w:tcPr>
            <w:tcW w:w="2544" w:type="dxa"/>
          </w:tcPr>
          <w:p w:rsidR="00774242" w:rsidRDefault="00444B4B">
            <w:pPr>
              <w:rPr>
                <w:rFonts w:ascii="Arial" w:hAnsi="Arial" w:cs="Arial"/>
                <w:sz w:val="24"/>
                <w:szCs w:val="24"/>
              </w:rPr>
            </w:pPr>
            <w:r>
              <w:rPr>
                <w:rFonts w:ascii="Arial" w:hAnsi="Arial" w:cs="Arial"/>
                <w:sz w:val="24"/>
                <w:szCs w:val="24"/>
              </w:rPr>
              <w:t>Profit Plan</w:t>
            </w:r>
          </w:p>
        </w:tc>
        <w:tc>
          <w:tcPr>
            <w:tcW w:w="1596" w:type="dxa"/>
          </w:tcPr>
          <w:p w:rsidR="00774242" w:rsidRDefault="00444B4B">
            <w:pPr>
              <w:rPr>
                <w:rFonts w:ascii="Arial" w:hAnsi="Arial" w:cs="Arial"/>
                <w:sz w:val="24"/>
                <w:szCs w:val="24"/>
              </w:rPr>
            </w:pPr>
            <w:r>
              <w:rPr>
                <w:rFonts w:ascii="Arial" w:hAnsi="Arial" w:cs="Arial"/>
                <w:sz w:val="24"/>
                <w:szCs w:val="24"/>
              </w:rPr>
              <w:t>VND 10,000,000</w:t>
            </w:r>
          </w:p>
        </w:tc>
        <w:tc>
          <w:tcPr>
            <w:tcW w:w="1596" w:type="dxa"/>
          </w:tcPr>
          <w:p w:rsidR="00774242" w:rsidRDefault="00444B4B">
            <w:pPr>
              <w:rPr>
                <w:rFonts w:ascii="Arial" w:hAnsi="Arial" w:cs="Arial"/>
                <w:sz w:val="24"/>
                <w:szCs w:val="24"/>
              </w:rPr>
            </w:pPr>
            <w:r w:rsidRPr="00AC20F6">
              <w:rPr>
                <w:rFonts w:ascii="Times New Roman" w:hAnsi="Times New Roman"/>
                <w:sz w:val="27"/>
                <w:szCs w:val="27"/>
                <w:lang w:val="nl-NL"/>
              </w:rPr>
              <w:t>18,94</w:t>
            </w:r>
          </w:p>
        </w:tc>
        <w:tc>
          <w:tcPr>
            <w:tcW w:w="1596" w:type="dxa"/>
          </w:tcPr>
          <w:p w:rsidR="00774242" w:rsidRDefault="00444B4B">
            <w:pPr>
              <w:rPr>
                <w:rFonts w:ascii="Arial" w:hAnsi="Arial" w:cs="Arial"/>
                <w:sz w:val="24"/>
                <w:szCs w:val="24"/>
              </w:rPr>
            </w:pPr>
            <w:r w:rsidRPr="00AC20F6">
              <w:rPr>
                <w:rFonts w:ascii="Times New Roman" w:hAnsi="Times New Roman"/>
                <w:sz w:val="27"/>
                <w:szCs w:val="27"/>
                <w:lang w:val="nl-NL"/>
              </w:rPr>
              <w:t>10,35</w:t>
            </w:r>
          </w:p>
        </w:tc>
        <w:tc>
          <w:tcPr>
            <w:tcW w:w="1596" w:type="dxa"/>
          </w:tcPr>
          <w:p w:rsidR="00774242" w:rsidRDefault="00444B4B">
            <w:pPr>
              <w:rPr>
                <w:rFonts w:ascii="Arial" w:hAnsi="Arial" w:cs="Arial"/>
                <w:sz w:val="24"/>
                <w:szCs w:val="24"/>
              </w:rPr>
            </w:pPr>
            <w:r w:rsidRPr="00AC20F6">
              <w:rPr>
                <w:rFonts w:ascii="Times New Roman" w:hAnsi="Times New Roman"/>
                <w:sz w:val="27"/>
                <w:szCs w:val="27"/>
                <w:lang w:val="nl-NL"/>
              </w:rPr>
              <w:t>45,35%</w:t>
            </w:r>
          </w:p>
        </w:tc>
      </w:tr>
      <w:tr w:rsidR="00774242" w:rsidTr="00774242">
        <w:tc>
          <w:tcPr>
            <w:tcW w:w="648" w:type="dxa"/>
          </w:tcPr>
          <w:p w:rsidR="00774242" w:rsidRDefault="00774242">
            <w:pPr>
              <w:rPr>
                <w:rFonts w:ascii="Arial" w:hAnsi="Arial" w:cs="Arial"/>
                <w:sz w:val="24"/>
                <w:szCs w:val="24"/>
              </w:rPr>
            </w:pPr>
            <w:r>
              <w:rPr>
                <w:rFonts w:ascii="Arial" w:hAnsi="Arial" w:cs="Arial"/>
                <w:sz w:val="24"/>
                <w:szCs w:val="24"/>
              </w:rPr>
              <w:t>4</w:t>
            </w:r>
          </w:p>
        </w:tc>
        <w:tc>
          <w:tcPr>
            <w:tcW w:w="2544" w:type="dxa"/>
          </w:tcPr>
          <w:p w:rsidR="00774242" w:rsidRDefault="00444B4B">
            <w:pPr>
              <w:rPr>
                <w:rFonts w:ascii="Arial" w:hAnsi="Arial" w:cs="Arial"/>
                <w:sz w:val="24"/>
                <w:szCs w:val="24"/>
              </w:rPr>
            </w:pPr>
            <w:r>
              <w:rPr>
                <w:rFonts w:ascii="Arial" w:hAnsi="Arial" w:cs="Arial"/>
                <w:sz w:val="24"/>
                <w:szCs w:val="24"/>
              </w:rPr>
              <w:t>Investment Plan</w:t>
            </w:r>
          </w:p>
        </w:tc>
        <w:tc>
          <w:tcPr>
            <w:tcW w:w="1596" w:type="dxa"/>
          </w:tcPr>
          <w:p w:rsidR="00774242" w:rsidRDefault="00444B4B">
            <w:pPr>
              <w:rPr>
                <w:rFonts w:ascii="Arial" w:hAnsi="Arial" w:cs="Arial"/>
                <w:sz w:val="24"/>
                <w:szCs w:val="24"/>
              </w:rPr>
            </w:pPr>
            <w:r>
              <w:rPr>
                <w:rFonts w:ascii="Arial" w:hAnsi="Arial" w:cs="Arial"/>
                <w:sz w:val="24"/>
                <w:szCs w:val="24"/>
              </w:rPr>
              <w:t>VND 10,000,000</w:t>
            </w:r>
          </w:p>
        </w:tc>
        <w:tc>
          <w:tcPr>
            <w:tcW w:w="1596" w:type="dxa"/>
          </w:tcPr>
          <w:p w:rsidR="00774242" w:rsidRDefault="00444B4B">
            <w:pPr>
              <w:rPr>
                <w:rFonts w:ascii="Arial" w:hAnsi="Arial" w:cs="Arial"/>
                <w:sz w:val="24"/>
                <w:szCs w:val="24"/>
              </w:rPr>
            </w:pPr>
            <w:r>
              <w:rPr>
                <w:rFonts w:ascii="Arial" w:hAnsi="Arial" w:cs="Arial"/>
                <w:sz w:val="24"/>
                <w:szCs w:val="24"/>
              </w:rPr>
              <w:t>25</w:t>
            </w:r>
          </w:p>
        </w:tc>
        <w:tc>
          <w:tcPr>
            <w:tcW w:w="1596" w:type="dxa"/>
          </w:tcPr>
          <w:p w:rsidR="00774242" w:rsidRDefault="00444B4B">
            <w:pPr>
              <w:rPr>
                <w:rFonts w:ascii="Arial" w:hAnsi="Arial" w:cs="Arial"/>
                <w:sz w:val="24"/>
                <w:szCs w:val="24"/>
              </w:rPr>
            </w:pPr>
            <w:r w:rsidRPr="00AC20F6">
              <w:rPr>
                <w:rFonts w:ascii="Times New Roman" w:hAnsi="Times New Roman"/>
                <w:sz w:val="27"/>
                <w:szCs w:val="27"/>
                <w:lang w:val="nl-NL"/>
              </w:rPr>
              <w:t>1,95</w:t>
            </w:r>
          </w:p>
        </w:tc>
        <w:tc>
          <w:tcPr>
            <w:tcW w:w="1596" w:type="dxa"/>
          </w:tcPr>
          <w:p w:rsidR="00774242" w:rsidRDefault="00444B4B">
            <w:pPr>
              <w:rPr>
                <w:rFonts w:ascii="Arial" w:hAnsi="Arial" w:cs="Arial"/>
                <w:sz w:val="24"/>
                <w:szCs w:val="24"/>
              </w:rPr>
            </w:pPr>
            <w:r w:rsidRPr="00AC20F6">
              <w:rPr>
                <w:rFonts w:ascii="Times New Roman" w:hAnsi="Times New Roman"/>
                <w:sz w:val="27"/>
                <w:szCs w:val="27"/>
                <w:lang w:val="nl-NL"/>
              </w:rPr>
              <w:t>92,2%</w:t>
            </w:r>
          </w:p>
        </w:tc>
      </w:tr>
    </w:tbl>
    <w:p w:rsidR="00774242" w:rsidRDefault="00774242">
      <w:pPr>
        <w:rPr>
          <w:rFonts w:ascii="Arial" w:hAnsi="Arial" w:cs="Arial"/>
          <w:sz w:val="24"/>
          <w:szCs w:val="24"/>
        </w:rPr>
      </w:pPr>
    </w:p>
    <w:p w:rsidR="00444B4B" w:rsidRDefault="00C26CE3">
      <w:pPr>
        <w:rPr>
          <w:rFonts w:ascii="Arial" w:hAnsi="Arial" w:cs="Arial"/>
          <w:sz w:val="24"/>
          <w:szCs w:val="24"/>
        </w:rPr>
      </w:pPr>
      <w:r>
        <w:rPr>
          <w:rFonts w:ascii="Arial" w:hAnsi="Arial" w:cs="Arial"/>
          <w:sz w:val="24"/>
          <w:szCs w:val="24"/>
        </w:rPr>
        <w:t>2. The Board of Shareholders gives the Board of Directors the right to implement all of those resolutions above as followed by law and regulations of the company.</w:t>
      </w:r>
    </w:p>
    <w:p w:rsidR="00C26CE3" w:rsidRPr="00774242" w:rsidRDefault="00C26CE3">
      <w:pPr>
        <w:rPr>
          <w:rFonts w:ascii="Arial" w:hAnsi="Arial" w:cs="Arial"/>
          <w:sz w:val="24"/>
          <w:szCs w:val="24"/>
        </w:rPr>
      </w:pPr>
      <w:r>
        <w:rPr>
          <w:rFonts w:ascii="Arial" w:hAnsi="Arial" w:cs="Arial"/>
          <w:sz w:val="24"/>
          <w:szCs w:val="24"/>
        </w:rPr>
        <w:t xml:space="preserve">3. This resolution is effective since the day it has been signed. The shareholders, member of Board of Directors, Supervisory Board, Board of Management have the responsibility to implement and supervise this resolution. </w:t>
      </w:r>
    </w:p>
    <w:sectPr w:rsidR="00C26CE3" w:rsidRPr="00774242" w:rsidSect="0075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74242"/>
    <w:rsid w:val="00444B4B"/>
    <w:rsid w:val="00757FD2"/>
    <w:rsid w:val="00774242"/>
    <w:rsid w:val="009B656E"/>
    <w:rsid w:val="009D5138"/>
    <w:rsid w:val="00C26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trangpt</dc:creator>
  <cp:keywords/>
  <dc:description/>
  <cp:lastModifiedBy>trangpt</cp:lastModifiedBy>
  <cp:revision>1</cp:revision>
  <dcterms:created xsi:type="dcterms:W3CDTF">2012-10-24T00:55:00Z</dcterms:created>
  <dcterms:modified xsi:type="dcterms:W3CDTF">2012-10-24T01:22:00Z</dcterms:modified>
</cp:coreProperties>
</file>