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r w:rsidRPr="007965E6">
        <w:rPr>
          <w:rFonts w:ascii="Times New Roman" w:hAnsi="Times New Roman" w:cs="Times New Roman"/>
          <w:b w:val="0"/>
          <w:caps/>
        </w:rPr>
        <w:fldChar w:fldCharType="begin"/>
      </w:r>
      <w:r w:rsidR="00627372" w:rsidRPr="006234AA">
        <w:rPr>
          <w:rFonts w:ascii="Times New Roman" w:hAnsi="Times New Roman" w:cs="Times New Roman"/>
          <w:b w:val="0"/>
          <w:caps/>
        </w:rPr>
        <w:instrText xml:space="preserve"> TOC \o "1-5" \h \z \u </w:instrText>
      </w:r>
      <w:r w:rsidRPr="007965E6">
        <w:rPr>
          <w:rFonts w:ascii="Times New Roman" w:hAnsi="Times New Roman" w:cs="Times New Roman"/>
          <w:b w:val="0"/>
          <w:caps/>
        </w:rPr>
        <w:fldChar w:fldCharType="separate"/>
      </w:r>
      <w:hyperlink w:anchor="_Toc422671930" w:history="1">
        <w:r w:rsidR="00D92677" w:rsidRPr="006234AA">
          <w:rPr>
            <w:rStyle w:val="Hyperlink"/>
            <w:noProof/>
            <w:color w:val="auto"/>
          </w:rPr>
          <w:t>Ch</w:t>
        </w:r>
        <w:r w:rsidR="00D92677" w:rsidRPr="006234AA">
          <w:rPr>
            <w:rStyle w:val="Hyperlink"/>
            <w:rFonts w:ascii="Times New Roman" w:hAnsi="Times New Roman" w:cs="Times New Roman"/>
            <w:noProof/>
            <w:color w:val="auto"/>
          </w:rPr>
          <w:t>ươ</w:t>
        </w:r>
        <w:r w:rsidR="00D92677" w:rsidRPr="006234AA">
          <w:rPr>
            <w:rStyle w:val="Hyperlink"/>
            <w:noProof/>
            <w:color w:val="auto"/>
          </w:rPr>
          <w:t>ng I</w:t>
        </w:r>
        <w:r w:rsidR="00D92677" w:rsidRPr="006234AA">
          <w:rPr>
            <w:noProof/>
            <w:webHidden/>
          </w:rPr>
          <w:tab/>
        </w:r>
        <w:r w:rsidRPr="006234AA">
          <w:rPr>
            <w:noProof/>
            <w:webHidden/>
          </w:rPr>
          <w:fldChar w:fldCharType="begin"/>
        </w:r>
        <w:r w:rsidR="00D92677" w:rsidRPr="006234AA">
          <w:rPr>
            <w:noProof/>
            <w:webHidden/>
          </w:rPr>
          <w:instrText xml:space="preserve"> PAGEREF _Toc422671930 \h </w:instrText>
        </w:r>
        <w:r w:rsidRPr="006234AA">
          <w:rPr>
            <w:noProof/>
            <w:webHidden/>
          </w:rPr>
        </w:r>
        <w:r w:rsidRPr="006234AA">
          <w:rPr>
            <w:noProof/>
            <w:webHidden/>
          </w:rPr>
          <w:fldChar w:fldCharType="separate"/>
        </w:r>
        <w:r w:rsidR="00060F30">
          <w:rPr>
            <w:noProof/>
            <w:webHidden/>
          </w:rPr>
          <w:t>1</w:t>
        </w:r>
        <w:r w:rsidRPr="006234AA">
          <w:rPr>
            <w:noProof/>
            <w:webHidden/>
          </w:rPr>
          <w:fldChar w:fldCharType="end"/>
        </w:r>
      </w:hyperlink>
    </w:p>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hyperlink w:anchor="_Toc422671931" w:history="1">
        <w:r w:rsidR="00D92677" w:rsidRPr="006234AA">
          <w:rPr>
            <w:rStyle w:val="Hyperlink"/>
            <w:noProof/>
            <w:color w:val="auto"/>
          </w:rPr>
          <w:t>QUY Đ</w:t>
        </w:r>
        <w:r w:rsidR="00D92677" w:rsidRPr="006234AA">
          <w:rPr>
            <w:rStyle w:val="Hyperlink"/>
            <w:rFonts w:ascii="Times New Roman" w:hAnsi="Times New Roman" w:cs="Times New Roman"/>
            <w:noProof/>
            <w:color w:val="auto"/>
          </w:rPr>
          <w:t>Ị</w:t>
        </w:r>
        <w:r w:rsidR="00D92677" w:rsidRPr="006234AA">
          <w:rPr>
            <w:rStyle w:val="Hyperlink"/>
            <w:noProof/>
            <w:color w:val="auto"/>
          </w:rPr>
          <w:t>NH CHUNG</w:t>
        </w:r>
        <w:r w:rsidR="00D92677" w:rsidRPr="006234AA">
          <w:rPr>
            <w:noProof/>
            <w:webHidden/>
          </w:rPr>
          <w:tab/>
        </w:r>
        <w:r w:rsidRPr="006234AA">
          <w:rPr>
            <w:noProof/>
            <w:webHidden/>
          </w:rPr>
          <w:fldChar w:fldCharType="begin"/>
        </w:r>
        <w:r w:rsidR="00D92677" w:rsidRPr="006234AA">
          <w:rPr>
            <w:noProof/>
            <w:webHidden/>
          </w:rPr>
          <w:instrText xml:space="preserve"> PAGEREF _Toc422671931 \h </w:instrText>
        </w:r>
        <w:r w:rsidRPr="006234AA">
          <w:rPr>
            <w:noProof/>
            <w:webHidden/>
          </w:rPr>
        </w:r>
        <w:r w:rsidRPr="006234AA">
          <w:rPr>
            <w:noProof/>
            <w:webHidden/>
          </w:rPr>
          <w:fldChar w:fldCharType="separate"/>
        </w:r>
        <w:r w:rsidR="00060F30">
          <w:rPr>
            <w:noProof/>
            <w:webHidden/>
          </w:rPr>
          <w:t>1</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32"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 Ph</w:t>
        </w:r>
        <w:r w:rsidR="00D92677" w:rsidRPr="006234AA">
          <w:rPr>
            <w:rStyle w:val="Hyperlink"/>
            <w:rFonts w:ascii="Times New Roman" w:hAnsi="Times New Roman" w:cs="Times New Roman"/>
            <w:noProof/>
            <w:color w:val="auto"/>
          </w:rPr>
          <w:t>ạ</w:t>
        </w:r>
        <w:r w:rsidR="00D92677" w:rsidRPr="006234AA">
          <w:rPr>
            <w:rStyle w:val="Hyperlink"/>
            <w:noProof/>
            <w:color w:val="auto"/>
          </w:rPr>
          <w:t>m vi đi</w:t>
        </w:r>
        <w:r w:rsidR="00D92677" w:rsidRPr="006234AA">
          <w:rPr>
            <w:rStyle w:val="Hyperlink"/>
            <w:rFonts w:ascii="Times New Roman" w:hAnsi="Times New Roman" w:cs="Times New Roman"/>
            <w:noProof/>
            <w:color w:val="auto"/>
          </w:rPr>
          <w:t>ề</w:t>
        </w:r>
        <w:r w:rsidR="00D92677" w:rsidRPr="006234AA">
          <w:rPr>
            <w:rStyle w:val="Hyperlink"/>
            <w:noProof/>
            <w:color w:val="auto"/>
          </w:rPr>
          <w:t>u ch</w:t>
        </w:r>
        <w:r w:rsidR="00D92677" w:rsidRPr="006234AA">
          <w:rPr>
            <w:rStyle w:val="Hyperlink"/>
            <w:rFonts w:ascii="Times New Roman" w:hAnsi="Times New Roman" w:cs="Times New Roman"/>
            <w:noProof/>
            <w:color w:val="auto"/>
          </w:rPr>
          <w:t>ỉ</w:t>
        </w:r>
        <w:r w:rsidR="00D92677" w:rsidRPr="006234AA">
          <w:rPr>
            <w:rStyle w:val="Hyperlink"/>
            <w:noProof/>
            <w:color w:val="auto"/>
          </w:rPr>
          <w:t>nh, đ</w:t>
        </w:r>
        <w:r w:rsidR="00D92677" w:rsidRPr="006234AA">
          <w:rPr>
            <w:rStyle w:val="Hyperlink"/>
            <w:rFonts w:ascii="Times New Roman" w:hAnsi="Times New Roman" w:cs="Times New Roman"/>
            <w:noProof/>
            <w:color w:val="auto"/>
          </w:rPr>
          <w:t>ố</w:t>
        </w:r>
        <w:r w:rsidR="00D92677" w:rsidRPr="006234AA">
          <w:rPr>
            <w:rStyle w:val="Hyperlink"/>
            <w:noProof/>
            <w:color w:val="auto"/>
          </w:rPr>
          <w:t>i t</w:t>
        </w:r>
        <w:r w:rsidR="00D92677" w:rsidRPr="006234AA">
          <w:rPr>
            <w:rStyle w:val="Hyperlink"/>
            <w:rFonts w:ascii="Times New Roman" w:hAnsi="Times New Roman" w:cs="Times New Roman"/>
            <w:noProof/>
            <w:color w:val="auto"/>
          </w:rPr>
          <w:t>ượ</w:t>
        </w:r>
        <w:r w:rsidR="00D92677" w:rsidRPr="006234AA">
          <w:rPr>
            <w:rStyle w:val="Hyperlink"/>
            <w:noProof/>
            <w:color w:val="auto"/>
          </w:rPr>
          <w:t>ng áp d</w:t>
        </w:r>
        <w:r w:rsidR="00D92677" w:rsidRPr="006234AA">
          <w:rPr>
            <w:rStyle w:val="Hyperlink"/>
            <w:rFonts w:ascii="Times New Roman" w:hAnsi="Times New Roman" w:cs="Times New Roman"/>
            <w:noProof/>
            <w:color w:val="auto"/>
          </w:rPr>
          <w:t>ụ</w:t>
        </w:r>
        <w:r w:rsidR="00D92677" w:rsidRPr="006234AA">
          <w:rPr>
            <w:rStyle w:val="Hyperlink"/>
            <w:noProof/>
            <w:color w:val="auto"/>
          </w:rPr>
          <w:t>ng</w:t>
        </w:r>
        <w:r w:rsidR="00D92677" w:rsidRPr="006234AA">
          <w:rPr>
            <w:noProof/>
            <w:webHidden/>
          </w:rPr>
          <w:tab/>
        </w:r>
        <w:r w:rsidRPr="006234AA">
          <w:rPr>
            <w:noProof/>
            <w:webHidden/>
          </w:rPr>
          <w:fldChar w:fldCharType="begin"/>
        </w:r>
        <w:r w:rsidR="00D92677" w:rsidRPr="006234AA">
          <w:rPr>
            <w:noProof/>
            <w:webHidden/>
          </w:rPr>
          <w:instrText xml:space="preserve"> PAGEREF _Toc422671932 \h </w:instrText>
        </w:r>
        <w:r w:rsidRPr="006234AA">
          <w:rPr>
            <w:noProof/>
            <w:webHidden/>
          </w:rPr>
        </w:r>
        <w:r w:rsidRPr="006234AA">
          <w:rPr>
            <w:noProof/>
            <w:webHidden/>
          </w:rPr>
          <w:fldChar w:fldCharType="separate"/>
        </w:r>
        <w:r w:rsidR="00060F30">
          <w:rPr>
            <w:noProof/>
            <w:webHidden/>
          </w:rPr>
          <w:t>1</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33"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 Gi</w:t>
        </w:r>
        <w:r w:rsidR="00D92677" w:rsidRPr="006234AA">
          <w:rPr>
            <w:rStyle w:val="Hyperlink"/>
            <w:rFonts w:ascii="Times New Roman" w:hAnsi="Times New Roman" w:cs="Times New Roman"/>
            <w:noProof/>
            <w:color w:val="auto"/>
          </w:rPr>
          <w:t>ả</w:t>
        </w:r>
        <w:r w:rsidR="00D92677" w:rsidRPr="006234AA">
          <w:rPr>
            <w:rStyle w:val="Hyperlink"/>
            <w:noProof/>
            <w:color w:val="auto"/>
          </w:rPr>
          <w:t>i thích t</w:t>
        </w:r>
        <w:r w:rsidR="00D92677" w:rsidRPr="006234AA">
          <w:rPr>
            <w:rStyle w:val="Hyperlink"/>
            <w:rFonts w:ascii="Times New Roman" w:hAnsi="Times New Roman" w:cs="Times New Roman"/>
            <w:noProof/>
            <w:color w:val="auto"/>
          </w:rPr>
          <w:t>ừ</w:t>
        </w:r>
        <w:r w:rsidR="00D92677" w:rsidRPr="006234AA">
          <w:rPr>
            <w:rStyle w:val="Hyperlink"/>
            <w:noProof/>
            <w:color w:val="auto"/>
          </w:rPr>
          <w:t xml:space="preserve"> ng</w:t>
        </w:r>
        <w:r w:rsidR="00D92677" w:rsidRPr="006234AA">
          <w:rPr>
            <w:rStyle w:val="Hyperlink"/>
            <w:rFonts w:ascii="Times New Roman" w:hAnsi="Times New Roman" w:cs="Times New Roman"/>
            <w:noProof/>
            <w:color w:val="auto"/>
          </w:rPr>
          <w:t>ữ</w:t>
        </w:r>
        <w:r w:rsidR="00D92677" w:rsidRPr="006234AA">
          <w:rPr>
            <w:noProof/>
            <w:webHidden/>
          </w:rPr>
          <w:tab/>
        </w:r>
        <w:r w:rsidRPr="006234AA">
          <w:rPr>
            <w:noProof/>
            <w:webHidden/>
          </w:rPr>
          <w:fldChar w:fldCharType="begin"/>
        </w:r>
        <w:r w:rsidR="00D92677" w:rsidRPr="006234AA">
          <w:rPr>
            <w:noProof/>
            <w:webHidden/>
          </w:rPr>
          <w:instrText xml:space="preserve"> PAGEREF _Toc422671933 \h </w:instrText>
        </w:r>
        <w:r w:rsidRPr="006234AA">
          <w:rPr>
            <w:noProof/>
            <w:webHidden/>
          </w:rPr>
        </w:r>
        <w:r w:rsidRPr="006234AA">
          <w:rPr>
            <w:noProof/>
            <w:webHidden/>
          </w:rPr>
          <w:fldChar w:fldCharType="separate"/>
        </w:r>
        <w:r w:rsidR="00060F30">
          <w:rPr>
            <w:noProof/>
            <w:webHidden/>
          </w:rPr>
          <w:t>2</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34"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 Quy đ</w:t>
        </w:r>
        <w:r w:rsidR="00D92677" w:rsidRPr="006234AA">
          <w:rPr>
            <w:rStyle w:val="Hyperlink"/>
            <w:rFonts w:ascii="Times New Roman" w:hAnsi="Times New Roman" w:cs="Times New Roman"/>
            <w:noProof/>
            <w:color w:val="auto"/>
          </w:rPr>
          <w:t>ị</w:t>
        </w:r>
        <w:r w:rsidR="00D92677" w:rsidRPr="006234AA">
          <w:rPr>
            <w:rStyle w:val="Hyperlink"/>
            <w:noProof/>
            <w:color w:val="auto"/>
          </w:rPr>
          <w:t>nh chung</w:t>
        </w:r>
        <w:r w:rsidR="00D92677" w:rsidRPr="006234AA">
          <w:rPr>
            <w:noProof/>
            <w:webHidden/>
          </w:rPr>
          <w:tab/>
        </w:r>
        <w:r w:rsidRPr="006234AA">
          <w:rPr>
            <w:noProof/>
            <w:webHidden/>
          </w:rPr>
          <w:fldChar w:fldCharType="begin"/>
        </w:r>
        <w:r w:rsidR="00D92677" w:rsidRPr="006234AA">
          <w:rPr>
            <w:noProof/>
            <w:webHidden/>
          </w:rPr>
          <w:instrText xml:space="preserve"> PAGEREF _Toc422671934 \h </w:instrText>
        </w:r>
        <w:r w:rsidRPr="006234AA">
          <w:rPr>
            <w:noProof/>
            <w:webHidden/>
          </w:rPr>
        </w:r>
        <w:r w:rsidRPr="006234AA">
          <w:rPr>
            <w:noProof/>
            <w:webHidden/>
          </w:rPr>
          <w:fldChar w:fldCharType="separate"/>
        </w:r>
        <w:r w:rsidR="00060F30">
          <w:rPr>
            <w:noProof/>
            <w:webHidden/>
          </w:rPr>
          <w:t>8</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35" w:history="1">
        <w:r w:rsidR="00D92677" w:rsidRPr="006234AA">
          <w:rPr>
            <w:rStyle w:val="Hyperlink"/>
            <w:noProof/>
            <w:color w:val="auto"/>
            <w:lang w:val="pt-BR"/>
          </w:rPr>
          <w:t>Ch</w:t>
        </w:r>
        <w:r w:rsidR="00D92677" w:rsidRPr="006234AA">
          <w:rPr>
            <w:rStyle w:val="Hyperlink"/>
            <w:rFonts w:ascii="Times New Roman" w:hAnsi="Times New Roman" w:cs="Times New Roman"/>
            <w:noProof/>
            <w:color w:val="auto"/>
            <w:lang w:val="pt-BR"/>
          </w:rPr>
          <w:t>ươ</w:t>
        </w:r>
        <w:r w:rsidR="00D92677" w:rsidRPr="006234AA">
          <w:rPr>
            <w:rStyle w:val="Hyperlink"/>
            <w:noProof/>
            <w:color w:val="auto"/>
            <w:lang w:val="pt-BR"/>
          </w:rPr>
          <w:t>ng II</w:t>
        </w:r>
        <w:r w:rsidR="00D92677" w:rsidRPr="006234AA">
          <w:rPr>
            <w:noProof/>
            <w:webHidden/>
          </w:rPr>
          <w:tab/>
        </w:r>
        <w:r w:rsidRPr="006234AA">
          <w:rPr>
            <w:noProof/>
            <w:webHidden/>
          </w:rPr>
          <w:fldChar w:fldCharType="begin"/>
        </w:r>
        <w:r w:rsidR="00D92677" w:rsidRPr="006234AA">
          <w:rPr>
            <w:noProof/>
            <w:webHidden/>
          </w:rPr>
          <w:instrText xml:space="preserve"> PAGEREF _Toc422671935 \h </w:instrText>
        </w:r>
        <w:r w:rsidRPr="006234AA">
          <w:rPr>
            <w:noProof/>
            <w:webHidden/>
          </w:rPr>
        </w:r>
        <w:r w:rsidRPr="006234AA">
          <w:rPr>
            <w:noProof/>
            <w:webHidden/>
          </w:rPr>
          <w:fldChar w:fldCharType="separate"/>
        </w:r>
        <w:r w:rsidR="00060F30">
          <w:rPr>
            <w:noProof/>
            <w:webHidden/>
          </w:rPr>
          <w:t>11</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36" w:history="1">
        <w:r w:rsidR="00D92677" w:rsidRPr="006234AA">
          <w:rPr>
            <w:rStyle w:val="Hyperlink"/>
            <w:noProof/>
            <w:color w:val="auto"/>
            <w:lang w:val="pt-BR"/>
          </w:rPr>
          <w:t>GIAO D</w:t>
        </w:r>
        <w:r w:rsidR="00D92677" w:rsidRPr="006234AA">
          <w:rPr>
            <w:rStyle w:val="Hyperlink"/>
            <w:rFonts w:ascii="Times New Roman" w:hAnsi="Times New Roman" w:cs="Times New Roman"/>
            <w:noProof/>
            <w:color w:val="auto"/>
            <w:lang w:val="pt-BR"/>
          </w:rPr>
          <w:t>Ị</w:t>
        </w:r>
        <w:r w:rsidR="00D92677" w:rsidRPr="006234AA">
          <w:rPr>
            <w:rStyle w:val="Hyperlink"/>
            <w:noProof/>
            <w:color w:val="auto"/>
            <w:lang w:val="pt-BR"/>
          </w:rPr>
          <w:t>CH CH</w:t>
        </w:r>
        <w:r w:rsidR="00D92677" w:rsidRPr="006234AA">
          <w:rPr>
            <w:rStyle w:val="Hyperlink"/>
            <w:rFonts w:ascii="Times New Roman" w:hAnsi="Times New Roman" w:cs="Times New Roman"/>
            <w:noProof/>
            <w:color w:val="auto"/>
            <w:lang w:val="pt-BR"/>
          </w:rPr>
          <w:t>Ứ</w:t>
        </w:r>
        <w:r w:rsidR="00D92677" w:rsidRPr="006234AA">
          <w:rPr>
            <w:rStyle w:val="Hyperlink"/>
            <w:noProof/>
            <w:color w:val="auto"/>
            <w:lang w:val="pt-BR"/>
          </w:rPr>
          <w:t>NG KHOÁN PHÁI SINH</w:t>
        </w:r>
        <w:r w:rsidR="00D92677" w:rsidRPr="006234AA">
          <w:rPr>
            <w:noProof/>
            <w:webHidden/>
          </w:rPr>
          <w:tab/>
        </w:r>
        <w:r w:rsidRPr="006234AA">
          <w:rPr>
            <w:noProof/>
            <w:webHidden/>
          </w:rPr>
          <w:fldChar w:fldCharType="begin"/>
        </w:r>
        <w:r w:rsidR="00D92677" w:rsidRPr="006234AA">
          <w:rPr>
            <w:noProof/>
            <w:webHidden/>
          </w:rPr>
          <w:instrText xml:space="preserve"> PAGEREF _Toc422671936 \h </w:instrText>
        </w:r>
        <w:r w:rsidRPr="006234AA">
          <w:rPr>
            <w:noProof/>
            <w:webHidden/>
          </w:rPr>
        </w:r>
        <w:r w:rsidRPr="006234AA">
          <w:rPr>
            <w:noProof/>
            <w:webHidden/>
          </w:rPr>
          <w:fldChar w:fldCharType="separate"/>
        </w:r>
        <w:r w:rsidR="00060F30">
          <w:rPr>
            <w:noProof/>
            <w:webHidden/>
          </w:rPr>
          <w:t>11</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37"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4. T</w:t>
        </w:r>
        <w:r w:rsidR="00D92677" w:rsidRPr="006234AA">
          <w:rPr>
            <w:rStyle w:val="Hyperlink"/>
            <w:rFonts w:ascii="Times New Roman" w:hAnsi="Times New Roman" w:cs="Times New Roman"/>
            <w:noProof/>
            <w:color w:val="auto"/>
          </w:rPr>
          <w:t>ổ</w:t>
        </w:r>
        <w:r w:rsidR="00D92677" w:rsidRPr="006234AA">
          <w:rPr>
            <w:rStyle w:val="Hyperlink"/>
            <w:noProof/>
            <w:color w:val="auto"/>
          </w:rPr>
          <w:t xml:space="preserve"> ch</w:t>
        </w:r>
        <w:r w:rsidR="00D92677" w:rsidRPr="006234AA">
          <w:rPr>
            <w:rStyle w:val="Hyperlink"/>
            <w:rFonts w:ascii="Times New Roman" w:hAnsi="Times New Roman" w:cs="Times New Roman"/>
            <w:noProof/>
            <w:color w:val="auto"/>
          </w:rPr>
          <w:t>ứ</w:t>
        </w:r>
        <w:r w:rsidR="00D92677" w:rsidRPr="006234AA">
          <w:rPr>
            <w:rStyle w:val="Hyperlink"/>
            <w:noProof/>
            <w:color w:val="auto"/>
          </w:rPr>
          <w:t>c th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tr</w:t>
        </w:r>
        <w:r w:rsidR="00D92677" w:rsidRPr="006234AA">
          <w:rPr>
            <w:rStyle w:val="Hyperlink"/>
            <w:rFonts w:ascii="Times New Roman" w:hAnsi="Times New Roman" w:cs="Times New Roman"/>
            <w:noProof/>
            <w:color w:val="auto"/>
          </w:rPr>
          <w:t>ườ</w:t>
        </w:r>
        <w:r w:rsidR="00D92677" w:rsidRPr="006234AA">
          <w:rPr>
            <w:rStyle w:val="Hyperlink"/>
            <w:noProof/>
            <w:color w:val="auto"/>
          </w:rPr>
          <w:t>ng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_Toc422671937 \h </w:instrText>
        </w:r>
        <w:r w:rsidRPr="006234AA">
          <w:rPr>
            <w:noProof/>
            <w:webHidden/>
          </w:rPr>
        </w:r>
        <w:r w:rsidRPr="006234AA">
          <w:rPr>
            <w:noProof/>
            <w:webHidden/>
          </w:rPr>
          <w:fldChar w:fldCharType="separate"/>
        </w:r>
        <w:r w:rsidR="00060F30">
          <w:rPr>
            <w:noProof/>
            <w:webHidden/>
          </w:rPr>
          <w:t>11</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38"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5. H</w:t>
        </w:r>
        <w:r w:rsidR="00D92677" w:rsidRPr="006234AA">
          <w:rPr>
            <w:rStyle w:val="Hyperlink"/>
            <w:rFonts w:ascii="Times New Roman" w:hAnsi="Times New Roman" w:cs="Times New Roman"/>
            <w:noProof/>
            <w:color w:val="auto"/>
          </w:rPr>
          <w:t>ủ</w:t>
        </w:r>
        <w:r w:rsidR="00D92677" w:rsidRPr="006234AA">
          <w:rPr>
            <w:rStyle w:val="Hyperlink"/>
            <w:noProof/>
            <w:color w:val="auto"/>
          </w:rPr>
          <w:t>y niêm y</w:t>
        </w:r>
        <w:r w:rsidR="00D92677" w:rsidRPr="006234AA">
          <w:rPr>
            <w:rStyle w:val="Hyperlink"/>
            <w:rFonts w:ascii="Times New Roman" w:hAnsi="Times New Roman" w:cs="Times New Roman"/>
            <w:noProof/>
            <w:color w:val="auto"/>
          </w:rPr>
          <w:t>ế</w:t>
        </w:r>
        <w:r w:rsidR="00D92677" w:rsidRPr="006234AA">
          <w:rPr>
            <w:rStyle w:val="Hyperlink"/>
            <w:noProof/>
            <w:color w:val="auto"/>
          </w:rPr>
          <w:t>t</w:t>
        </w:r>
        <w:r w:rsidR="00D92677" w:rsidRPr="006234AA">
          <w:rPr>
            <w:noProof/>
            <w:webHidden/>
          </w:rPr>
          <w:tab/>
        </w:r>
        <w:r w:rsidRPr="006234AA">
          <w:rPr>
            <w:noProof/>
            <w:webHidden/>
          </w:rPr>
          <w:fldChar w:fldCharType="begin"/>
        </w:r>
        <w:r w:rsidR="00D92677" w:rsidRPr="006234AA">
          <w:rPr>
            <w:noProof/>
            <w:webHidden/>
          </w:rPr>
          <w:instrText xml:space="preserve"> PAGEREF _Toc422671938 \h </w:instrText>
        </w:r>
        <w:r w:rsidRPr="006234AA">
          <w:rPr>
            <w:noProof/>
            <w:webHidden/>
          </w:rPr>
        </w:r>
        <w:r w:rsidRPr="006234AA">
          <w:rPr>
            <w:noProof/>
            <w:webHidden/>
          </w:rPr>
          <w:fldChar w:fldCharType="separate"/>
        </w:r>
        <w:r w:rsidR="00060F30">
          <w:rPr>
            <w:noProof/>
            <w:webHidden/>
          </w:rPr>
          <w:t>12</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39"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6. Gi</w:t>
        </w:r>
        <w:r w:rsidR="00D92677" w:rsidRPr="006234AA">
          <w:rPr>
            <w:rStyle w:val="Hyperlink"/>
            <w:rFonts w:ascii="Times New Roman" w:hAnsi="Times New Roman" w:cs="Times New Roman"/>
            <w:noProof/>
            <w:color w:val="auto"/>
          </w:rPr>
          <w:t>ớ</w:t>
        </w:r>
        <w:r w:rsidR="00D92677" w:rsidRPr="006234AA">
          <w:rPr>
            <w:rStyle w:val="Hyperlink"/>
            <w:noProof/>
            <w:color w:val="auto"/>
          </w:rPr>
          <w:t>i h</w:t>
        </w:r>
        <w:r w:rsidR="00D92677" w:rsidRPr="006234AA">
          <w:rPr>
            <w:rStyle w:val="Hyperlink"/>
            <w:rFonts w:ascii="Times New Roman" w:hAnsi="Times New Roman" w:cs="Times New Roman"/>
            <w:noProof/>
            <w:color w:val="auto"/>
          </w:rPr>
          <w:t>ạ</w:t>
        </w:r>
        <w:r w:rsidR="00D92677" w:rsidRPr="006234AA">
          <w:rPr>
            <w:rStyle w:val="Hyperlink"/>
            <w:noProof/>
            <w:color w:val="auto"/>
          </w:rPr>
          <w:t>n l</w:t>
        </w:r>
        <w:r w:rsidR="00D92677" w:rsidRPr="006234AA">
          <w:rPr>
            <w:rStyle w:val="Hyperlink"/>
            <w:rFonts w:ascii="Times New Roman" w:hAnsi="Times New Roman" w:cs="Times New Roman"/>
            <w:noProof/>
            <w:color w:val="auto"/>
          </w:rPr>
          <w:t>ệ</w:t>
        </w:r>
        <w:r w:rsidR="00D92677" w:rsidRPr="006234AA">
          <w:rPr>
            <w:rStyle w:val="Hyperlink"/>
            <w:noProof/>
            <w:color w:val="auto"/>
          </w:rPr>
          <w:t>nh, gi</w:t>
        </w:r>
        <w:r w:rsidR="00D92677" w:rsidRPr="006234AA">
          <w:rPr>
            <w:rStyle w:val="Hyperlink"/>
            <w:rFonts w:ascii="Times New Roman" w:hAnsi="Times New Roman" w:cs="Times New Roman"/>
            <w:noProof/>
            <w:color w:val="auto"/>
          </w:rPr>
          <w:t>ớ</w:t>
        </w:r>
        <w:r w:rsidR="00D92677" w:rsidRPr="006234AA">
          <w:rPr>
            <w:rStyle w:val="Hyperlink"/>
            <w:noProof/>
            <w:color w:val="auto"/>
          </w:rPr>
          <w:t>i h</w:t>
        </w:r>
        <w:r w:rsidR="00D92677" w:rsidRPr="006234AA">
          <w:rPr>
            <w:rStyle w:val="Hyperlink"/>
            <w:rFonts w:ascii="Times New Roman" w:hAnsi="Times New Roman" w:cs="Times New Roman"/>
            <w:noProof/>
            <w:color w:val="auto"/>
          </w:rPr>
          <w:t>ạ</w:t>
        </w:r>
        <w:r w:rsidR="00D92677" w:rsidRPr="006234AA">
          <w:rPr>
            <w:rStyle w:val="Hyperlink"/>
            <w:noProof/>
            <w:color w:val="auto"/>
          </w:rPr>
          <w:t>n l</w:t>
        </w:r>
        <w:r w:rsidR="00D92677" w:rsidRPr="006234AA">
          <w:rPr>
            <w:rStyle w:val="Hyperlink"/>
            <w:rFonts w:ascii="Times New Roman" w:hAnsi="Times New Roman" w:cs="Times New Roman"/>
            <w:noProof/>
            <w:color w:val="auto"/>
          </w:rPr>
          <w:t>ệ</w:t>
        </w:r>
        <w:r w:rsidR="00D92677" w:rsidRPr="006234AA">
          <w:rPr>
            <w:rStyle w:val="Hyperlink"/>
            <w:noProof/>
            <w:color w:val="auto"/>
          </w:rPr>
          <w:t>nh tích lũy, gi</w:t>
        </w:r>
        <w:r w:rsidR="00D92677" w:rsidRPr="006234AA">
          <w:rPr>
            <w:rStyle w:val="Hyperlink"/>
            <w:rFonts w:ascii="Times New Roman" w:hAnsi="Times New Roman" w:cs="Times New Roman"/>
            <w:noProof/>
            <w:color w:val="auto"/>
          </w:rPr>
          <w:t>ớ</w:t>
        </w:r>
        <w:r w:rsidR="00D92677" w:rsidRPr="006234AA">
          <w:rPr>
            <w:rStyle w:val="Hyperlink"/>
            <w:noProof/>
            <w:color w:val="auto"/>
          </w:rPr>
          <w:t>i h</w:t>
        </w:r>
        <w:r w:rsidR="00D92677" w:rsidRPr="006234AA">
          <w:rPr>
            <w:rStyle w:val="Hyperlink"/>
            <w:rFonts w:ascii="Times New Roman" w:hAnsi="Times New Roman" w:cs="Times New Roman"/>
            <w:noProof/>
            <w:color w:val="auto"/>
          </w:rPr>
          <w:t>ạ</w:t>
        </w:r>
        <w:r w:rsidR="00D92677" w:rsidRPr="006234AA">
          <w:rPr>
            <w:rStyle w:val="Hyperlink"/>
            <w:noProof/>
            <w:color w:val="auto"/>
          </w:rPr>
          <w:t>n v</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th</w:t>
        </w:r>
        <w:r w:rsidR="00D92677" w:rsidRPr="006234AA">
          <w:rPr>
            <w:rStyle w:val="Hyperlink"/>
            <w:rFonts w:ascii="Times New Roman" w:hAnsi="Times New Roman" w:cs="Times New Roman"/>
            <w:noProof/>
            <w:color w:val="auto"/>
          </w:rPr>
          <w:t>ế</w:t>
        </w:r>
        <w:r w:rsidR="00D92677" w:rsidRPr="006234AA">
          <w:rPr>
            <w:noProof/>
            <w:webHidden/>
          </w:rPr>
          <w:tab/>
        </w:r>
        <w:r w:rsidRPr="006234AA">
          <w:rPr>
            <w:noProof/>
            <w:webHidden/>
          </w:rPr>
          <w:fldChar w:fldCharType="begin"/>
        </w:r>
        <w:r w:rsidR="00D92677" w:rsidRPr="006234AA">
          <w:rPr>
            <w:noProof/>
            <w:webHidden/>
          </w:rPr>
          <w:instrText xml:space="preserve"> PAGEREF _Toc422671939 \h </w:instrText>
        </w:r>
        <w:r w:rsidRPr="006234AA">
          <w:rPr>
            <w:noProof/>
            <w:webHidden/>
          </w:rPr>
        </w:r>
        <w:r w:rsidRPr="006234AA">
          <w:rPr>
            <w:noProof/>
            <w:webHidden/>
          </w:rPr>
          <w:fldChar w:fldCharType="separate"/>
        </w:r>
        <w:r w:rsidR="00060F30">
          <w:rPr>
            <w:noProof/>
            <w:webHidden/>
          </w:rPr>
          <w:t>12</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40"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7. Biên đ</w:t>
        </w:r>
        <w:r w:rsidR="00D92677" w:rsidRPr="006234AA">
          <w:rPr>
            <w:rStyle w:val="Hyperlink"/>
            <w:rFonts w:ascii="Times New Roman" w:hAnsi="Times New Roman" w:cs="Times New Roman"/>
            <w:noProof/>
            <w:color w:val="auto"/>
          </w:rPr>
          <w:t>ộ</w:t>
        </w:r>
        <w:r w:rsidR="00D92677" w:rsidRPr="006234AA">
          <w:rPr>
            <w:rStyle w:val="Hyperlink"/>
            <w:noProof/>
            <w:color w:val="auto"/>
          </w:rPr>
          <w:t xml:space="preserve"> giao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giá</w:t>
        </w:r>
        <w:r w:rsidR="00D92677" w:rsidRPr="006234AA">
          <w:rPr>
            <w:noProof/>
            <w:webHidden/>
          </w:rPr>
          <w:tab/>
        </w:r>
        <w:r w:rsidRPr="006234AA">
          <w:rPr>
            <w:noProof/>
            <w:webHidden/>
          </w:rPr>
          <w:fldChar w:fldCharType="begin"/>
        </w:r>
        <w:r w:rsidR="00D92677" w:rsidRPr="006234AA">
          <w:rPr>
            <w:noProof/>
            <w:webHidden/>
          </w:rPr>
          <w:instrText xml:space="preserve"> PAGEREF _Toc422671940 \h </w:instrText>
        </w:r>
        <w:r w:rsidRPr="006234AA">
          <w:rPr>
            <w:noProof/>
            <w:webHidden/>
          </w:rPr>
        </w:r>
        <w:r w:rsidRPr="006234AA">
          <w:rPr>
            <w:noProof/>
            <w:webHidden/>
          </w:rPr>
          <w:fldChar w:fldCharType="separate"/>
        </w:r>
        <w:r w:rsidR="00060F30">
          <w:rPr>
            <w:noProof/>
            <w:webHidden/>
          </w:rPr>
          <w:t>13</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41"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8. S</w:t>
        </w:r>
        <w:r w:rsidR="00D92677" w:rsidRPr="006234AA">
          <w:rPr>
            <w:rStyle w:val="Hyperlink"/>
            <w:rFonts w:ascii="Times New Roman" w:hAnsi="Times New Roman" w:cs="Times New Roman"/>
            <w:noProof/>
            <w:color w:val="auto"/>
          </w:rPr>
          <w:t>ử</w:t>
        </w:r>
        <w:r w:rsidR="00D92677" w:rsidRPr="006234AA">
          <w:rPr>
            <w:rStyle w:val="Hyperlink"/>
            <w:noProof/>
            <w:color w:val="auto"/>
          </w:rPr>
          <w:t>a l</w:t>
        </w:r>
        <w:r w:rsidR="00D92677" w:rsidRPr="006234AA">
          <w:rPr>
            <w:rStyle w:val="Hyperlink"/>
            <w:rFonts w:ascii="Times New Roman" w:hAnsi="Times New Roman" w:cs="Times New Roman"/>
            <w:noProof/>
            <w:color w:val="auto"/>
          </w:rPr>
          <w:t>ỗ</w:t>
        </w:r>
        <w:r w:rsidR="00D92677" w:rsidRPr="006234AA">
          <w:rPr>
            <w:rStyle w:val="Hyperlink"/>
            <w:noProof/>
            <w:color w:val="auto"/>
          </w:rPr>
          <w:t>i sau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_Toc422671941 \h </w:instrText>
        </w:r>
        <w:r w:rsidRPr="006234AA">
          <w:rPr>
            <w:noProof/>
            <w:webHidden/>
          </w:rPr>
        </w:r>
        <w:r w:rsidRPr="006234AA">
          <w:rPr>
            <w:noProof/>
            <w:webHidden/>
          </w:rPr>
          <w:fldChar w:fldCharType="separate"/>
        </w:r>
        <w:r w:rsidR="00060F30">
          <w:rPr>
            <w:noProof/>
            <w:webHidden/>
          </w:rPr>
          <w:t>13</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42" w:history="1">
        <w:r w:rsidR="00D92677" w:rsidRPr="006234AA">
          <w:rPr>
            <w:rStyle w:val="Hyperlink"/>
            <w:noProof/>
            <w:color w:val="auto"/>
          </w:rPr>
          <w:t>Ch</w:t>
        </w:r>
        <w:r w:rsidR="00D92677" w:rsidRPr="006234AA">
          <w:rPr>
            <w:rStyle w:val="Hyperlink"/>
            <w:rFonts w:ascii="Times New Roman" w:hAnsi="Times New Roman" w:cs="Times New Roman"/>
            <w:noProof/>
            <w:color w:val="auto"/>
          </w:rPr>
          <w:t>ươ</w:t>
        </w:r>
        <w:r w:rsidR="00D92677" w:rsidRPr="006234AA">
          <w:rPr>
            <w:rStyle w:val="Hyperlink"/>
            <w:noProof/>
            <w:color w:val="auto"/>
          </w:rPr>
          <w:t>ng III</w:t>
        </w:r>
        <w:r w:rsidR="00D92677" w:rsidRPr="006234AA">
          <w:rPr>
            <w:noProof/>
            <w:webHidden/>
          </w:rPr>
          <w:tab/>
        </w:r>
        <w:r w:rsidRPr="006234AA">
          <w:rPr>
            <w:noProof/>
            <w:webHidden/>
          </w:rPr>
          <w:fldChar w:fldCharType="begin"/>
        </w:r>
        <w:r w:rsidR="00D92677" w:rsidRPr="006234AA">
          <w:rPr>
            <w:noProof/>
            <w:webHidden/>
          </w:rPr>
          <w:instrText xml:space="preserve"> PAGEREF _Toc422671942 \h </w:instrText>
        </w:r>
        <w:r w:rsidRPr="006234AA">
          <w:rPr>
            <w:noProof/>
            <w:webHidden/>
          </w:rPr>
        </w:r>
        <w:r w:rsidRPr="006234AA">
          <w:rPr>
            <w:noProof/>
            <w:webHidden/>
          </w:rPr>
          <w:fldChar w:fldCharType="separate"/>
        </w:r>
        <w:r w:rsidR="00060F30">
          <w:rPr>
            <w:noProof/>
            <w:webHidden/>
          </w:rPr>
          <w:t>14</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43" w:history="1">
        <w:r w:rsidR="00D92677" w:rsidRPr="006234AA">
          <w:rPr>
            <w:rStyle w:val="Hyperlink"/>
            <w:noProof/>
            <w:color w:val="auto"/>
          </w:rPr>
          <w:t>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w:t>
        </w:r>
        <w:r w:rsidR="00D92677" w:rsidRPr="006234AA">
          <w:rPr>
            <w:noProof/>
            <w:webHidden/>
          </w:rPr>
          <w:tab/>
        </w:r>
        <w:r w:rsidRPr="006234AA">
          <w:rPr>
            <w:noProof/>
            <w:webHidden/>
          </w:rPr>
          <w:fldChar w:fldCharType="begin"/>
        </w:r>
        <w:r w:rsidR="00D92677" w:rsidRPr="006234AA">
          <w:rPr>
            <w:noProof/>
            <w:webHidden/>
          </w:rPr>
          <w:instrText xml:space="preserve"> PAGEREF _Toc422671943 \h </w:instrText>
        </w:r>
        <w:r w:rsidRPr="006234AA">
          <w:rPr>
            <w:noProof/>
            <w:webHidden/>
          </w:rPr>
        </w:r>
        <w:r w:rsidRPr="006234AA">
          <w:rPr>
            <w:noProof/>
            <w:webHidden/>
          </w:rPr>
          <w:fldChar w:fldCharType="separate"/>
        </w:r>
        <w:r w:rsidR="00060F30">
          <w:rPr>
            <w:noProof/>
            <w:webHidden/>
          </w:rPr>
          <w:t>14</w:t>
        </w:r>
        <w:r w:rsidRPr="006234AA">
          <w:rPr>
            <w:noProof/>
            <w:webHidden/>
          </w:rPr>
          <w:fldChar w:fldCharType="end"/>
        </w:r>
      </w:hyperlink>
    </w:p>
    <w:p w:rsidR="00D92677" w:rsidRPr="006234AA" w:rsidRDefault="007965E6">
      <w:pPr>
        <w:pStyle w:val="TOC3"/>
        <w:tabs>
          <w:tab w:val="right" w:leader="dot" w:pos="9064"/>
        </w:tabs>
        <w:rPr>
          <w:rFonts w:asciiTheme="minorHAnsi" w:eastAsiaTheme="minorEastAsia" w:hAnsiTheme="minorHAnsi" w:cstheme="minorBidi"/>
          <w:i w:val="0"/>
          <w:iCs w:val="0"/>
          <w:noProof/>
          <w:sz w:val="22"/>
          <w:szCs w:val="22"/>
        </w:rPr>
      </w:pPr>
      <w:hyperlink w:anchor="_Toc422671944" w:history="1">
        <w:r w:rsidR="00D92677" w:rsidRPr="006234AA">
          <w:rPr>
            <w:rStyle w:val="Hyperlink"/>
            <w:noProof/>
            <w:color w:val="auto"/>
          </w:rPr>
          <w:t>M</w:t>
        </w:r>
        <w:r w:rsidR="00D92677" w:rsidRPr="006234AA">
          <w:rPr>
            <w:rStyle w:val="Hyperlink"/>
            <w:rFonts w:ascii="Times New Roman" w:hAnsi="Times New Roman" w:cs="Times New Roman"/>
            <w:noProof/>
            <w:color w:val="auto"/>
          </w:rPr>
          <w:t>ụ</w:t>
        </w:r>
        <w:r w:rsidR="00D92677" w:rsidRPr="006234AA">
          <w:rPr>
            <w:rStyle w:val="Hyperlink"/>
            <w:noProof/>
            <w:color w:val="auto"/>
          </w:rPr>
          <w:t>c 1</w:t>
        </w:r>
        <w:r w:rsidR="00D92677" w:rsidRPr="006234AA">
          <w:rPr>
            <w:noProof/>
            <w:webHidden/>
          </w:rPr>
          <w:tab/>
        </w:r>
        <w:r w:rsidRPr="006234AA">
          <w:rPr>
            <w:noProof/>
            <w:webHidden/>
          </w:rPr>
          <w:fldChar w:fldCharType="begin"/>
        </w:r>
        <w:r w:rsidR="00D92677" w:rsidRPr="006234AA">
          <w:rPr>
            <w:noProof/>
            <w:webHidden/>
          </w:rPr>
          <w:instrText xml:space="preserve"> PAGEREF _Toc422671944 \h </w:instrText>
        </w:r>
        <w:r w:rsidRPr="006234AA">
          <w:rPr>
            <w:noProof/>
            <w:webHidden/>
          </w:rPr>
        </w:r>
        <w:r w:rsidRPr="006234AA">
          <w:rPr>
            <w:noProof/>
            <w:webHidden/>
          </w:rPr>
          <w:fldChar w:fldCharType="separate"/>
        </w:r>
        <w:r w:rsidR="00060F30">
          <w:rPr>
            <w:noProof/>
            <w:webHidden/>
          </w:rPr>
          <w:t>14</w:t>
        </w:r>
        <w:r w:rsidRPr="006234AA">
          <w:rPr>
            <w:noProof/>
            <w:webHidden/>
          </w:rPr>
          <w:fldChar w:fldCharType="end"/>
        </w:r>
      </w:hyperlink>
    </w:p>
    <w:p w:rsidR="00D92677" w:rsidRPr="006234AA" w:rsidRDefault="007965E6">
      <w:pPr>
        <w:pStyle w:val="TOC3"/>
        <w:tabs>
          <w:tab w:val="right" w:leader="dot" w:pos="9064"/>
        </w:tabs>
        <w:rPr>
          <w:rFonts w:asciiTheme="minorHAnsi" w:eastAsiaTheme="minorEastAsia" w:hAnsiTheme="minorHAnsi" w:cstheme="minorBidi"/>
          <w:i w:val="0"/>
          <w:iCs w:val="0"/>
          <w:noProof/>
          <w:sz w:val="22"/>
          <w:szCs w:val="22"/>
        </w:rPr>
      </w:pPr>
      <w:hyperlink w:anchor="_Toc422671945" w:history="1">
        <w:r w:rsidR="00D92677" w:rsidRPr="006234AA">
          <w:rPr>
            <w:rStyle w:val="Hyperlink"/>
            <w:noProof/>
            <w:color w:val="auto"/>
          </w:rPr>
          <w:t>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 CH</w:t>
        </w:r>
        <w:r w:rsidR="00D92677" w:rsidRPr="006234AA">
          <w:rPr>
            <w:rStyle w:val="Hyperlink"/>
            <w:rFonts w:ascii="Times New Roman" w:hAnsi="Times New Roman" w:cs="Times New Roman"/>
            <w:noProof/>
            <w:color w:val="auto"/>
          </w:rPr>
          <w:t>Ỉ</w:t>
        </w:r>
        <w:r w:rsidR="00D92677" w:rsidRPr="006234AA">
          <w:rPr>
            <w:rStyle w:val="Hyperlink"/>
            <w:noProof/>
            <w:color w:val="auto"/>
          </w:rPr>
          <w:t xml:space="preserve"> S</w:t>
        </w:r>
        <w:r w:rsidR="00D92677" w:rsidRPr="006234AA">
          <w:rPr>
            <w:rStyle w:val="Hyperlink"/>
            <w:rFonts w:ascii="Times New Roman" w:hAnsi="Times New Roman" w:cs="Times New Roman"/>
            <w:noProof/>
            <w:color w:val="auto"/>
          </w:rPr>
          <w:t>Ố</w:t>
        </w:r>
        <w:r w:rsidR="00D92677" w:rsidRPr="006234AA">
          <w:rPr>
            <w:noProof/>
            <w:webHidden/>
          </w:rPr>
          <w:tab/>
        </w:r>
        <w:r w:rsidRPr="006234AA">
          <w:rPr>
            <w:noProof/>
            <w:webHidden/>
          </w:rPr>
          <w:fldChar w:fldCharType="begin"/>
        </w:r>
        <w:r w:rsidR="00D92677" w:rsidRPr="006234AA">
          <w:rPr>
            <w:noProof/>
            <w:webHidden/>
          </w:rPr>
          <w:instrText xml:space="preserve"> PAGEREF _Toc422671945 \h </w:instrText>
        </w:r>
        <w:r w:rsidRPr="006234AA">
          <w:rPr>
            <w:noProof/>
            <w:webHidden/>
          </w:rPr>
        </w:r>
        <w:r w:rsidRPr="006234AA">
          <w:rPr>
            <w:noProof/>
            <w:webHidden/>
          </w:rPr>
          <w:fldChar w:fldCharType="separate"/>
        </w:r>
        <w:r w:rsidR="00060F30">
          <w:rPr>
            <w:noProof/>
            <w:webHidden/>
          </w:rPr>
          <w:t>14</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46"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9. N</w:t>
        </w:r>
        <w:r w:rsidR="00D92677" w:rsidRPr="006234AA">
          <w:rPr>
            <w:rStyle w:val="Hyperlink"/>
            <w:rFonts w:ascii="Times New Roman" w:hAnsi="Times New Roman" w:cs="Times New Roman"/>
            <w:noProof/>
            <w:color w:val="auto"/>
          </w:rPr>
          <w:t>ộ</w:t>
        </w:r>
        <w:r w:rsidR="00D92677" w:rsidRPr="006234AA">
          <w:rPr>
            <w:rStyle w:val="Hyperlink"/>
            <w:noProof/>
            <w:color w:val="auto"/>
          </w:rPr>
          <w:t>i dung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w:t>
        </w:r>
        <w:r w:rsidR="00D92677" w:rsidRPr="006234AA">
          <w:rPr>
            <w:noProof/>
            <w:webHidden/>
          </w:rPr>
          <w:tab/>
        </w:r>
        <w:r w:rsidRPr="006234AA">
          <w:rPr>
            <w:noProof/>
            <w:webHidden/>
          </w:rPr>
          <w:fldChar w:fldCharType="begin"/>
        </w:r>
        <w:r w:rsidR="00D92677" w:rsidRPr="006234AA">
          <w:rPr>
            <w:noProof/>
            <w:webHidden/>
          </w:rPr>
          <w:instrText xml:space="preserve"> PAGEREF _Toc422671946 \h </w:instrText>
        </w:r>
        <w:r w:rsidRPr="006234AA">
          <w:rPr>
            <w:noProof/>
            <w:webHidden/>
          </w:rPr>
        </w:r>
        <w:r w:rsidRPr="006234AA">
          <w:rPr>
            <w:noProof/>
            <w:webHidden/>
          </w:rPr>
          <w:fldChar w:fldCharType="separate"/>
        </w:r>
        <w:r w:rsidR="00060F30">
          <w:rPr>
            <w:noProof/>
            <w:webHidden/>
          </w:rPr>
          <w:t>14</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47"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10. Tài s</w:t>
        </w:r>
        <w:r w:rsidR="00D92677" w:rsidRPr="006234AA">
          <w:rPr>
            <w:rStyle w:val="Hyperlink"/>
            <w:rFonts w:ascii="Times New Roman" w:hAnsi="Times New Roman" w:cs="Times New Roman"/>
            <w:noProof/>
            <w:color w:val="auto"/>
          </w:rPr>
          <w:t>ả</w:t>
        </w:r>
        <w:r w:rsidR="00D92677" w:rsidRPr="006234AA">
          <w:rPr>
            <w:rStyle w:val="Hyperlink"/>
            <w:noProof/>
            <w:color w:val="auto"/>
          </w:rPr>
          <w:t>n c</w:t>
        </w:r>
        <w:r w:rsidR="00D92677" w:rsidRPr="006234AA">
          <w:rPr>
            <w:rStyle w:val="Hyperlink"/>
            <w:rFonts w:ascii="Times New Roman" w:hAnsi="Times New Roman" w:cs="Times New Roman"/>
            <w:noProof/>
            <w:color w:val="auto"/>
          </w:rPr>
          <w:t>ơ</w:t>
        </w:r>
        <w:r w:rsidR="00D92677" w:rsidRPr="006234AA">
          <w:rPr>
            <w:rStyle w:val="Hyperlink"/>
            <w:noProof/>
            <w:color w:val="auto"/>
          </w:rPr>
          <w:t xml:space="preserve"> s</w:t>
        </w:r>
        <w:r w:rsidR="00D92677" w:rsidRPr="006234AA">
          <w:rPr>
            <w:rStyle w:val="Hyperlink"/>
            <w:rFonts w:ascii="Times New Roman" w:hAnsi="Times New Roman" w:cs="Times New Roman"/>
            <w:noProof/>
            <w:color w:val="auto"/>
          </w:rPr>
          <w:t>ở</w:t>
        </w:r>
        <w:r w:rsidR="00D92677" w:rsidRPr="006234AA">
          <w:rPr>
            <w:noProof/>
            <w:webHidden/>
          </w:rPr>
          <w:tab/>
        </w:r>
        <w:r w:rsidRPr="006234AA">
          <w:rPr>
            <w:noProof/>
            <w:webHidden/>
          </w:rPr>
          <w:fldChar w:fldCharType="begin"/>
        </w:r>
        <w:r w:rsidR="00D92677" w:rsidRPr="006234AA">
          <w:rPr>
            <w:noProof/>
            <w:webHidden/>
          </w:rPr>
          <w:instrText xml:space="preserve"> PAGEREF _Toc422671947 \h </w:instrText>
        </w:r>
        <w:r w:rsidRPr="006234AA">
          <w:rPr>
            <w:noProof/>
            <w:webHidden/>
          </w:rPr>
        </w:r>
        <w:r w:rsidRPr="006234AA">
          <w:rPr>
            <w:noProof/>
            <w:webHidden/>
          </w:rPr>
          <w:fldChar w:fldCharType="separate"/>
        </w:r>
        <w:r w:rsidR="00060F30">
          <w:rPr>
            <w:noProof/>
            <w:webHidden/>
          </w:rPr>
          <w:t>15</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48"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11. Giá tr</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w:t>
        </w:r>
        <w:r w:rsidR="00D92677" w:rsidRPr="006234AA">
          <w:rPr>
            <w:noProof/>
            <w:webHidden/>
          </w:rPr>
          <w:tab/>
        </w:r>
        <w:r w:rsidRPr="006234AA">
          <w:rPr>
            <w:noProof/>
            <w:webHidden/>
          </w:rPr>
          <w:fldChar w:fldCharType="begin"/>
        </w:r>
        <w:r w:rsidR="00D92677" w:rsidRPr="006234AA">
          <w:rPr>
            <w:noProof/>
            <w:webHidden/>
          </w:rPr>
          <w:instrText xml:space="preserve"> PAGEREF _Toc422671948 \h </w:instrText>
        </w:r>
        <w:r w:rsidRPr="006234AA">
          <w:rPr>
            <w:noProof/>
            <w:webHidden/>
          </w:rPr>
        </w:r>
        <w:r w:rsidRPr="006234AA">
          <w:rPr>
            <w:noProof/>
            <w:webHidden/>
          </w:rPr>
          <w:fldChar w:fldCharType="separate"/>
        </w:r>
        <w:r w:rsidR="00060F30">
          <w:rPr>
            <w:noProof/>
            <w:webHidden/>
          </w:rPr>
          <w:t>15</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49"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12. Tháng đáo h</w:t>
        </w:r>
        <w:r w:rsidR="00D92677" w:rsidRPr="006234AA">
          <w:rPr>
            <w:rStyle w:val="Hyperlink"/>
            <w:rFonts w:ascii="Times New Roman" w:hAnsi="Times New Roman" w:cs="Times New Roman"/>
            <w:noProof/>
            <w:color w:val="auto"/>
          </w:rPr>
          <w:t>ạ</w:t>
        </w:r>
        <w:r w:rsidR="00D92677" w:rsidRPr="006234AA">
          <w:rPr>
            <w:rStyle w:val="Hyperlink"/>
            <w:noProof/>
            <w:color w:val="auto"/>
          </w:rPr>
          <w:t>n, gi</w:t>
        </w:r>
        <w:r w:rsidR="00D92677" w:rsidRPr="006234AA">
          <w:rPr>
            <w:rStyle w:val="Hyperlink"/>
            <w:rFonts w:ascii="Times New Roman" w:hAnsi="Times New Roman" w:cs="Times New Roman"/>
            <w:noProof/>
            <w:color w:val="auto"/>
          </w:rPr>
          <w:t>ờ</w:t>
        </w:r>
        <w:r w:rsidR="00D92677" w:rsidRPr="006234AA">
          <w:rPr>
            <w:rStyle w:val="Hyperlink"/>
            <w:noProof/>
            <w:color w:val="auto"/>
          </w:rPr>
          <w:t xml:space="preserve">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_Toc422671949 \h </w:instrText>
        </w:r>
        <w:r w:rsidRPr="006234AA">
          <w:rPr>
            <w:noProof/>
            <w:webHidden/>
          </w:rPr>
        </w:r>
        <w:r w:rsidRPr="006234AA">
          <w:rPr>
            <w:noProof/>
            <w:webHidden/>
          </w:rPr>
          <w:fldChar w:fldCharType="separate"/>
        </w:r>
        <w:r w:rsidR="00060F30">
          <w:rPr>
            <w:noProof/>
            <w:webHidden/>
          </w:rPr>
          <w:t>16</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50"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13. Ngày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 cu</w:t>
        </w:r>
        <w:r w:rsidR="00D92677" w:rsidRPr="006234AA">
          <w:rPr>
            <w:rStyle w:val="Hyperlink"/>
            <w:rFonts w:ascii="Times New Roman" w:hAnsi="Times New Roman" w:cs="Times New Roman"/>
            <w:noProof/>
            <w:color w:val="auto"/>
          </w:rPr>
          <w:t>ố</w:t>
        </w:r>
        <w:r w:rsidR="00D92677" w:rsidRPr="006234AA">
          <w:rPr>
            <w:rStyle w:val="Hyperlink"/>
            <w:noProof/>
            <w:color w:val="auto"/>
          </w:rPr>
          <w:t>i cùng, ngày thanh toán cu</w:t>
        </w:r>
        <w:r w:rsidR="00D92677" w:rsidRPr="006234AA">
          <w:rPr>
            <w:rStyle w:val="Hyperlink"/>
            <w:rFonts w:ascii="Times New Roman" w:hAnsi="Times New Roman" w:cs="Times New Roman"/>
            <w:noProof/>
            <w:color w:val="auto"/>
          </w:rPr>
          <w:t>ố</w:t>
        </w:r>
        <w:r w:rsidR="00D92677" w:rsidRPr="006234AA">
          <w:rPr>
            <w:rStyle w:val="Hyperlink"/>
            <w:noProof/>
            <w:color w:val="auto"/>
          </w:rPr>
          <w:t>i cùng</w:t>
        </w:r>
        <w:r w:rsidR="00D92677" w:rsidRPr="006234AA">
          <w:rPr>
            <w:noProof/>
            <w:webHidden/>
          </w:rPr>
          <w:tab/>
        </w:r>
        <w:r w:rsidRPr="006234AA">
          <w:rPr>
            <w:noProof/>
            <w:webHidden/>
          </w:rPr>
          <w:fldChar w:fldCharType="begin"/>
        </w:r>
        <w:r w:rsidR="00D92677" w:rsidRPr="006234AA">
          <w:rPr>
            <w:noProof/>
            <w:webHidden/>
          </w:rPr>
          <w:instrText xml:space="preserve"> PAGEREF _Toc422671950 \h </w:instrText>
        </w:r>
        <w:r w:rsidRPr="006234AA">
          <w:rPr>
            <w:noProof/>
            <w:webHidden/>
          </w:rPr>
        </w:r>
        <w:r w:rsidRPr="006234AA">
          <w:rPr>
            <w:noProof/>
            <w:webHidden/>
          </w:rPr>
          <w:fldChar w:fldCharType="separate"/>
        </w:r>
        <w:r w:rsidR="00060F30">
          <w:rPr>
            <w:noProof/>
            <w:webHidden/>
          </w:rPr>
          <w:t>16</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51"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14. Ph</w:t>
        </w:r>
        <w:r w:rsidR="00D92677" w:rsidRPr="006234AA">
          <w:rPr>
            <w:rStyle w:val="Hyperlink"/>
            <w:rFonts w:ascii="Times New Roman" w:hAnsi="Times New Roman" w:cs="Times New Roman"/>
            <w:noProof/>
            <w:color w:val="auto"/>
          </w:rPr>
          <w:t>ươ</w:t>
        </w:r>
        <w:r w:rsidR="00D92677" w:rsidRPr="006234AA">
          <w:rPr>
            <w:rStyle w:val="Hyperlink"/>
            <w:noProof/>
            <w:color w:val="auto"/>
          </w:rPr>
          <w:t>ng th</w:t>
        </w:r>
        <w:r w:rsidR="00D92677" w:rsidRPr="006234AA">
          <w:rPr>
            <w:rStyle w:val="Hyperlink"/>
            <w:rFonts w:ascii="Times New Roman" w:hAnsi="Times New Roman" w:cs="Times New Roman"/>
            <w:noProof/>
            <w:color w:val="auto"/>
          </w:rPr>
          <w:t>ứ</w:t>
        </w:r>
        <w:r w:rsidR="00D92677" w:rsidRPr="006234AA">
          <w:rPr>
            <w:rStyle w:val="Hyperlink"/>
            <w:noProof/>
            <w:color w:val="auto"/>
          </w:rPr>
          <w:t>c thanh toán</w:t>
        </w:r>
        <w:r w:rsidR="00D92677" w:rsidRPr="006234AA">
          <w:rPr>
            <w:noProof/>
            <w:webHidden/>
          </w:rPr>
          <w:tab/>
        </w:r>
        <w:r w:rsidRPr="006234AA">
          <w:rPr>
            <w:noProof/>
            <w:webHidden/>
          </w:rPr>
          <w:fldChar w:fldCharType="begin"/>
        </w:r>
        <w:r w:rsidR="00D92677" w:rsidRPr="006234AA">
          <w:rPr>
            <w:noProof/>
            <w:webHidden/>
          </w:rPr>
          <w:instrText xml:space="preserve"> PAGEREF _Toc422671951 \h </w:instrText>
        </w:r>
        <w:r w:rsidRPr="006234AA">
          <w:rPr>
            <w:noProof/>
            <w:webHidden/>
          </w:rPr>
        </w:r>
        <w:r w:rsidRPr="006234AA">
          <w:rPr>
            <w:noProof/>
            <w:webHidden/>
          </w:rPr>
          <w:fldChar w:fldCharType="separate"/>
        </w:r>
        <w:r w:rsidR="00060F30">
          <w:rPr>
            <w:noProof/>
            <w:webHidden/>
          </w:rPr>
          <w:t>16</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52"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15. B</w:t>
        </w:r>
        <w:r w:rsidR="00D92677" w:rsidRPr="006234AA">
          <w:rPr>
            <w:rStyle w:val="Hyperlink"/>
            <w:rFonts w:ascii="Times New Roman" w:hAnsi="Times New Roman" w:cs="Times New Roman"/>
            <w:noProof/>
            <w:color w:val="auto"/>
          </w:rPr>
          <w:t>ướ</w:t>
        </w:r>
        <w:r w:rsidR="00D92677" w:rsidRPr="006234AA">
          <w:rPr>
            <w:rStyle w:val="Hyperlink"/>
            <w:noProof/>
            <w:color w:val="auto"/>
          </w:rPr>
          <w:t>c giá, đ</w:t>
        </w:r>
        <w:r w:rsidR="00D92677" w:rsidRPr="006234AA">
          <w:rPr>
            <w:rStyle w:val="Hyperlink"/>
            <w:rFonts w:ascii="Times New Roman" w:hAnsi="Times New Roman" w:cs="Times New Roman"/>
            <w:noProof/>
            <w:color w:val="auto"/>
          </w:rPr>
          <w:t>ơ</w:t>
        </w:r>
        <w:r w:rsidR="00D92677" w:rsidRPr="006234AA">
          <w:rPr>
            <w:rStyle w:val="Hyperlink"/>
            <w:noProof/>
            <w:color w:val="auto"/>
          </w:rPr>
          <w:t>n v</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y</w:t>
        </w:r>
        <w:r w:rsidR="00D92677" w:rsidRPr="006234AA">
          <w:rPr>
            <w:rStyle w:val="Hyperlink"/>
            <w:rFonts w:ascii="Times New Roman" w:hAnsi="Times New Roman" w:cs="Times New Roman"/>
            <w:noProof/>
            <w:color w:val="auto"/>
          </w:rPr>
          <w:t>ế</w:t>
        </w:r>
        <w:r w:rsidR="00D92677" w:rsidRPr="006234AA">
          <w:rPr>
            <w:rStyle w:val="Hyperlink"/>
            <w:noProof/>
            <w:color w:val="auto"/>
          </w:rPr>
          <w:t>t giá, biên đ</w:t>
        </w:r>
        <w:r w:rsidR="00D92677" w:rsidRPr="006234AA">
          <w:rPr>
            <w:rStyle w:val="Hyperlink"/>
            <w:rFonts w:ascii="Times New Roman" w:hAnsi="Times New Roman" w:cs="Times New Roman"/>
            <w:noProof/>
            <w:color w:val="auto"/>
          </w:rPr>
          <w:t>ộ</w:t>
        </w:r>
        <w:r w:rsidR="00D92677" w:rsidRPr="006234AA">
          <w:rPr>
            <w:rStyle w:val="Hyperlink"/>
            <w:noProof/>
            <w:color w:val="auto"/>
          </w:rPr>
          <w:t xml:space="preserve"> dao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giá</w:t>
        </w:r>
        <w:r w:rsidR="00D92677" w:rsidRPr="006234AA">
          <w:rPr>
            <w:noProof/>
            <w:webHidden/>
          </w:rPr>
          <w:tab/>
        </w:r>
        <w:r w:rsidRPr="006234AA">
          <w:rPr>
            <w:noProof/>
            <w:webHidden/>
          </w:rPr>
          <w:fldChar w:fldCharType="begin"/>
        </w:r>
        <w:r w:rsidR="00D92677" w:rsidRPr="006234AA">
          <w:rPr>
            <w:noProof/>
            <w:webHidden/>
          </w:rPr>
          <w:instrText xml:space="preserve"> PAGEREF _Toc422671952 \h </w:instrText>
        </w:r>
        <w:r w:rsidRPr="006234AA">
          <w:rPr>
            <w:noProof/>
            <w:webHidden/>
          </w:rPr>
        </w:r>
        <w:r w:rsidRPr="006234AA">
          <w:rPr>
            <w:noProof/>
            <w:webHidden/>
          </w:rPr>
          <w:fldChar w:fldCharType="separate"/>
        </w:r>
        <w:r w:rsidR="00060F30">
          <w:rPr>
            <w:noProof/>
            <w:webHidden/>
          </w:rPr>
          <w:t>17</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53"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16. Giá tham chi</w:t>
        </w:r>
        <w:r w:rsidR="00D92677" w:rsidRPr="006234AA">
          <w:rPr>
            <w:rStyle w:val="Hyperlink"/>
            <w:rFonts w:ascii="Times New Roman" w:hAnsi="Times New Roman" w:cs="Times New Roman"/>
            <w:noProof/>
            <w:color w:val="auto"/>
          </w:rPr>
          <w:t>ế</w:t>
        </w:r>
        <w:r w:rsidR="00D92677" w:rsidRPr="006234AA">
          <w:rPr>
            <w:rStyle w:val="Hyperlink"/>
            <w:noProof/>
            <w:color w:val="auto"/>
          </w:rPr>
          <w:t>u, giá thanh toán cu</w:t>
        </w:r>
        <w:r w:rsidR="00D92677" w:rsidRPr="006234AA">
          <w:rPr>
            <w:rStyle w:val="Hyperlink"/>
            <w:rFonts w:ascii="Times New Roman" w:hAnsi="Times New Roman" w:cs="Times New Roman"/>
            <w:noProof/>
            <w:color w:val="auto"/>
          </w:rPr>
          <w:t>ố</w:t>
        </w:r>
        <w:r w:rsidR="00D92677" w:rsidRPr="006234AA">
          <w:rPr>
            <w:rStyle w:val="Hyperlink"/>
            <w:noProof/>
            <w:color w:val="auto"/>
          </w:rPr>
          <w:t>i ngày, giá thanh toán cu</w:t>
        </w:r>
        <w:r w:rsidR="00D92677" w:rsidRPr="006234AA">
          <w:rPr>
            <w:rStyle w:val="Hyperlink"/>
            <w:rFonts w:ascii="Times New Roman" w:hAnsi="Times New Roman" w:cs="Times New Roman"/>
            <w:noProof/>
            <w:color w:val="auto"/>
          </w:rPr>
          <w:t>ố</w:t>
        </w:r>
        <w:r w:rsidR="00D92677" w:rsidRPr="006234AA">
          <w:rPr>
            <w:rStyle w:val="Hyperlink"/>
            <w:noProof/>
            <w:color w:val="auto"/>
          </w:rPr>
          <w:t>i cùng</w:t>
        </w:r>
        <w:r w:rsidR="00D92677" w:rsidRPr="006234AA">
          <w:rPr>
            <w:noProof/>
            <w:webHidden/>
          </w:rPr>
          <w:tab/>
        </w:r>
        <w:r w:rsidRPr="006234AA">
          <w:rPr>
            <w:noProof/>
            <w:webHidden/>
          </w:rPr>
          <w:fldChar w:fldCharType="begin"/>
        </w:r>
        <w:r w:rsidR="00D92677" w:rsidRPr="006234AA">
          <w:rPr>
            <w:noProof/>
            <w:webHidden/>
          </w:rPr>
          <w:instrText xml:space="preserve"> PAGEREF _Toc422671953 \h </w:instrText>
        </w:r>
        <w:r w:rsidRPr="006234AA">
          <w:rPr>
            <w:noProof/>
            <w:webHidden/>
          </w:rPr>
        </w:r>
        <w:r w:rsidRPr="006234AA">
          <w:rPr>
            <w:noProof/>
            <w:webHidden/>
          </w:rPr>
          <w:fldChar w:fldCharType="separate"/>
        </w:r>
        <w:r w:rsidR="00060F30">
          <w:rPr>
            <w:noProof/>
            <w:webHidden/>
          </w:rPr>
          <w:t>17</w:t>
        </w:r>
        <w:r w:rsidRPr="006234AA">
          <w:rPr>
            <w:noProof/>
            <w:webHidden/>
          </w:rPr>
          <w:fldChar w:fldCharType="end"/>
        </w:r>
      </w:hyperlink>
    </w:p>
    <w:p w:rsidR="00D92677" w:rsidRPr="006234AA" w:rsidRDefault="007965E6">
      <w:pPr>
        <w:pStyle w:val="TOC3"/>
        <w:tabs>
          <w:tab w:val="right" w:leader="dot" w:pos="9064"/>
        </w:tabs>
        <w:rPr>
          <w:rFonts w:asciiTheme="minorHAnsi" w:eastAsiaTheme="minorEastAsia" w:hAnsiTheme="minorHAnsi" w:cstheme="minorBidi"/>
          <w:i w:val="0"/>
          <w:iCs w:val="0"/>
          <w:noProof/>
          <w:sz w:val="22"/>
          <w:szCs w:val="22"/>
        </w:rPr>
      </w:pPr>
      <w:hyperlink w:anchor="_Toc422671954" w:history="1">
        <w:r w:rsidR="00D92677" w:rsidRPr="006234AA">
          <w:rPr>
            <w:rStyle w:val="Hyperlink"/>
            <w:noProof/>
            <w:color w:val="auto"/>
          </w:rPr>
          <w:t>M</w:t>
        </w:r>
        <w:r w:rsidR="00D92677" w:rsidRPr="006234AA">
          <w:rPr>
            <w:rStyle w:val="Hyperlink"/>
            <w:rFonts w:ascii="Times New Roman" w:hAnsi="Times New Roman" w:cs="Times New Roman"/>
            <w:noProof/>
            <w:color w:val="auto"/>
          </w:rPr>
          <w:t>ụ</w:t>
        </w:r>
        <w:r w:rsidR="00D92677" w:rsidRPr="006234AA">
          <w:rPr>
            <w:rStyle w:val="Hyperlink"/>
            <w:noProof/>
            <w:color w:val="auto"/>
          </w:rPr>
          <w:t>c 2</w:t>
        </w:r>
        <w:r w:rsidR="00D92677" w:rsidRPr="006234AA">
          <w:rPr>
            <w:noProof/>
            <w:webHidden/>
          </w:rPr>
          <w:tab/>
        </w:r>
        <w:r w:rsidRPr="006234AA">
          <w:rPr>
            <w:noProof/>
            <w:webHidden/>
          </w:rPr>
          <w:fldChar w:fldCharType="begin"/>
        </w:r>
        <w:r w:rsidR="00D92677" w:rsidRPr="006234AA">
          <w:rPr>
            <w:noProof/>
            <w:webHidden/>
          </w:rPr>
          <w:instrText xml:space="preserve"> PAGEREF _Toc422671954 \h </w:instrText>
        </w:r>
        <w:r w:rsidRPr="006234AA">
          <w:rPr>
            <w:noProof/>
            <w:webHidden/>
          </w:rPr>
        </w:r>
        <w:r w:rsidRPr="006234AA">
          <w:rPr>
            <w:noProof/>
            <w:webHidden/>
          </w:rPr>
          <w:fldChar w:fldCharType="separate"/>
        </w:r>
        <w:r w:rsidR="00060F30">
          <w:rPr>
            <w:noProof/>
            <w:webHidden/>
          </w:rPr>
          <w:t>17</w:t>
        </w:r>
        <w:r w:rsidRPr="006234AA">
          <w:rPr>
            <w:noProof/>
            <w:webHidden/>
          </w:rPr>
          <w:fldChar w:fldCharType="end"/>
        </w:r>
      </w:hyperlink>
    </w:p>
    <w:p w:rsidR="00D92677" w:rsidRPr="006234AA" w:rsidRDefault="007965E6">
      <w:pPr>
        <w:pStyle w:val="TOC3"/>
        <w:tabs>
          <w:tab w:val="right" w:leader="dot" w:pos="9064"/>
        </w:tabs>
        <w:rPr>
          <w:rFonts w:asciiTheme="minorHAnsi" w:eastAsiaTheme="minorEastAsia" w:hAnsiTheme="minorHAnsi" w:cstheme="minorBidi"/>
          <w:i w:val="0"/>
          <w:iCs w:val="0"/>
          <w:noProof/>
          <w:sz w:val="22"/>
          <w:szCs w:val="22"/>
        </w:rPr>
      </w:pPr>
      <w:hyperlink w:anchor="_Toc422671955" w:history="1">
        <w:r w:rsidR="00D92677" w:rsidRPr="006234AA">
          <w:rPr>
            <w:rStyle w:val="Hyperlink"/>
            <w:noProof/>
            <w:color w:val="auto"/>
          </w:rPr>
          <w:t>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 TRÁI PHI</w:t>
        </w:r>
        <w:r w:rsidR="00D92677" w:rsidRPr="006234AA">
          <w:rPr>
            <w:rStyle w:val="Hyperlink"/>
            <w:rFonts w:ascii="Times New Roman" w:hAnsi="Times New Roman" w:cs="Times New Roman"/>
            <w:noProof/>
            <w:color w:val="auto"/>
          </w:rPr>
          <w:t>Ế</w:t>
        </w:r>
        <w:r w:rsidR="00D92677" w:rsidRPr="006234AA">
          <w:rPr>
            <w:rStyle w:val="Hyperlink"/>
            <w:noProof/>
            <w:color w:val="auto"/>
          </w:rPr>
          <w:t>U CHÍNH PH</w:t>
        </w:r>
        <w:r w:rsidR="00D92677" w:rsidRPr="006234AA">
          <w:rPr>
            <w:rStyle w:val="Hyperlink"/>
            <w:rFonts w:ascii="Times New Roman" w:hAnsi="Times New Roman" w:cs="Times New Roman"/>
            <w:noProof/>
            <w:color w:val="auto"/>
          </w:rPr>
          <w:t>Ủ</w:t>
        </w:r>
        <w:r w:rsidR="00D92677" w:rsidRPr="006234AA">
          <w:rPr>
            <w:noProof/>
            <w:webHidden/>
          </w:rPr>
          <w:tab/>
        </w:r>
        <w:r w:rsidRPr="006234AA">
          <w:rPr>
            <w:noProof/>
            <w:webHidden/>
          </w:rPr>
          <w:fldChar w:fldCharType="begin"/>
        </w:r>
        <w:r w:rsidR="00D92677" w:rsidRPr="006234AA">
          <w:rPr>
            <w:noProof/>
            <w:webHidden/>
          </w:rPr>
          <w:instrText xml:space="preserve"> PAGEREF _Toc422671955 \h </w:instrText>
        </w:r>
        <w:r w:rsidRPr="006234AA">
          <w:rPr>
            <w:noProof/>
            <w:webHidden/>
          </w:rPr>
        </w:r>
        <w:r w:rsidRPr="006234AA">
          <w:rPr>
            <w:noProof/>
            <w:webHidden/>
          </w:rPr>
          <w:fldChar w:fldCharType="separate"/>
        </w:r>
        <w:r w:rsidR="00060F30">
          <w:rPr>
            <w:noProof/>
            <w:webHidden/>
          </w:rPr>
          <w:t>17</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56"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17. N</w:t>
        </w:r>
        <w:r w:rsidR="00D92677" w:rsidRPr="006234AA">
          <w:rPr>
            <w:rStyle w:val="Hyperlink"/>
            <w:rFonts w:ascii="Times New Roman" w:hAnsi="Times New Roman" w:cs="Times New Roman"/>
            <w:noProof/>
            <w:color w:val="auto"/>
          </w:rPr>
          <w:t>ộ</w:t>
        </w:r>
        <w:r w:rsidR="00D92677" w:rsidRPr="006234AA">
          <w:rPr>
            <w:rStyle w:val="Hyperlink"/>
            <w:noProof/>
            <w:color w:val="auto"/>
          </w:rPr>
          <w:t>i dung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 trái phi</w:t>
        </w:r>
        <w:r w:rsidR="00D92677" w:rsidRPr="006234AA">
          <w:rPr>
            <w:rStyle w:val="Hyperlink"/>
            <w:rFonts w:ascii="Times New Roman" w:hAnsi="Times New Roman" w:cs="Times New Roman"/>
            <w:noProof/>
            <w:color w:val="auto"/>
          </w:rPr>
          <w:t>ế</w:t>
        </w:r>
        <w:r w:rsidR="00D92677" w:rsidRPr="006234AA">
          <w:rPr>
            <w:rStyle w:val="Hyperlink"/>
            <w:noProof/>
            <w:color w:val="auto"/>
          </w:rPr>
          <w:t>u Chính ph</w:t>
        </w:r>
        <w:r w:rsidR="00D92677" w:rsidRPr="006234AA">
          <w:rPr>
            <w:rStyle w:val="Hyperlink"/>
            <w:rFonts w:ascii="Times New Roman" w:hAnsi="Times New Roman" w:cs="Times New Roman"/>
            <w:noProof/>
            <w:color w:val="auto"/>
          </w:rPr>
          <w:t>ủ</w:t>
        </w:r>
        <w:r w:rsidR="00D92677" w:rsidRPr="006234AA">
          <w:rPr>
            <w:noProof/>
            <w:webHidden/>
          </w:rPr>
          <w:tab/>
        </w:r>
        <w:r w:rsidRPr="006234AA">
          <w:rPr>
            <w:noProof/>
            <w:webHidden/>
          </w:rPr>
          <w:fldChar w:fldCharType="begin"/>
        </w:r>
        <w:r w:rsidR="00D92677" w:rsidRPr="006234AA">
          <w:rPr>
            <w:noProof/>
            <w:webHidden/>
          </w:rPr>
          <w:instrText xml:space="preserve"> PAGEREF _Toc422671956 \h </w:instrText>
        </w:r>
        <w:r w:rsidRPr="006234AA">
          <w:rPr>
            <w:noProof/>
            <w:webHidden/>
          </w:rPr>
        </w:r>
        <w:r w:rsidRPr="006234AA">
          <w:rPr>
            <w:noProof/>
            <w:webHidden/>
          </w:rPr>
          <w:fldChar w:fldCharType="separate"/>
        </w:r>
        <w:r w:rsidR="00060F30">
          <w:rPr>
            <w:noProof/>
            <w:webHidden/>
          </w:rPr>
          <w:t>18</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57"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18. Tài s</w:t>
        </w:r>
        <w:r w:rsidR="00D92677" w:rsidRPr="006234AA">
          <w:rPr>
            <w:rStyle w:val="Hyperlink"/>
            <w:rFonts w:ascii="Times New Roman" w:hAnsi="Times New Roman" w:cs="Times New Roman"/>
            <w:noProof/>
            <w:color w:val="auto"/>
          </w:rPr>
          <w:t>ả</w:t>
        </w:r>
        <w:r w:rsidR="00D92677" w:rsidRPr="006234AA">
          <w:rPr>
            <w:rStyle w:val="Hyperlink"/>
            <w:noProof/>
            <w:color w:val="auto"/>
          </w:rPr>
          <w:t>n c</w:t>
        </w:r>
        <w:r w:rsidR="00D92677" w:rsidRPr="006234AA">
          <w:rPr>
            <w:rStyle w:val="Hyperlink"/>
            <w:rFonts w:ascii="Times New Roman" w:hAnsi="Times New Roman" w:cs="Times New Roman"/>
            <w:noProof/>
            <w:color w:val="auto"/>
          </w:rPr>
          <w:t>ơ</w:t>
        </w:r>
        <w:r w:rsidR="00D92677" w:rsidRPr="006234AA">
          <w:rPr>
            <w:rStyle w:val="Hyperlink"/>
            <w:noProof/>
            <w:color w:val="auto"/>
          </w:rPr>
          <w:t xml:space="preserve"> s</w:t>
        </w:r>
        <w:r w:rsidR="00D92677" w:rsidRPr="006234AA">
          <w:rPr>
            <w:rStyle w:val="Hyperlink"/>
            <w:rFonts w:ascii="Times New Roman" w:hAnsi="Times New Roman" w:cs="Times New Roman"/>
            <w:noProof/>
            <w:color w:val="auto"/>
          </w:rPr>
          <w:t>ở</w:t>
        </w:r>
        <w:r w:rsidR="00D92677" w:rsidRPr="006234AA">
          <w:rPr>
            <w:rStyle w:val="Hyperlink"/>
            <w:noProof/>
            <w:color w:val="auto"/>
          </w:rPr>
          <w:t>, tài s</w:t>
        </w:r>
        <w:r w:rsidR="00D92677" w:rsidRPr="006234AA">
          <w:rPr>
            <w:rStyle w:val="Hyperlink"/>
            <w:rFonts w:ascii="Times New Roman" w:hAnsi="Times New Roman" w:cs="Times New Roman"/>
            <w:noProof/>
            <w:color w:val="auto"/>
          </w:rPr>
          <w:t>ả</w:t>
        </w:r>
        <w:r w:rsidR="00D92677" w:rsidRPr="006234AA">
          <w:rPr>
            <w:rStyle w:val="Hyperlink"/>
            <w:noProof/>
            <w:color w:val="auto"/>
          </w:rPr>
          <w:t>n có th</w:t>
        </w:r>
        <w:r w:rsidR="00D92677" w:rsidRPr="006234AA">
          <w:rPr>
            <w:rStyle w:val="Hyperlink"/>
            <w:rFonts w:ascii="Times New Roman" w:hAnsi="Times New Roman" w:cs="Times New Roman"/>
            <w:noProof/>
            <w:color w:val="auto"/>
          </w:rPr>
          <w:t>ể</w:t>
        </w:r>
        <w:r w:rsidR="00D92677" w:rsidRPr="006234AA">
          <w:rPr>
            <w:rStyle w:val="Hyperlink"/>
            <w:noProof/>
            <w:color w:val="auto"/>
          </w:rPr>
          <w:t xml:space="preserve"> chuy</w:t>
        </w:r>
        <w:r w:rsidR="00D92677" w:rsidRPr="006234AA">
          <w:rPr>
            <w:rStyle w:val="Hyperlink"/>
            <w:rFonts w:ascii="Times New Roman" w:hAnsi="Times New Roman" w:cs="Times New Roman"/>
            <w:noProof/>
            <w:color w:val="auto"/>
          </w:rPr>
          <w:t>ể</w:t>
        </w:r>
        <w:r w:rsidR="00D92677" w:rsidRPr="006234AA">
          <w:rPr>
            <w:rStyle w:val="Hyperlink"/>
            <w:noProof/>
            <w:color w:val="auto"/>
          </w:rPr>
          <w:t>n giao</w:t>
        </w:r>
        <w:r w:rsidR="00D92677" w:rsidRPr="006234AA">
          <w:rPr>
            <w:noProof/>
            <w:webHidden/>
          </w:rPr>
          <w:tab/>
        </w:r>
        <w:r w:rsidRPr="006234AA">
          <w:rPr>
            <w:noProof/>
            <w:webHidden/>
          </w:rPr>
          <w:fldChar w:fldCharType="begin"/>
        </w:r>
        <w:r w:rsidR="00D92677" w:rsidRPr="006234AA">
          <w:rPr>
            <w:noProof/>
            <w:webHidden/>
          </w:rPr>
          <w:instrText xml:space="preserve"> PAGEREF _Toc422671957 \h </w:instrText>
        </w:r>
        <w:r w:rsidRPr="006234AA">
          <w:rPr>
            <w:noProof/>
            <w:webHidden/>
          </w:rPr>
        </w:r>
        <w:r w:rsidRPr="006234AA">
          <w:rPr>
            <w:noProof/>
            <w:webHidden/>
          </w:rPr>
          <w:fldChar w:fldCharType="separate"/>
        </w:r>
        <w:r w:rsidR="00060F30">
          <w:rPr>
            <w:noProof/>
            <w:webHidden/>
          </w:rPr>
          <w:t>18</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58"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19. Giá tr</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w:t>
        </w:r>
        <w:r w:rsidR="00D92677" w:rsidRPr="006234AA">
          <w:rPr>
            <w:noProof/>
            <w:webHidden/>
          </w:rPr>
          <w:tab/>
        </w:r>
        <w:r w:rsidRPr="006234AA">
          <w:rPr>
            <w:noProof/>
            <w:webHidden/>
          </w:rPr>
          <w:fldChar w:fldCharType="begin"/>
        </w:r>
        <w:r w:rsidR="00D92677" w:rsidRPr="006234AA">
          <w:rPr>
            <w:noProof/>
            <w:webHidden/>
          </w:rPr>
          <w:instrText xml:space="preserve"> PAGEREF _Toc422671958 \h </w:instrText>
        </w:r>
        <w:r w:rsidRPr="006234AA">
          <w:rPr>
            <w:noProof/>
            <w:webHidden/>
          </w:rPr>
        </w:r>
        <w:r w:rsidRPr="006234AA">
          <w:rPr>
            <w:noProof/>
            <w:webHidden/>
          </w:rPr>
          <w:fldChar w:fldCharType="separate"/>
        </w:r>
        <w:r w:rsidR="00060F30">
          <w:rPr>
            <w:noProof/>
            <w:webHidden/>
          </w:rPr>
          <w:t>19</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59"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20. Tháng đáo h</w:t>
        </w:r>
        <w:r w:rsidR="00D92677" w:rsidRPr="006234AA">
          <w:rPr>
            <w:rStyle w:val="Hyperlink"/>
            <w:rFonts w:ascii="Times New Roman" w:hAnsi="Times New Roman" w:cs="Times New Roman"/>
            <w:noProof/>
            <w:color w:val="auto"/>
          </w:rPr>
          <w:t>ạ</w:t>
        </w:r>
        <w:r w:rsidR="00D92677" w:rsidRPr="006234AA">
          <w:rPr>
            <w:rStyle w:val="Hyperlink"/>
            <w:noProof/>
            <w:color w:val="auto"/>
          </w:rPr>
          <w:t>n, gi</w:t>
        </w:r>
        <w:r w:rsidR="00D92677" w:rsidRPr="006234AA">
          <w:rPr>
            <w:rStyle w:val="Hyperlink"/>
            <w:rFonts w:ascii="Times New Roman" w:hAnsi="Times New Roman" w:cs="Times New Roman"/>
            <w:noProof/>
            <w:color w:val="auto"/>
          </w:rPr>
          <w:t>ờ</w:t>
        </w:r>
        <w:r w:rsidR="00D92677" w:rsidRPr="006234AA">
          <w:rPr>
            <w:rStyle w:val="Hyperlink"/>
            <w:noProof/>
            <w:color w:val="auto"/>
          </w:rPr>
          <w:t xml:space="preserve">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_Toc422671959 \h </w:instrText>
        </w:r>
        <w:r w:rsidRPr="006234AA">
          <w:rPr>
            <w:noProof/>
            <w:webHidden/>
          </w:rPr>
        </w:r>
        <w:r w:rsidRPr="006234AA">
          <w:rPr>
            <w:noProof/>
            <w:webHidden/>
          </w:rPr>
          <w:fldChar w:fldCharType="separate"/>
        </w:r>
        <w:r w:rsidR="00060F30">
          <w:rPr>
            <w:noProof/>
            <w:webHidden/>
          </w:rPr>
          <w:t>20</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60"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21. Ngày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 cu</w:t>
        </w:r>
        <w:r w:rsidR="00D92677" w:rsidRPr="006234AA">
          <w:rPr>
            <w:rStyle w:val="Hyperlink"/>
            <w:rFonts w:ascii="Times New Roman" w:hAnsi="Times New Roman" w:cs="Times New Roman"/>
            <w:noProof/>
            <w:color w:val="auto"/>
          </w:rPr>
          <w:t>ố</w:t>
        </w:r>
        <w:r w:rsidR="00D92677" w:rsidRPr="006234AA">
          <w:rPr>
            <w:rStyle w:val="Hyperlink"/>
            <w:noProof/>
            <w:color w:val="auto"/>
          </w:rPr>
          <w:t>i cùng, ngày thanh toán cu</w:t>
        </w:r>
        <w:r w:rsidR="00D92677" w:rsidRPr="006234AA">
          <w:rPr>
            <w:rStyle w:val="Hyperlink"/>
            <w:rFonts w:ascii="Times New Roman" w:hAnsi="Times New Roman" w:cs="Times New Roman"/>
            <w:noProof/>
            <w:color w:val="auto"/>
          </w:rPr>
          <w:t>ố</w:t>
        </w:r>
        <w:r w:rsidR="00D92677" w:rsidRPr="006234AA">
          <w:rPr>
            <w:rStyle w:val="Hyperlink"/>
            <w:noProof/>
            <w:color w:val="auto"/>
          </w:rPr>
          <w:t>i cùng</w:t>
        </w:r>
        <w:r w:rsidR="00D92677" w:rsidRPr="006234AA">
          <w:rPr>
            <w:noProof/>
            <w:webHidden/>
          </w:rPr>
          <w:tab/>
        </w:r>
        <w:r w:rsidRPr="006234AA">
          <w:rPr>
            <w:noProof/>
            <w:webHidden/>
          </w:rPr>
          <w:fldChar w:fldCharType="begin"/>
        </w:r>
        <w:r w:rsidR="00D92677" w:rsidRPr="006234AA">
          <w:rPr>
            <w:noProof/>
            <w:webHidden/>
          </w:rPr>
          <w:instrText xml:space="preserve"> PAGEREF _Toc422671960 \h </w:instrText>
        </w:r>
        <w:r w:rsidRPr="006234AA">
          <w:rPr>
            <w:noProof/>
            <w:webHidden/>
          </w:rPr>
        </w:r>
        <w:r w:rsidRPr="006234AA">
          <w:rPr>
            <w:noProof/>
            <w:webHidden/>
          </w:rPr>
          <w:fldChar w:fldCharType="separate"/>
        </w:r>
        <w:r w:rsidR="00060F30">
          <w:rPr>
            <w:noProof/>
            <w:webHidden/>
          </w:rPr>
          <w:t>20</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61"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22. B</w:t>
        </w:r>
        <w:r w:rsidR="00D92677" w:rsidRPr="006234AA">
          <w:rPr>
            <w:rStyle w:val="Hyperlink"/>
            <w:rFonts w:ascii="Times New Roman" w:hAnsi="Times New Roman" w:cs="Times New Roman"/>
            <w:noProof/>
            <w:color w:val="auto"/>
          </w:rPr>
          <w:t>ướ</w:t>
        </w:r>
        <w:r w:rsidR="00D92677" w:rsidRPr="006234AA">
          <w:rPr>
            <w:rStyle w:val="Hyperlink"/>
            <w:noProof/>
            <w:color w:val="auto"/>
          </w:rPr>
          <w:t>c giá, đ</w:t>
        </w:r>
        <w:r w:rsidR="00D92677" w:rsidRPr="006234AA">
          <w:rPr>
            <w:rStyle w:val="Hyperlink"/>
            <w:rFonts w:ascii="Times New Roman" w:hAnsi="Times New Roman" w:cs="Times New Roman"/>
            <w:noProof/>
            <w:color w:val="auto"/>
          </w:rPr>
          <w:t>ơ</w:t>
        </w:r>
        <w:r w:rsidR="00D92677" w:rsidRPr="006234AA">
          <w:rPr>
            <w:rStyle w:val="Hyperlink"/>
            <w:noProof/>
            <w:color w:val="auto"/>
          </w:rPr>
          <w:t>n v</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y</w:t>
        </w:r>
        <w:r w:rsidR="00D92677" w:rsidRPr="006234AA">
          <w:rPr>
            <w:rStyle w:val="Hyperlink"/>
            <w:rFonts w:ascii="Times New Roman" w:hAnsi="Times New Roman" w:cs="Times New Roman"/>
            <w:noProof/>
            <w:color w:val="auto"/>
          </w:rPr>
          <w:t>ế</w:t>
        </w:r>
        <w:r w:rsidR="00D92677" w:rsidRPr="006234AA">
          <w:rPr>
            <w:rStyle w:val="Hyperlink"/>
            <w:noProof/>
            <w:color w:val="auto"/>
          </w:rPr>
          <w:t>t giá, biên đ</w:t>
        </w:r>
        <w:r w:rsidR="00D92677" w:rsidRPr="006234AA">
          <w:rPr>
            <w:rStyle w:val="Hyperlink"/>
            <w:rFonts w:ascii="Times New Roman" w:hAnsi="Times New Roman" w:cs="Times New Roman"/>
            <w:noProof/>
            <w:color w:val="auto"/>
          </w:rPr>
          <w:t>ộ</w:t>
        </w:r>
        <w:r w:rsidR="00D92677" w:rsidRPr="006234AA">
          <w:rPr>
            <w:rStyle w:val="Hyperlink"/>
            <w:noProof/>
            <w:color w:val="auto"/>
          </w:rPr>
          <w:t xml:space="preserve"> dao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giá</w:t>
        </w:r>
        <w:r w:rsidR="00D92677" w:rsidRPr="006234AA">
          <w:rPr>
            <w:noProof/>
            <w:webHidden/>
          </w:rPr>
          <w:tab/>
        </w:r>
        <w:r w:rsidRPr="006234AA">
          <w:rPr>
            <w:noProof/>
            <w:webHidden/>
          </w:rPr>
          <w:fldChar w:fldCharType="begin"/>
        </w:r>
        <w:r w:rsidR="00D92677" w:rsidRPr="006234AA">
          <w:rPr>
            <w:noProof/>
            <w:webHidden/>
          </w:rPr>
          <w:instrText xml:space="preserve"> PAGEREF _Toc422671961 \h </w:instrText>
        </w:r>
        <w:r w:rsidRPr="006234AA">
          <w:rPr>
            <w:noProof/>
            <w:webHidden/>
          </w:rPr>
        </w:r>
        <w:r w:rsidRPr="006234AA">
          <w:rPr>
            <w:noProof/>
            <w:webHidden/>
          </w:rPr>
          <w:fldChar w:fldCharType="separate"/>
        </w:r>
        <w:r w:rsidR="00060F30">
          <w:rPr>
            <w:noProof/>
            <w:webHidden/>
          </w:rPr>
          <w:t>20</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62"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23. Giá tham chi</w:t>
        </w:r>
        <w:r w:rsidR="00D92677" w:rsidRPr="006234AA">
          <w:rPr>
            <w:rStyle w:val="Hyperlink"/>
            <w:rFonts w:ascii="Times New Roman" w:hAnsi="Times New Roman" w:cs="Times New Roman"/>
            <w:noProof/>
            <w:color w:val="auto"/>
          </w:rPr>
          <w:t>ế</w:t>
        </w:r>
        <w:r w:rsidR="00D92677" w:rsidRPr="006234AA">
          <w:rPr>
            <w:rStyle w:val="Hyperlink"/>
            <w:noProof/>
            <w:color w:val="auto"/>
          </w:rPr>
          <w:t>u, giá thanh toán cu</w:t>
        </w:r>
        <w:r w:rsidR="00D92677" w:rsidRPr="006234AA">
          <w:rPr>
            <w:rStyle w:val="Hyperlink"/>
            <w:rFonts w:ascii="Times New Roman" w:hAnsi="Times New Roman" w:cs="Times New Roman"/>
            <w:noProof/>
            <w:color w:val="auto"/>
          </w:rPr>
          <w:t>ố</w:t>
        </w:r>
        <w:r w:rsidR="00D92677" w:rsidRPr="006234AA">
          <w:rPr>
            <w:rStyle w:val="Hyperlink"/>
            <w:noProof/>
            <w:color w:val="auto"/>
          </w:rPr>
          <w:t>i ngày, giá thanh toán cu</w:t>
        </w:r>
        <w:r w:rsidR="00D92677" w:rsidRPr="006234AA">
          <w:rPr>
            <w:rStyle w:val="Hyperlink"/>
            <w:rFonts w:ascii="Times New Roman" w:hAnsi="Times New Roman" w:cs="Times New Roman"/>
            <w:noProof/>
            <w:color w:val="auto"/>
          </w:rPr>
          <w:t>ố</w:t>
        </w:r>
        <w:r w:rsidR="00D92677" w:rsidRPr="006234AA">
          <w:rPr>
            <w:rStyle w:val="Hyperlink"/>
            <w:noProof/>
            <w:color w:val="auto"/>
          </w:rPr>
          <w:t>i cùng</w:t>
        </w:r>
        <w:r w:rsidR="00D92677" w:rsidRPr="006234AA">
          <w:rPr>
            <w:noProof/>
            <w:webHidden/>
          </w:rPr>
          <w:tab/>
        </w:r>
        <w:r w:rsidRPr="006234AA">
          <w:rPr>
            <w:noProof/>
            <w:webHidden/>
          </w:rPr>
          <w:fldChar w:fldCharType="begin"/>
        </w:r>
        <w:r w:rsidR="00D92677" w:rsidRPr="006234AA">
          <w:rPr>
            <w:noProof/>
            <w:webHidden/>
          </w:rPr>
          <w:instrText xml:space="preserve"> PAGEREF _Toc422671962 \h </w:instrText>
        </w:r>
        <w:r w:rsidRPr="006234AA">
          <w:rPr>
            <w:noProof/>
            <w:webHidden/>
          </w:rPr>
        </w:r>
        <w:r w:rsidRPr="006234AA">
          <w:rPr>
            <w:noProof/>
            <w:webHidden/>
          </w:rPr>
          <w:fldChar w:fldCharType="separate"/>
        </w:r>
        <w:r w:rsidR="00060F30">
          <w:rPr>
            <w:noProof/>
            <w:webHidden/>
          </w:rPr>
          <w:t>21</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63"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24. Thanh lý v</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th</w:t>
        </w:r>
        <w:r w:rsidR="00D92677" w:rsidRPr="006234AA">
          <w:rPr>
            <w:rStyle w:val="Hyperlink"/>
            <w:rFonts w:ascii="Times New Roman" w:hAnsi="Times New Roman" w:cs="Times New Roman"/>
            <w:noProof/>
            <w:color w:val="auto"/>
          </w:rPr>
          <w:t>ế</w:t>
        </w:r>
        <w:r w:rsidR="00D92677" w:rsidRPr="006234AA">
          <w:rPr>
            <w:rStyle w:val="Hyperlink"/>
            <w:noProof/>
            <w:color w:val="auto"/>
          </w:rPr>
          <w:t xml:space="preserve"> đáo h</w:t>
        </w:r>
        <w:r w:rsidR="00D92677" w:rsidRPr="006234AA">
          <w:rPr>
            <w:rStyle w:val="Hyperlink"/>
            <w:rFonts w:ascii="Times New Roman" w:hAnsi="Times New Roman" w:cs="Times New Roman"/>
            <w:noProof/>
            <w:color w:val="auto"/>
          </w:rPr>
          <w:t>ạ</w:t>
        </w:r>
        <w:r w:rsidR="00D92677" w:rsidRPr="006234AA">
          <w:rPr>
            <w:rStyle w:val="Hyperlink"/>
            <w:noProof/>
            <w:color w:val="auto"/>
          </w:rPr>
          <w:t>n</w:t>
        </w:r>
        <w:r w:rsidR="00D92677" w:rsidRPr="006234AA">
          <w:rPr>
            <w:noProof/>
            <w:webHidden/>
          </w:rPr>
          <w:tab/>
        </w:r>
        <w:r w:rsidRPr="006234AA">
          <w:rPr>
            <w:noProof/>
            <w:webHidden/>
          </w:rPr>
          <w:fldChar w:fldCharType="begin"/>
        </w:r>
        <w:r w:rsidR="00D92677" w:rsidRPr="006234AA">
          <w:rPr>
            <w:noProof/>
            <w:webHidden/>
          </w:rPr>
          <w:instrText xml:space="preserve"> PAGEREF _Toc422671963 \h </w:instrText>
        </w:r>
        <w:r w:rsidRPr="006234AA">
          <w:rPr>
            <w:noProof/>
            <w:webHidden/>
          </w:rPr>
        </w:r>
        <w:r w:rsidRPr="006234AA">
          <w:rPr>
            <w:noProof/>
            <w:webHidden/>
          </w:rPr>
          <w:fldChar w:fldCharType="separate"/>
        </w:r>
        <w:r w:rsidR="00060F30">
          <w:rPr>
            <w:noProof/>
            <w:webHidden/>
          </w:rPr>
          <w:t>21</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64"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25. Quy trình chuy</w:t>
        </w:r>
        <w:r w:rsidR="00D92677" w:rsidRPr="006234AA">
          <w:rPr>
            <w:rStyle w:val="Hyperlink"/>
            <w:rFonts w:ascii="Times New Roman" w:hAnsi="Times New Roman" w:cs="Times New Roman"/>
            <w:noProof/>
            <w:color w:val="auto"/>
          </w:rPr>
          <w:t>ể</w:t>
        </w:r>
        <w:r w:rsidR="00D92677" w:rsidRPr="006234AA">
          <w:rPr>
            <w:rStyle w:val="Hyperlink"/>
            <w:noProof/>
            <w:color w:val="auto"/>
          </w:rPr>
          <w:t>n giao tài s</w:t>
        </w:r>
        <w:r w:rsidR="00D92677" w:rsidRPr="006234AA">
          <w:rPr>
            <w:rStyle w:val="Hyperlink"/>
            <w:rFonts w:ascii="Times New Roman" w:hAnsi="Times New Roman" w:cs="Times New Roman"/>
            <w:noProof/>
            <w:color w:val="auto"/>
          </w:rPr>
          <w:t>ả</w:t>
        </w:r>
        <w:r w:rsidR="00D92677" w:rsidRPr="006234AA">
          <w:rPr>
            <w:rStyle w:val="Hyperlink"/>
            <w:noProof/>
            <w:color w:val="auto"/>
          </w:rPr>
          <w:t>n c</w:t>
        </w:r>
        <w:r w:rsidR="00D92677" w:rsidRPr="006234AA">
          <w:rPr>
            <w:rStyle w:val="Hyperlink"/>
            <w:rFonts w:ascii="Times New Roman" w:hAnsi="Times New Roman" w:cs="Times New Roman"/>
            <w:noProof/>
            <w:color w:val="auto"/>
          </w:rPr>
          <w:t>ơ</w:t>
        </w:r>
        <w:r w:rsidR="00D92677" w:rsidRPr="006234AA">
          <w:rPr>
            <w:rStyle w:val="Hyperlink"/>
            <w:noProof/>
            <w:color w:val="auto"/>
          </w:rPr>
          <w:t xml:space="preserve"> s</w:t>
        </w:r>
        <w:r w:rsidR="00D92677" w:rsidRPr="006234AA">
          <w:rPr>
            <w:rStyle w:val="Hyperlink"/>
            <w:rFonts w:ascii="Times New Roman" w:hAnsi="Times New Roman" w:cs="Times New Roman"/>
            <w:noProof/>
            <w:color w:val="auto"/>
          </w:rPr>
          <w:t>ở</w:t>
        </w:r>
        <w:r w:rsidR="00D92677" w:rsidRPr="006234AA">
          <w:rPr>
            <w:rStyle w:val="Hyperlink"/>
            <w:noProof/>
            <w:color w:val="auto"/>
          </w:rPr>
          <w:t xml:space="preserve"> và thanh toán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_Toc422671964 \h </w:instrText>
        </w:r>
        <w:r w:rsidRPr="006234AA">
          <w:rPr>
            <w:noProof/>
            <w:webHidden/>
          </w:rPr>
        </w:r>
        <w:r w:rsidRPr="006234AA">
          <w:rPr>
            <w:noProof/>
            <w:webHidden/>
          </w:rPr>
          <w:fldChar w:fldCharType="separate"/>
        </w:r>
        <w:r w:rsidR="00060F30">
          <w:rPr>
            <w:noProof/>
            <w:webHidden/>
          </w:rPr>
          <w:t>22</w:t>
        </w:r>
        <w:r w:rsidRPr="006234AA">
          <w:rPr>
            <w:noProof/>
            <w:webHidden/>
          </w:rPr>
          <w:fldChar w:fldCharType="end"/>
        </w:r>
      </w:hyperlink>
    </w:p>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hyperlink w:anchor="_Toc422671965" w:history="1">
        <w:r w:rsidR="00D92677" w:rsidRPr="006234AA">
          <w:rPr>
            <w:rStyle w:val="Hyperlink"/>
            <w:noProof/>
            <w:color w:val="auto"/>
          </w:rPr>
          <w:t>Ch</w:t>
        </w:r>
        <w:r w:rsidR="00D92677" w:rsidRPr="006234AA">
          <w:rPr>
            <w:rStyle w:val="Hyperlink"/>
            <w:rFonts w:ascii="Times New Roman" w:hAnsi="Times New Roman" w:cs="Times New Roman"/>
            <w:noProof/>
            <w:color w:val="auto"/>
          </w:rPr>
          <w:t>ươ</w:t>
        </w:r>
        <w:r w:rsidR="00D92677" w:rsidRPr="006234AA">
          <w:rPr>
            <w:rStyle w:val="Hyperlink"/>
            <w:noProof/>
            <w:color w:val="auto"/>
          </w:rPr>
          <w:t>ng IV</w:t>
        </w:r>
        <w:r w:rsidR="00D92677" w:rsidRPr="006234AA">
          <w:rPr>
            <w:noProof/>
            <w:webHidden/>
          </w:rPr>
          <w:tab/>
        </w:r>
        <w:r w:rsidRPr="006234AA">
          <w:rPr>
            <w:noProof/>
            <w:webHidden/>
          </w:rPr>
          <w:fldChar w:fldCharType="begin"/>
        </w:r>
        <w:r w:rsidR="00D92677" w:rsidRPr="006234AA">
          <w:rPr>
            <w:noProof/>
            <w:webHidden/>
          </w:rPr>
          <w:instrText xml:space="preserve"> PAGEREF _Toc422671965 \h </w:instrText>
        </w:r>
        <w:r w:rsidRPr="006234AA">
          <w:rPr>
            <w:noProof/>
            <w:webHidden/>
          </w:rPr>
        </w:r>
        <w:r w:rsidRPr="006234AA">
          <w:rPr>
            <w:noProof/>
            <w:webHidden/>
          </w:rPr>
          <w:fldChar w:fldCharType="separate"/>
        </w:r>
        <w:r w:rsidR="00060F30">
          <w:rPr>
            <w:noProof/>
            <w:webHidden/>
          </w:rPr>
          <w:t>23</w:t>
        </w:r>
        <w:r w:rsidRPr="006234AA">
          <w:rPr>
            <w:noProof/>
            <w:webHidden/>
          </w:rPr>
          <w:fldChar w:fldCharType="end"/>
        </w:r>
      </w:hyperlink>
    </w:p>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hyperlink w:anchor="_Toc422671966" w:history="1">
        <w:r w:rsidR="00D92677" w:rsidRPr="006234AA">
          <w:rPr>
            <w:rStyle w:val="Hyperlink"/>
            <w:noProof/>
            <w:color w:val="auto"/>
          </w:rPr>
          <w:t>KINH DOANH, D</w:t>
        </w:r>
        <w:r w:rsidR="00D92677" w:rsidRPr="006234AA">
          <w:rPr>
            <w:rStyle w:val="Hyperlink"/>
            <w:rFonts w:ascii="Times New Roman" w:hAnsi="Times New Roman" w:cs="Times New Roman"/>
            <w:noProof/>
            <w:color w:val="auto"/>
          </w:rPr>
          <w:t>Ị</w:t>
        </w:r>
        <w:r w:rsidR="00D92677" w:rsidRPr="006234AA">
          <w:rPr>
            <w:rStyle w:val="Hyperlink"/>
            <w:noProof/>
            <w:color w:val="auto"/>
          </w:rPr>
          <w:t>CH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PHÁI SINH</w:t>
        </w:r>
        <w:r w:rsidR="00D92677" w:rsidRPr="006234AA">
          <w:rPr>
            <w:noProof/>
            <w:webHidden/>
          </w:rPr>
          <w:tab/>
        </w:r>
        <w:r w:rsidRPr="006234AA">
          <w:rPr>
            <w:noProof/>
            <w:webHidden/>
          </w:rPr>
          <w:fldChar w:fldCharType="begin"/>
        </w:r>
        <w:r w:rsidR="00D92677" w:rsidRPr="006234AA">
          <w:rPr>
            <w:noProof/>
            <w:webHidden/>
          </w:rPr>
          <w:instrText xml:space="preserve"> PAGEREF _Toc422671966 \h </w:instrText>
        </w:r>
        <w:r w:rsidRPr="006234AA">
          <w:rPr>
            <w:noProof/>
            <w:webHidden/>
          </w:rPr>
        </w:r>
        <w:r w:rsidRPr="006234AA">
          <w:rPr>
            <w:noProof/>
            <w:webHidden/>
          </w:rPr>
          <w:fldChar w:fldCharType="separate"/>
        </w:r>
        <w:r w:rsidR="00060F30">
          <w:rPr>
            <w:noProof/>
            <w:webHidden/>
          </w:rPr>
          <w:t>23</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67" w:history="1">
        <w:r w:rsidR="00D92677" w:rsidRPr="006234AA">
          <w:rPr>
            <w:rStyle w:val="Hyperlink"/>
            <w:noProof/>
            <w:color w:val="auto"/>
          </w:rPr>
          <w:t>M</w:t>
        </w:r>
        <w:r w:rsidR="00D92677" w:rsidRPr="006234AA">
          <w:rPr>
            <w:rStyle w:val="Hyperlink"/>
            <w:rFonts w:ascii="Times New Roman" w:hAnsi="Times New Roman" w:cs="Times New Roman"/>
            <w:noProof/>
            <w:color w:val="auto"/>
          </w:rPr>
          <w:t>ụ</w:t>
        </w:r>
        <w:r w:rsidR="00D92677" w:rsidRPr="006234AA">
          <w:rPr>
            <w:rStyle w:val="Hyperlink"/>
            <w:noProof/>
            <w:color w:val="auto"/>
          </w:rPr>
          <w:t>c 1</w:t>
        </w:r>
        <w:r w:rsidR="00D92677" w:rsidRPr="006234AA">
          <w:rPr>
            <w:noProof/>
            <w:webHidden/>
          </w:rPr>
          <w:tab/>
        </w:r>
        <w:r w:rsidRPr="006234AA">
          <w:rPr>
            <w:noProof/>
            <w:webHidden/>
          </w:rPr>
          <w:fldChar w:fldCharType="begin"/>
        </w:r>
        <w:r w:rsidR="00D92677" w:rsidRPr="006234AA">
          <w:rPr>
            <w:noProof/>
            <w:webHidden/>
          </w:rPr>
          <w:instrText xml:space="preserve"> PAGEREF _Toc422671967 \h </w:instrText>
        </w:r>
        <w:r w:rsidRPr="006234AA">
          <w:rPr>
            <w:noProof/>
            <w:webHidden/>
          </w:rPr>
        </w:r>
        <w:r w:rsidRPr="006234AA">
          <w:rPr>
            <w:noProof/>
            <w:webHidden/>
          </w:rPr>
          <w:fldChar w:fldCharType="separate"/>
        </w:r>
        <w:r w:rsidR="00060F30">
          <w:rPr>
            <w:noProof/>
            <w:webHidden/>
          </w:rPr>
          <w:t>23</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68" w:history="1">
        <w:r w:rsidR="00D92677" w:rsidRPr="006234AA">
          <w:rPr>
            <w:rStyle w:val="Hyperlink"/>
            <w:noProof/>
            <w:color w:val="auto"/>
          </w:rPr>
          <w:t>ĐĂNG KÝ HO</w:t>
        </w:r>
        <w:r w:rsidR="00D92677" w:rsidRPr="006234AA">
          <w:rPr>
            <w:rStyle w:val="Hyperlink"/>
            <w:rFonts w:ascii="Times New Roman" w:hAnsi="Times New Roman" w:cs="Times New Roman"/>
            <w:noProof/>
            <w:color w:val="auto"/>
          </w:rPr>
          <w:t>Ạ</w:t>
        </w:r>
        <w:r w:rsidR="00D92677" w:rsidRPr="006234AA">
          <w:rPr>
            <w:rStyle w:val="Hyperlink"/>
            <w:noProof/>
            <w:color w:val="auto"/>
          </w:rPr>
          <w:t>T Đ</w:t>
        </w:r>
        <w:r w:rsidR="00D92677" w:rsidRPr="006234AA">
          <w:rPr>
            <w:rStyle w:val="Hyperlink"/>
            <w:rFonts w:ascii="Times New Roman" w:hAnsi="Times New Roman" w:cs="Times New Roman"/>
            <w:noProof/>
            <w:color w:val="auto"/>
          </w:rPr>
          <w:t>Ộ</w:t>
        </w:r>
        <w:r w:rsidR="00D92677" w:rsidRPr="006234AA">
          <w:rPr>
            <w:rStyle w:val="Hyperlink"/>
            <w:noProof/>
            <w:color w:val="auto"/>
          </w:rPr>
          <w:t>NG</w:t>
        </w:r>
        <w:r w:rsidR="00D92677" w:rsidRPr="006234AA">
          <w:rPr>
            <w:noProof/>
            <w:webHidden/>
          </w:rPr>
          <w:tab/>
        </w:r>
        <w:r w:rsidRPr="006234AA">
          <w:rPr>
            <w:noProof/>
            <w:webHidden/>
          </w:rPr>
          <w:fldChar w:fldCharType="begin"/>
        </w:r>
        <w:r w:rsidR="00D92677" w:rsidRPr="006234AA">
          <w:rPr>
            <w:noProof/>
            <w:webHidden/>
          </w:rPr>
          <w:instrText xml:space="preserve"> PAGEREF _Toc422671968 \h </w:instrText>
        </w:r>
        <w:r w:rsidRPr="006234AA">
          <w:rPr>
            <w:noProof/>
            <w:webHidden/>
          </w:rPr>
        </w:r>
        <w:r w:rsidRPr="006234AA">
          <w:rPr>
            <w:noProof/>
            <w:webHidden/>
          </w:rPr>
          <w:fldChar w:fldCharType="separate"/>
        </w:r>
        <w:r w:rsidR="00060F30">
          <w:rPr>
            <w:noProof/>
            <w:webHidden/>
          </w:rPr>
          <w:t>23</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69"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26. Ho</w:t>
        </w:r>
        <w:r w:rsidR="00D92677" w:rsidRPr="006234AA">
          <w:rPr>
            <w:rStyle w:val="Hyperlink"/>
            <w:rFonts w:ascii="Times New Roman" w:hAnsi="Times New Roman" w:cs="Times New Roman"/>
            <w:noProof/>
            <w:color w:val="auto"/>
          </w:rPr>
          <w:t>ạ</w:t>
        </w:r>
        <w:r w:rsidR="00D92677" w:rsidRPr="006234AA">
          <w:rPr>
            <w:rStyle w:val="Hyperlink"/>
            <w:noProof/>
            <w:color w:val="auto"/>
          </w:rPr>
          <w:t>t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kinh doanh, d</w:t>
        </w:r>
        <w:r w:rsidR="00D92677" w:rsidRPr="006234AA">
          <w:rPr>
            <w:rStyle w:val="Hyperlink"/>
            <w:rFonts w:ascii="Times New Roman" w:hAnsi="Times New Roman" w:cs="Times New Roman"/>
            <w:noProof/>
            <w:color w:val="auto"/>
          </w:rPr>
          <w:t>ị</w:t>
        </w:r>
        <w:r w:rsidR="00D92677" w:rsidRPr="006234AA">
          <w:rPr>
            <w:rStyle w:val="Hyperlink"/>
            <w:noProof/>
            <w:color w:val="auto"/>
          </w:rPr>
          <w:t>ch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bù tr</w:t>
        </w:r>
        <w:r w:rsidR="00D92677" w:rsidRPr="006234AA">
          <w:rPr>
            <w:rStyle w:val="Hyperlink"/>
            <w:rFonts w:ascii="Times New Roman" w:hAnsi="Times New Roman" w:cs="Times New Roman"/>
            <w:noProof/>
            <w:color w:val="auto"/>
          </w:rPr>
          <w:t>ừ</w:t>
        </w:r>
        <w:r w:rsidR="00D92677" w:rsidRPr="006234AA">
          <w:rPr>
            <w:rStyle w:val="Hyperlink"/>
            <w:noProof/>
            <w:color w:val="auto"/>
          </w:rPr>
          <w:t xml:space="preserve"> thanh toán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phái sinh</w:t>
        </w:r>
        <w:r w:rsidR="00D92677" w:rsidRPr="006234AA">
          <w:rPr>
            <w:noProof/>
            <w:webHidden/>
          </w:rPr>
          <w:tab/>
        </w:r>
        <w:r w:rsidRPr="006234AA">
          <w:rPr>
            <w:noProof/>
            <w:webHidden/>
          </w:rPr>
          <w:fldChar w:fldCharType="begin"/>
        </w:r>
        <w:r w:rsidR="00D92677" w:rsidRPr="006234AA">
          <w:rPr>
            <w:noProof/>
            <w:webHidden/>
          </w:rPr>
          <w:instrText xml:space="preserve"> PAGEREF _Toc422671969 \h </w:instrText>
        </w:r>
        <w:r w:rsidRPr="006234AA">
          <w:rPr>
            <w:noProof/>
            <w:webHidden/>
          </w:rPr>
        </w:r>
        <w:r w:rsidRPr="006234AA">
          <w:rPr>
            <w:noProof/>
            <w:webHidden/>
          </w:rPr>
          <w:fldChar w:fldCharType="separate"/>
        </w:r>
        <w:r w:rsidR="00060F30">
          <w:rPr>
            <w:noProof/>
            <w:webHidden/>
          </w:rPr>
          <w:t>23</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70"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27. H</w:t>
        </w:r>
        <w:r w:rsidR="00D92677" w:rsidRPr="006234AA">
          <w:rPr>
            <w:rStyle w:val="Hyperlink"/>
            <w:rFonts w:ascii="Times New Roman" w:hAnsi="Times New Roman" w:cs="Times New Roman"/>
            <w:noProof/>
            <w:color w:val="auto"/>
          </w:rPr>
          <w:t>ồ</w:t>
        </w:r>
        <w:r w:rsidR="00D92677" w:rsidRPr="006234AA">
          <w:rPr>
            <w:rStyle w:val="Hyperlink"/>
            <w:noProof/>
            <w:color w:val="auto"/>
          </w:rPr>
          <w:t xml:space="preserve"> s</w:t>
        </w:r>
        <w:r w:rsidR="00D92677" w:rsidRPr="006234AA">
          <w:rPr>
            <w:rStyle w:val="Hyperlink"/>
            <w:rFonts w:ascii="Times New Roman" w:hAnsi="Times New Roman" w:cs="Times New Roman"/>
            <w:noProof/>
            <w:color w:val="auto"/>
          </w:rPr>
          <w:t>ơ</w:t>
        </w:r>
        <w:r w:rsidR="00D92677" w:rsidRPr="006234AA">
          <w:rPr>
            <w:rStyle w:val="Hyperlink"/>
            <w:noProof/>
            <w:color w:val="auto"/>
          </w:rPr>
          <w:t xml:space="preserve"> đ</w:t>
        </w:r>
        <w:r w:rsidR="00D92677" w:rsidRPr="006234AA">
          <w:rPr>
            <w:rStyle w:val="Hyperlink"/>
            <w:rFonts w:ascii="Times New Roman" w:hAnsi="Times New Roman" w:cs="Times New Roman"/>
            <w:noProof/>
            <w:color w:val="auto"/>
          </w:rPr>
          <w:t>ề</w:t>
        </w:r>
        <w:r w:rsidR="00D92677" w:rsidRPr="006234AA">
          <w:rPr>
            <w:rStyle w:val="Hyperlink"/>
            <w:noProof/>
            <w:color w:val="auto"/>
          </w:rPr>
          <w:t xml:space="preserve"> ngh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c</w:t>
        </w:r>
        <w:r w:rsidR="00D92677" w:rsidRPr="006234AA">
          <w:rPr>
            <w:rStyle w:val="Hyperlink"/>
            <w:rFonts w:ascii="Times New Roman" w:hAnsi="Times New Roman" w:cs="Times New Roman"/>
            <w:noProof/>
            <w:color w:val="auto"/>
          </w:rPr>
          <w:t>ấ</w:t>
        </w:r>
        <w:r w:rsidR="00D92677" w:rsidRPr="006234AA">
          <w:rPr>
            <w:rStyle w:val="Hyperlink"/>
            <w:noProof/>
            <w:color w:val="auto"/>
          </w:rPr>
          <w:t>p Gi</w:t>
        </w:r>
        <w:r w:rsidR="00D92677" w:rsidRPr="006234AA">
          <w:rPr>
            <w:rStyle w:val="Hyperlink"/>
            <w:rFonts w:ascii="Times New Roman" w:hAnsi="Times New Roman" w:cs="Times New Roman"/>
            <w:noProof/>
            <w:color w:val="auto"/>
          </w:rPr>
          <w:t>ấ</w:t>
        </w:r>
        <w:r w:rsidR="00D92677" w:rsidRPr="006234AA">
          <w:rPr>
            <w:rStyle w:val="Hyperlink"/>
            <w:noProof/>
            <w:color w:val="auto"/>
          </w:rPr>
          <w:t>y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nh</w:t>
        </w:r>
        <w:r w:rsidR="00D92677" w:rsidRPr="006234AA">
          <w:rPr>
            <w:rStyle w:val="Hyperlink"/>
            <w:rFonts w:ascii="Times New Roman" w:hAnsi="Times New Roman" w:cs="Times New Roman"/>
            <w:noProof/>
            <w:color w:val="auto"/>
          </w:rPr>
          <w:t>ậ</w:t>
        </w:r>
        <w:r w:rsidR="00D92677" w:rsidRPr="006234AA">
          <w:rPr>
            <w:rStyle w:val="Hyperlink"/>
            <w:noProof/>
            <w:color w:val="auto"/>
          </w:rPr>
          <w:t>n đ</w:t>
        </w:r>
        <w:r w:rsidR="00D92677" w:rsidRPr="006234AA">
          <w:rPr>
            <w:rStyle w:val="Hyperlink"/>
            <w:rFonts w:ascii="Times New Roman" w:hAnsi="Times New Roman" w:cs="Times New Roman"/>
            <w:noProof/>
            <w:color w:val="auto"/>
          </w:rPr>
          <w:t>ủ</w:t>
        </w:r>
        <w:r w:rsidR="00D92677" w:rsidRPr="006234AA">
          <w:rPr>
            <w:rStyle w:val="Hyperlink"/>
            <w:noProof/>
            <w:color w:val="auto"/>
          </w:rPr>
          <w:t xml:space="preserve"> đi</w:t>
        </w:r>
        <w:r w:rsidR="00D92677" w:rsidRPr="006234AA">
          <w:rPr>
            <w:rStyle w:val="Hyperlink"/>
            <w:rFonts w:ascii="Times New Roman" w:hAnsi="Times New Roman" w:cs="Times New Roman"/>
            <w:noProof/>
            <w:color w:val="auto"/>
          </w:rPr>
          <w:t>ề</w:t>
        </w:r>
        <w:r w:rsidR="00D92677" w:rsidRPr="006234AA">
          <w:rPr>
            <w:rStyle w:val="Hyperlink"/>
            <w:noProof/>
            <w:color w:val="auto"/>
          </w:rPr>
          <w:t>u ki</w:t>
        </w:r>
        <w:r w:rsidR="00D92677" w:rsidRPr="006234AA">
          <w:rPr>
            <w:rStyle w:val="Hyperlink"/>
            <w:rFonts w:ascii="Times New Roman" w:hAnsi="Times New Roman" w:cs="Times New Roman"/>
            <w:noProof/>
            <w:color w:val="auto"/>
          </w:rPr>
          <w:t>ệ</w:t>
        </w:r>
        <w:r w:rsidR="00D92677" w:rsidRPr="006234AA">
          <w:rPr>
            <w:rStyle w:val="Hyperlink"/>
            <w:noProof/>
            <w:color w:val="auto"/>
          </w:rPr>
          <w:t>n kinh doanh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phái sinh</w:t>
        </w:r>
        <w:r w:rsidR="00D92677" w:rsidRPr="006234AA">
          <w:rPr>
            <w:noProof/>
            <w:webHidden/>
          </w:rPr>
          <w:tab/>
        </w:r>
        <w:r w:rsidRPr="006234AA">
          <w:rPr>
            <w:noProof/>
            <w:webHidden/>
          </w:rPr>
          <w:fldChar w:fldCharType="begin"/>
        </w:r>
        <w:r w:rsidR="00D92677" w:rsidRPr="006234AA">
          <w:rPr>
            <w:noProof/>
            <w:webHidden/>
          </w:rPr>
          <w:instrText xml:space="preserve"> PAGEREF _Toc422671970 \h </w:instrText>
        </w:r>
        <w:r w:rsidRPr="006234AA">
          <w:rPr>
            <w:noProof/>
            <w:webHidden/>
          </w:rPr>
        </w:r>
        <w:r w:rsidRPr="006234AA">
          <w:rPr>
            <w:noProof/>
            <w:webHidden/>
          </w:rPr>
          <w:fldChar w:fldCharType="separate"/>
        </w:r>
        <w:r w:rsidR="00060F30">
          <w:rPr>
            <w:noProof/>
            <w:webHidden/>
          </w:rPr>
          <w:t>25</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71"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28. C</w:t>
        </w:r>
        <w:r w:rsidR="00D92677" w:rsidRPr="006234AA">
          <w:rPr>
            <w:rStyle w:val="Hyperlink"/>
            <w:rFonts w:ascii="Times New Roman" w:hAnsi="Times New Roman" w:cs="Times New Roman"/>
            <w:noProof/>
            <w:color w:val="auto"/>
          </w:rPr>
          <w:t>ơ</w:t>
        </w:r>
        <w:r w:rsidR="00D92677" w:rsidRPr="006234AA">
          <w:rPr>
            <w:rStyle w:val="Hyperlink"/>
            <w:noProof/>
            <w:color w:val="auto"/>
          </w:rPr>
          <w:t xml:space="preserve"> c</w:t>
        </w:r>
        <w:r w:rsidR="00D92677" w:rsidRPr="006234AA">
          <w:rPr>
            <w:rStyle w:val="Hyperlink"/>
            <w:rFonts w:ascii="Times New Roman" w:hAnsi="Times New Roman" w:cs="Times New Roman"/>
            <w:noProof/>
            <w:color w:val="auto"/>
          </w:rPr>
          <w:t>ấ</w:t>
        </w:r>
        <w:r w:rsidR="00D92677" w:rsidRPr="006234AA">
          <w:rPr>
            <w:rStyle w:val="Hyperlink"/>
            <w:noProof/>
            <w:color w:val="auto"/>
          </w:rPr>
          <w:t>u t</w:t>
        </w:r>
        <w:r w:rsidR="00D92677" w:rsidRPr="006234AA">
          <w:rPr>
            <w:rStyle w:val="Hyperlink"/>
            <w:rFonts w:ascii="Times New Roman" w:hAnsi="Times New Roman" w:cs="Times New Roman"/>
            <w:noProof/>
            <w:color w:val="auto"/>
          </w:rPr>
          <w:t>ổ</w:t>
        </w:r>
        <w:r w:rsidR="00D92677" w:rsidRPr="006234AA">
          <w:rPr>
            <w:rStyle w:val="Hyperlink"/>
            <w:noProof/>
            <w:color w:val="auto"/>
          </w:rPr>
          <w:t xml:space="preserve"> ch</w:t>
        </w:r>
        <w:r w:rsidR="00D92677" w:rsidRPr="006234AA">
          <w:rPr>
            <w:rStyle w:val="Hyperlink"/>
            <w:rFonts w:ascii="Times New Roman" w:hAnsi="Times New Roman" w:cs="Times New Roman"/>
            <w:noProof/>
            <w:color w:val="auto"/>
          </w:rPr>
          <w:t>ứ</w:t>
        </w:r>
        <w:r w:rsidR="00D92677" w:rsidRPr="006234AA">
          <w:rPr>
            <w:rStyle w:val="Hyperlink"/>
            <w:noProof/>
            <w:color w:val="auto"/>
          </w:rPr>
          <w:t>c, qu</w:t>
        </w:r>
        <w:r w:rsidR="00D92677" w:rsidRPr="006234AA">
          <w:rPr>
            <w:rStyle w:val="Hyperlink"/>
            <w:rFonts w:ascii="Times New Roman" w:hAnsi="Times New Roman" w:cs="Times New Roman"/>
            <w:noProof/>
            <w:color w:val="auto"/>
          </w:rPr>
          <w:t>ả</w:t>
        </w:r>
        <w:r w:rsidR="00D92677" w:rsidRPr="006234AA">
          <w:rPr>
            <w:rStyle w:val="Hyperlink"/>
            <w:noProof/>
            <w:color w:val="auto"/>
          </w:rPr>
          <w:t>n lý r</w:t>
        </w:r>
        <w:r w:rsidR="00D92677" w:rsidRPr="006234AA">
          <w:rPr>
            <w:rStyle w:val="Hyperlink"/>
            <w:rFonts w:ascii="Times New Roman" w:hAnsi="Times New Roman" w:cs="Times New Roman"/>
            <w:noProof/>
            <w:color w:val="auto"/>
          </w:rPr>
          <w:t>ủ</w:t>
        </w:r>
        <w:r w:rsidR="00D92677" w:rsidRPr="006234AA">
          <w:rPr>
            <w:rStyle w:val="Hyperlink"/>
            <w:noProof/>
            <w:color w:val="auto"/>
          </w:rPr>
          <w:t>i ro</w:t>
        </w:r>
        <w:r w:rsidR="00D92677" w:rsidRPr="006234AA">
          <w:rPr>
            <w:noProof/>
            <w:webHidden/>
          </w:rPr>
          <w:tab/>
        </w:r>
        <w:r w:rsidRPr="006234AA">
          <w:rPr>
            <w:noProof/>
            <w:webHidden/>
          </w:rPr>
          <w:fldChar w:fldCharType="begin"/>
        </w:r>
        <w:r w:rsidR="00D92677" w:rsidRPr="006234AA">
          <w:rPr>
            <w:noProof/>
            <w:webHidden/>
          </w:rPr>
          <w:instrText xml:space="preserve"> PAGEREF _Toc422671971 \h </w:instrText>
        </w:r>
        <w:r w:rsidRPr="006234AA">
          <w:rPr>
            <w:noProof/>
            <w:webHidden/>
          </w:rPr>
        </w:r>
        <w:r w:rsidRPr="006234AA">
          <w:rPr>
            <w:noProof/>
            <w:webHidden/>
          </w:rPr>
          <w:fldChar w:fldCharType="separate"/>
        </w:r>
        <w:r w:rsidR="00060F30">
          <w:rPr>
            <w:noProof/>
            <w:webHidden/>
          </w:rPr>
          <w:t>26</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72"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29. Đình ch</w:t>
        </w:r>
        <w:r w:rsidR="00D92677" w:rsidRPr="006234AA">
          <w:rPr>
            <w:rStyle w:val="Hyperlink"/>
            <w:rFonts w:ascii="Times New Roman" w:hAnsi="Times New Roman" w:cs="Times New Roman"/>
            <w:noProof/>
            <w:color w:val="auto"/>
          </w:rPr>
          <w:t>ỉ</w:t>
        </w:r>
        <w:r w:rsidR="00D92677" w:rsidRPr="006234AA">
          <w:rPr>
            <w:rStyle w:val="Hyperlink"/>
            <w:noProof/>
            <w:color w:val="auto"/>
          </w:rPr>
          <w:t>, ch</w:t>
        </w:r>
        <w:r w:rsidR="00D92677" w:rsidRPr="006234AA">
          <w:rPr>
            <w:rStyle w:val="Hyperlink"/>
            <w:rFonts w:ascii="Times New Roman" w:hAnsi="Times New Roman" w:cs="Times New Roman"/>
            <w:noProof/>
            <w:color w:val="auto"/>
          </w:rPr>
          <w:t>ấ</w:t>
        </w:r>
        <w:r w:rsidR="00D92677" w:rsidRPr="006234AA">
          <w:rPr>
            <w:rStyle w:val="Hyperlink"/>
            <w:noProof/>
            <w:color w:val="auto"/>
          </w:rPr>
          <w:t>m d</w:t>
        </w:r>
        <w:r w:rsidR="00D92677" w:rsidRPr="006234AA">
          <w:rPr>
            <w:rStyle w:val="Hyperlink"/>
            <w:rFonts w:ascii="Times New Roman" w:hAnsi="Times New Roman" w:cs="Times New Roman"/>
            <w:noProof/>
            <w:color w:val="auto"/>
          </w:rPr>
          <w:t>ứ</w:t>
        </w:r>
        <w:r w:rsidR="00D92677" w:rsidRPr="006234AA">
          <w:rPr>
            <w:rStyle w:val="Hyperlink"/>
            <w:noProof/>
            <w:color w:val="auto"/>
          </w:rPr>
          <w:t>t ho</w:t>
        </w:r>
        <w:r w:rsidR="00D92677" w:rsidRPr="006234AA">
          <w:rPr>
            <w:rStyle w:val="Hyperlink"/>
            <w:rFonts w:ascii="Times New Roman" w:hAnsi="Times New Roman" w:cs="Times New Roman"/>
            <w:noProof/>
            <w:color w:val="auto"/>
          </w:rPr>
          <w:t>ạ</w:t>
        </w:r>
        <w:r w:rsidR="00D92677" w:rsidRPr="006234AA">
          <w:rPr>
            <w:rStyle w:val="Hyperlink"/>
            <w:noProof/>
            <w:color w:val="auto"/>
          </w:rPr>
          <w:t>t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kinh doanh, cung c</w:t>
        </w:r>
        <w:r w:rsidR="00D92677" w:rsidRPr="006234AA">
          <w:rPr>
            <w:rStyle w:val="Hyperlink"/>
            <w:rFonts w:ascii="Times New Roman" w:hAnsi="Times New Roman" w:cs="Times New Roman"/>
            <w:noProof/>
            <w:color w:val="auto"/>
          </w:rPr>
          <w:t>ấ</w:t>
        </w:r>
        <w:r w:rsidR="00D92677" w:rsidRPr="006234AA">
          <w:rPr>
            <w:rStyle w:val="Hyperlink"/>
            <w:noProof/>
            <w:color w:val="auto"/>
          </w:rPr>
          <w:t>p d</w:t>
        </w:r>
        <w:r w:rsidR="00D92677" w:rsidRPr="006234AA">
          <w:rPr>
            <w:rStyle w:val="Hyperlink"/>
            <w:rFonts w:ascii="Times New Roman" w:hAnsi="Times New Roman" w:cs="Times New Roman"/>
            <w:noProof/>
            <w:color w:val="auto"/>
          </w:rPr>
          <w:t>ị</w:t>
        </w:r>
        <w:r w:rsidR="00D92677" w:rsidRPr="006234AA">
          <w:rPr>
            <w:rStyle w:val="Hyperlink"/>
            <w:noProof/>
            <w:color w:val="auto"/>
          </w:rPr>
          <w:t>ch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bù tr</w:t>
        </w:r>
        <w:r w:rsidR="00D92677" w:rsidRPr="006234AA">
          <w:rPr>
            <w:rStyle w:val="Hyperlink"/>
            <w:rFonts w:ascii="Times New Roman" w:hAnsi="Times New Roman" w:cs="Times New Roman"/>
            <w:noProof/>
            <w:color w:val="auto"/>
          </w:rPr>
          <w:t>ừ</w:t>
        </w:r>
        <w:r w:rsidR="00D92677" w:rsidRPr="006234AA">
          <w:rPr>
            <w:rStyle w:val="Hyperlink"/>
            <w:noProof/>
            <w:color w:val="auto"/>
          </w:rPr>
          <w:t xml:space="preserve"> thanh toán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phái sinh</w:t>
        </w:r>
        <w:r w:rsidR="00D92677" w:rsidRPr="006234AA">
          <w:rPr>
            <w:noProof/>
            <w:webHidden/>
          </w:rPr>
          <w:tab/>
        </w:r>
        <w:r w:rsidRPr="006234AA">
          <w:rPr>
            <w:noProof/>
            <w:webHidden/>
          </w:rPr>
          <w:fldChar w:fldCharType="begin"/>
        </w:r>
        <w:r w:rsidR="00D92677" w:rsidRPr="006234AA">
          <w:rPr>
            <w:noProof/>
            <w:webHidden/>
          </w:rPr>
          <w:instrText xml:space="preserve"> PAGEREF _Toc422671972 \h </w:instrText>
        </w:r>
        <w:r w:rsidRPr="006234AA">
          <w:rPr>
            <w:noProof/>
            <w:webHidden/>
          </w:rPr>
        </w:r>
        <w:r w:rsidRPr="006234AA">
          <w:rPr>
            <w:noProof/>
            <w:webHidden/>
          </w:rPr>
          <w:fldChar w:fldCharType="separate"/>
        </w:r>
        <w:r w:rsidR="00060F30">
          <w:rPr>
            <w:noProof/>
            <w:webHidden/>
          </w:rPr>
          <w:t>29</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73" w:history="1">
        <w:r w:rsidR="00D92677" w:rsidRPr="006234AA">
          <w:rPr>
            <w:rStyle w:val="Hyperlink"/>
            <w:noProof/>
            <w:color w:val="auto"/>
          </w:rPr>
          <w:t>M</w:t>
        </w:r>
        <w:r w:rsidR="00D92677" w:rsidRPr="006234AA">
          <w:rPr>
            <w:rStyle w:val="Hyperlink"/>
            <w:rFonts w:ascii="Times New Roman" w:hAnsi="Times New Roman" w:cs="Times New Roman"/>
            <w:noProof/>
            <w:color w:val="auto"/>
          </w:rPr>
          <w:t>ụ</w:t>
        </w:r>
        <w:r w:rsidR="00D92677" w:rsidRPr="006234AA">
          <w:rPr>
            <w:rStyle w:val="Hyperlink"/>
            <w:noProof/>
            <w:color w:val="auto"/>
          </w:rPr>
          <w:t>c 2</w:t>
        </w:r>
        <w:r w:rsidR="00D92677" w:rsidRPr="006234AA">
          <w:rPr>
            <w:noProof/>
            <w:webHidden/>
          </w:rPr>
          <w:tab/>
        </w:r>
        <w:r w:rsidRPr="006234AA">
          <w:rPr>
            <w:noProof/>
            <w:webHidden/>
          </w:rPr>
          <w:fldChar w:fldCharType="begin"/>
        </w:r>
        <w:r w:rsidR="00D92677" w:rsidRPr="006234AA">
          <w:rPr>
            <w:noProof/>
            <w:webHidden/>
          </w:rPr>
          <w:instrText xml:space="preserve"> PAGEREF _Toc422671973 \h </w:instrText>
        </w:r>
        <w:r w:rsidRPr="006234AA">
          <w:rPr>
            <w:noProof/>
            <w:webHidden/>
          </w:rPr>
        </w:r>
        <w:r w:rsidRPr="006234AA">
          <w:rPr>
            <w:noProof/>
            <w:webHidden/>
          </w:rPr>
          <w:fldChar w:fldCharType="separate"/>
        </w:r>
        <w:r w:rsidR="00060F30">
          <w:rPr>
            <w:noProof/>
            <w:webHidden/>
          </w:rPr>
          <w:t>33</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74" w:history="1">
        <w:r w:rsidR="00D92677" w:rsidRPr="006234AA">
          <w:rPr>
            <w:rStyle w:val="Hyperlink"/>
            <w:noProof/>
            <w:color w:val="auto"/>
          </w:rPr>
          <w:t>THÀNH VIÊN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_Toc422671974 \h </w:instrText>
        </w:r>
        <w:r w:rsidRPr="006234AA">
          <w:rPr>
            <w:noProof/>
            <w:webHidden/>
          </w:rPr>
        </w:r>
        <w:r w:rsidRPr="006234AA">
          <w:rPr>
            <w:noProof/>
            <w:webHidden/>
          </w:rPr>
          <w:fldChar w:fldCharType="separate"/>
        </w:r>
        <w:r w:rsidR="00060F30">
          <w:rPr>
            <w:noProof/>
            <w:webHidden/>
          </w:rPr>
          <w:t>33</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75"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30. Đăng ký thành viên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_Toc422671975 \h </w:instrText>
        </w:r>
        <w:r w:rsidRPr="006234AA">
          <w:rPr>
            <w:noProof/>
            <w:webHidden/>
          </w:rPr>
        </w:r>
        <w:r w:rsidRPr="006234AA">
          <w:rPr>
            <w:noProof/>
            <w:webHidden/>
          </w:rPr>
          <w:fldChar w:fldCharType="separate"/>
        </w:r>
        <w:r w:rsidR="00060F30">
          <w:rPr>
            <w:noProof/>
            <w:webHidden/>
          </w:rPr>
          <w:t>33</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76"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31. Quy</w:t>
        </w:r>
        <w:r w:rsidR="00D92677" w:rsidRPr="006234AA">
          <w:rPr>
            <w:rStyle w:val="Hyperlink"/>
            <w:rFonts w:ascii="Times New Roman" w:hAnsi="Times New Roman" w:cs="Times New Roman"/>
            <w:noProof/>
            <w:color w:val="auto"/>
          </w:rPr>
          <w:t>ề</w:t>
        </w:r>
        <w:r w:rsidR="00D92677" w:rsidRPr="006234AA">
          <w:rPr>
            <w:rStyle w:val="Hyperlink"/>
            <w:noProof/>
            <w:color w:val="auto"/>
          </w:rPr>
          <w:t>n c</w:t>
        </w:r>
        <w:r w:rsidR="00D92677" w:rsidRPr="006234AA">
          <w:rPr>
            <w:rStyle w:val="Hyperlink"/>
            <w:rFonts w:ascii="Times New Roman" w:hAnsi="Times New Roman" w:cs="Times New Roman"/>
            <w:noProof/>
            <w:color w:val="auto"/>
          </w:rPr>
          <w:t>ủ</w:t>
        </w:r>
        <w:r w:rsidR="00D92677" w:rsidRPr="006234AA">
          <w:rPr>
            <w:rStyle w:val="Hyperlink"/>
            <w:noProof/>
            <w:color w:val="auto"/>
          </w:rPr>
          <w:t>a thành viên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_Toc422671976 \h </w:instrText>
        </w:r>
        <w:r w:rsidRPr="006234AA">
          <w:rPr>
            <w:noProof/>
            <w:webHidden/>
          </w:rPr>
        </w:r>
        <w:r w:rsidRPr="006234AA">
          <w:rPr>
            <w:noProof/>
            <w:webHidden/>
          </w:rPr>
          <w:fldChar w:fldCharType="separate"/>
        </w:r>
        <w:r w:rsidR="00060F30">
          <w:rPr>
            <w:noProof/>
            <w:webHidden/>
          </w:rPr>
          <w:t>34</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77"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32. Trách nhi</w:t>
        </w:r>
        <w:r w:rsidR="00D92677" w:rsidRPr="006234AA">
          <w:rPr>
            <w:rStyle w:val="Hyperlink"/>
            <w:rFonts w:ascii="Times New Roman" w:hAnsi="Times New Roman" w:cs="Times New Roman"/>
            <w:noProof/>
            <w:color w:val="auto"/>
          </w:rPr>
          <w:t>ệ</w:t>
        </w:r>
        <w:r w:rsidR="00D92677" w:rsidRPr="006234AA">
          <w:rPr>
            <w:rStyle w:val="Hyperlink"/>
            <w:noProof/>
            <w:color w:val="auto"/>
          </w:rPr>
          <w:t>m, nghĩa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c</w:t>
        </w:r>
        <w:r w:rsidR="00D92677" w:rsidRPr="006234AA">
          <w:rPr>
            <w:rStyle w:val="Hyperlink"/>
            <w:rFonts w:ascii="Times New Roman" w:hAnsi="Times New Roman" w:cs="Times New Roman"/>
            <w:noProof/>
            <w:color w:val="auto"/>
          </w:rPr>
          <w:t>ủ</w:t>
        </w:r>
        <w:r w:rsidR="00D92677" w:rsidRPr="006234AA">
          <w:rPr>
            <w:rStyle w:val="Hyperlink"/>
            <w:noProof/>
            <w:color w:val="auto"/>
          </w:rPr>
          <w:t>a thành viên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_Toc422671977 \h </w:instrText>
        </w:r>
        <w:r w:rsidRPr="006234AA">
          <w:rPr>
            <w:noProof/>
            <w:webHidden/>
          </w:rPr>
        </w:r>
        <w:r w:rsidRPr="006234AA">
          <w:rPr>
            <w:noProof/>
            <w:webHidden/>
          </w:rPr>
          <w:fldChar w:fldCharType="separate"/>
        </w:r>
        <w:r w:rsidR="00060F30">
          <w:rPr>
            <w:noProof/>
            <w:webHidden/>
          </w:rPr>
          <w:t>35</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78"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33. H</w:t>
        </w:r>
        <w:r w:rsidR="00D92677" w:rsidRPr="006234AA">
          <w:rPr>
            <w:rStyle w:val="Hyperlink"/>
            <w:rFonts w:ascii="Times New Roman" w:hAnsi="Times New Roman" w:cs="Times New Roman"/>
            <w:noProof/>
            <w:color w:val="auto"/>
          </w:rPr>
          <w:t>ạ</w:t>
        </w:r>
        <w:r w:rsidR="00D92677" w:rsidRPr="006234AA">
          <w:rPr>
            <w:rStyle w:val="Hyperlink"/>
            <w:noProof/>
            <w:color w:val="auto"/>
          </w:rPr>
          <w:t>n ch</w:t>
        </w:r>
        <w:r w:rsidR="00D92677" w:rsidRPr="006234AA">
          <w:rPr>
            <w:rStyle w:val="Hyperlink"/>
            <w:rFonts w:ascii="Times New Roman" w:hAnsi="Times New Roman" w:cs="Times New Roman"/>
            <w:noProof/>
            <w:color w:val="auto"/>
          </w:rPr>
          <w:t>ế</w:t>
        </w:r>
        <w:r w:rsidR="00D92677" w:rsidRPr="006234AA">
          <w:rPr>
            <w:rStyle w:val="Hyperlink"/>
            <w:noProof/>
            <w:color w:val="auto"/>
          </w:rPr>
          <w:t xml:space="preserve"> đ</w:t>
        </w:r>
        <w:r w:rsidR="00D92677" w:rsidRPr="006234AA">
          <w:rPr>
            <w:rStyle w:val="Hyperlink"/>
            <w:rFonts w:ascii="Times New Roman" w:hAnsi="Times New Roman" w:cs="Times New Roman"/>
            <w:noProof/>
            <w:color w:val="auto"/>
          </w:rPr>
          <w:t>ố</w:t>
        </w:r>
        <w:r w:rsidR="00D92677" w:rsidRPr="006234AA">
          <w:rPr>
            <w:rStyle w:val="Hyperlink"/>
            <w:noProof/>
            <w:color w:val="auto"/>
          </w:rPr>
          <w:t>i v</w:t>
        </w:r>
        <w:r w:rsidR="00D92677" w:rsidRPr="006234AA">
          <w:rPr>
            <w:rStyle w:val="Hyperlink"/>
            <w:rFonts w:ascii="Times New Roman" w:hAnsi="Times New Roman" w:cs="Times New Roman"/>
            <w:noProof/>
            <w:color w:val="auto"/>
          </w:rPr>
          <w:t>ớ</w:t>
        </w:r>
        <w:r w:rsidR="00D92677" w:rsidRPr="006234AA">
          <w:rPr>
            <w:rStyle w:val="Hyperlink"/>
            <w:noProof/>
            <w:color w:val="auto"/>
          </w:rPr>
          <w:t>i thành viên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 nhân viên c</w:t>
        </w:r>
        <w:r w:rsidR="00D92677" w:rsidRPr="006234AA">
          <w:rPr>
            <w:rStyle w:val="Hyperlink"/>
            <w:rFonts w:ascii="Times New Roman" w:hAnsi="Times New Roman" w:cs="Times New Roman"/>
            <w:noProof/>
            <w:color w:val="auto"/>
          </w:rPr>
          <w:t>ủ</w:t>
        </w:r>
        <w:r w:rsidR="00D92677" w:rsidRPr="006234AA">
          <w:rPr>
            <w:rStyle w:val="Hyperlink"/>
            <w:noProof/>
            <w:color w:val="auto"/>
          </w:rPr>
          <w:t>a thành viên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_Toc422671978 \h </w:instrText>
        </w:r>
        <w:r w:rsidRPr="006234AA">
          <w:rPr>
            <w:noProof/>
            <w:webHidden/>
          </w:rPr>
        </w:r>
        <w:r w:rsidRPr="006234AA">
          <w:rPr>
            <w:noProof/>
            <w:webHidden/>
          </w:rPr>
          <w:fldChar w:fldCharType="separate"/>
        </w:r>
        <w:r w:rsidR="00060F30">
          <w:rPr>
            <w:noProof/>
            <w:webHidden/>
          </w:rPr>
          <w:t>38</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79"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34. Đình ch</w:t>
        </w:r>
        <w:r w:rsidR="00D92677" w:rsidRPr="006234AA">
          <w:rPr>
            <w:rStyle w:val="Hyperlink"/>
            <w:rFonts w:ascii="Times New Roman" w:hAnsi="Times New Roman" w:cs="Times New Roman"/>
            <w:noProof/>
            <w:color w:val="auto"/>
          </w:rPr>
          <w:t>ỉ</w:t>
        </w:r>
        <w:r w:rsidR="00D92677" w:rsidRPr="006234AA">
          <w:rPr>
            <w:rStyle w:val="Hyperlink"/>
            <w:noProof/>
            <w:color w:val="auto"/>
          </w:rPr>
          <w:t>, ch</w:t>
        </w:r>
        <w:r w:rsidR="00D92677" w:rsidRPr="006234AA">
          <w:rPr>
            <w:rStyle w:val="Hyperlink"/>
            <w:rFonts w:ascii="Times New Roman" w:hAnsi="Times New Roman" w:cs="Times New Roman"/>
            <w:noProof/>
            <w:color w:val="auto"/>
          </w:rPr>
          <w:t>ấ</w:t>
        </w:r>
        <w:r w:rsidR="00D92677" w:rsidRPr="006234AA">
          <w:rPr>
            <w:rStyle w:val="Hyperlink"/>
            <w:noProof/>
            <w:color w:val="auto"/>
          </w:rPr>
          <w:t>m d</w:t>
        </w:r>
        <w:r w:rsidR="00D92677" w:rsidRPr="006234AA">
          <w:rPr>
            <w:rStyle w:val="Hyperlink"/>
            <w:rFonts w:ascii="Times New Roman" w:hAnsi="Times New Roman" w:cs="Times New Roman"/>
            <w:noProof/>
            <w:color w:val="auto"/>
          </w:rPr>
          <w:t>ứ</w:t>
        </w:r>
        <w:r w:rsidR="00D92677" w:rsidRPr="006234AA">
          <w:rPr>
            <w:rStyle w:val="Hyperlink"/>
            <w:noProof/>
            <w:color w:val="auto"/>
          </w:rPr>
          <w:t>t t</w:t>
        </w:r>
        <w:r w:rsidR="00D92677" w:rsidRPr="006234AA">
          <w:rPr>
            <w:rStyle w:val="Hyperlink"/>
            <w:rFonts w:ascii="Times New Roman" w:hAnsi="Times New Roman" w:cs="Times New Roman"/>
            <w:noProof/>
            <w:color w:val="auto"/>
          </w:rPr>
          <w:t>ư</w:t>
        </w:r>
        <w:r w:rsidR="00D92677" w:rsidRPr="006234AA">
          <w:rPr>
            <w:rStyle w:val="Hyperlink"/>
            <w:noProof/>
            <w:color w:val="auto"/>
          </w:rPr>
          <w:t xml:space="preserve"> cách thành viên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_Toc422671979 \h </w:instrText>
        </w:r>
        <w:r w:rsidRPr="006234AA">
          <w:rPr>
            <w:noProof/>
            <w:webHidden/>
          </w:rPr>
        </w:r>
        <w:r w:rsidRPr="006234AA">
          <w:rPr>
            <w:noProof/>
            <w:webHidden/>
          </w:rPr>
          <w:fldChar w:fldCharType="separate"/>
        </w:r>
        <w:r w:rsidR="00060F30">
          <w:rPr>
            <w:noProof/>
            <w:webHidden/>
          </w:rPr>
          <w:t>41</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80"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35. M</w:t>
        </w:r>
        <w:r w:rsidR="00D92677" w:rsidRPr="006234AA">
          <w:rPr>
            <w:rStyle w:val="Hyperlink"/>
            <w:rFonts w:ascii="Times New Roman" w:hAnsi="Times New Roman" w:cs="Times New Roman"/>
            <w:noProof/>
            <w:color w:val="auto"/>
          </w:rPr>
          <w:t>ở</w:t>
        </w:r>
        <w:r w:rsidR="00D92677" w:rsidRPr="006234AA">
          <w:rPr>
            <w:rStyle w:val="Hyperlink"/>
            <w:noProof/>
            <w:color w:val="auto"/>
          </w:rPr>
          <w:t xml:space="preserve"> và qu</w:t>
        </w:r>
        <w:r w:rsidR="00D92677" w:rsidRPr="006234AA">
          <w:rPr>
            <w:rStyle w:val="Hyperlink"/>
            <w:rFonts w:ascii="Times New Roman" w:hAnsi="Times New Roman" w:cs="Times New Roman"/>
            <w:noProof/>
            <w:color w:val="auto"/>
          </w:rPr>
          <w:t>ả</w:t>
        </w:r>
        <w:r w:rsidR="00D92677" w:rsidRPr="006234AA">
          <w:rPr>
            <w:rStyle w:val="Hyperlink"/>
            <w:noProof/>
            <w:color w:val="auto"/>
          </w:rPr>
          <w:t>n lý tài kho</w:t>
        </w:r>
        <w:r w:rsidR="00D92677" w:rsidRPr="006234AA">
          <w:rPr>
            <w:rStyle w:val="Hyperlink"/>
            <w:rFonts w:ascii="Times New Roman" w:hAnsi="Times New Roman" w:cs="Times New Roman"/>
            <w:noProof/>
            <w:color w:val="auto"/>
          </w:rPr>
          <w:t>ả</w:t>
        </w:r>
        <w:r w:rsidR="00D92677" w:rsidRPr="006234AA">
          <w:rPr>
            <w:rStyle w:val="Hyperlink"/>
            <w:noProof/>
            <w:color w:val="auto"/>
          </w:rPr>
          <w:t>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 c</w:t>
        </w:r>
        <w:r w:rsidR="00D92677" w:rsidRPr="006234AA">
          <w:rPr>
            <w:rStyle w:val="Hyperlink"/>
            <w:rFonts w:ascii="Times New Roman" w:hAnsi="Times New Roman" w:cs="Times New Roman"/>
            <w:noProof/>
            <w:color w:val="auto"/>
          </w:rPr>
          <w:t>ủ</w:t>
        </w:r>
        <w:r w:rsidR="00D92677" w:rsidRPr="006234AA">
          <w:rPr>
            <w:rStyle w:val="Hyperlink"/>
            <w:noProof/>
            <w:color w:val="auto"/>
          </w:rPr>
          <w:t>a khách hàng</w:t>
        </w:r>
        <w:r w:rsidR="00D92677" w:rsidRPr="006234AA">
          <w:rPr>
            <w:noProof/>
            <w:webHidden/>
          </w:rPr>
          <w:tab/>
        </w:r>
        <w:r w:rsidRPr="006234AA">
          <w:rPr>
            <w:noProof/>
            <w:webHidden/>
          </w:rPr>
          <w:fldChar w:fldCharType="begin"/>
        </w:r>
        <w:r w:rsidR="00D92677" w:rsidRPr="006234AA">
          <w:rPr>
            <w:noProof/>
            <w:webHidden/>
          </w:rPr>
          <w:instrText xml:space="preserve"> PAGEREF _Toc422671980 \h </w:instrText>
        </w:r>
        <w:r w:rsidRPr="006234AA">
          <w:rPr>
            <w:noProof/>
            <w:webHidden/>
          </w:rPr>
        </w:r>
        <w:r w:rsidRPr="006234AA">
          <w:rPr>
            <w:noProof/>
            <w:webHidden/>
          </w:rPr>
          <w:fldChar w:fldCharType="separate"/>
        </w:r>
        <w:r w:rsidR="00060F30">
          <w:rPr>
            <w:noProof/>
            <w:webHidden/>
          </w:rPr>
          <w:t>42</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81"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36. Nh</w:t>
        </w:r>
        <w:r w:rsidR="00D92677" w:rsidRPr="006234AA">
          <w:rPr>
            <w:rStyle w:val="Hyperlink"/>
            <w:rFonts w:ascii="Times New Roman" w:hAnsi="Times New Roman" w:cs="Times New Roman"/>
            <w:noProof/>
            <w:color w:val="auto"/>
          </w:rPr>
          <w:t>ậ</w:t>
        </w:r>
        <w:r w:rsidR="00D92677" w:rsidRPr="006234AA">
          <w:rPr>
            <w:rStyle w:val="Hyperlink"/>
            <w:noProof/>
            <w:color w:val="auto"/>
          </w:rPr>
          <w:t>n và th</w:t>
        </w:r>
        <w:r w:rsidR="00D92677" w:rsidRPr="006234AA">
          <w:rPr>
            <w:rStyle w:val="Hyperlink"/>
            <w:rFonts w:ascii="Times New Roman" w:hAnsi="Times New Roman" w:cs="Times New Roman"/>
            <w:noProof/>
            <w:color w:val="auto"/>
          </w:rPr>
          <w:t>ự</w:t>
        </w:r>
        <w:r w:rsidR="00D92677" w:rsidRPr="006234AA">
          <w:rPr>
            <w:rStyle w:val="Hyperlink"/>
            <w:noProof/>
            <w:color w:val="auto"/>
          </w:rPr>
          <w:t>c hi</w:t>
        </w:r>
        <w:r w:rsidR="00D92677" w:rsidRPr="006234AA">
          <w:rPr>
            <w:rStyle w:val="Hyperlink"/>
            <w:rFonts w:ascii="Times New Roman" w:hAnsi="Times New Roman" w:cs="Times New Roman"/>
            <w:noProof/>
            <w:color w:val="auto"/>
          </w:rPr>
          <w:t>ệ</w:t>
        </w:r>
        <w:r w:rsidR="00D92677" w:rsidRPr="006234AA">
          <w:rPr>
            <w:rStyle w:val="Hyperlink"/>
            <w:noProof/>
            <w:color w:val="auto"/>
          </w:rPr>
          <w:t>n l</w:t>
        </w:r>
        <w:r w:rsidR="00D92677" w:rsidRPr="006234AA">
          <w:rPr>
            <w:rStyle w:val="Hyperlink"/>
            <w:rFonts w:ascii="Times New Roman" w:hAnsi="Times New Roman" w:cs="Times New Roman"/>
            <w:noProof/>
            <w:color w:val="auto"/>
          </w:rPr>
          <w:t>ệ</w:t>
        </w:r>
        <w:r w:rsidR="00D92677" w:rsidRPr="006234AA">
          <w:rPr>
            <w:rStyle w:val="Hyperlink"/>
            <w:noProof/>
            <w:color w:val="auto"/>
          </w:rPr>
          <w:t>nh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_Toc422671981 \h </w:instrText>
        </w:r>
        <w:r w:rsidRPr="006234AA">
          <w:rPr>
            <w:noProof/>
            <w:webHidden/>
          </w:rPr>
        </w:r>
        <w:r w:rsidRPr="006234AA">
          <w:rPr>
            <w:noProof/>
            <w:webHidden/>
          </w:rPr>
          <w:fldChar w:fldCharType="separate"/>
        </w:r>
        <w:r w:rsidR="00060F30">
          <w:rPr>
            <w:noProof/>
            <w:webHidden/>
          </w:rPr>
          <w:t>46</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82"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37. Cung c</w:t>
        </w:r>
        <w:r w:rsidR="00D92677" w:rsidRPr="006234AA">
          <w:rPr>
            <w:rStyle w:val="Hyperlink"/>
            <w:rFonts w:ascii="Times New Roman" w:hAnsi="Times New Roman" w:cs="Times New Roman"/>
            <w:noProof/>
            <w:color w:val="auto"/>
          </w:rPr>
          <w:t>ấ</w:t>
        </w:r>
        <w:r w:rsidR="00D92677" w:rsidRPr="006234AA">
          <w:rPr>
            <w:rStyle w:val="Hyperlink"/>
            <w:noProof/>
            <w:color w:val="auto"/>
          </w:rPr>
          <w:t>p thông tin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 khách hàng</w:t>
        </w:r>
        <w:r w:rsidR="00D92677" w:rsidRPr="006234AA">
          <w:rPr>
            <w:noProof/>
            <w:webHidden/>
          </w:rPr>
          <w:tab/>
        </w:r>
        <w:r w:rsidRPr="006234AA">
          <w:rPr>
            <w:noProof/>
            <w:webHidden/>
          </w:rPr>
          <w:fldChar w:fldCharType="begin"/>
        </w:r>
        <w:r w:rsidR="00D92677" w:rsidRPr="006234AA">
          <w:rPr>
            <w:noProof/>
            <w:webHidden/>
          </w:rPr>
          <w:instrText xml:space="preserve"> PAGEREF _Toc422671982 \h </w:instrText>
        </w:r>
        <w:r w:rsidRPr="006234AA">
          <w:rPr>
            <w:noProof/>
            <w:webHidden/>
          </w:rPr>
        </w:r>
        <w:r w:rsidRPr="006234AA">
          <w:rPr>
            <w:noProof/>
            <w:webHidden/>
          </w:rPr>
          <w:fldChar w:fldCharType="separate"/>
        </w:r>
        <w:r w:rsidR="00060F30">
          <w:rPr>
            <w:noProof/>
            <w:webHidden/>
          </w:rPr>
          <w:t>48</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83" w:history="1">
        <w:r w:rsidR="00D92677" w:rsidRPr="006234AA">
          <w:rPr>
            <w:rStyle w:val="Hyperlink"/>
            <w:noProof/>
            <w:color w:val="auto"/>
          </w:rPr>
          <w:t>M</w:t>
        </w:r>
        <w:r w:rsidR="00D92677" w:rsidRPr="006234AA">
          <w:rPr>
            <w:rStyle w:val="Hyperlink"/>
            <w:rFonts w:ascii="Times New Roman" w:hAnsi="Times New Roman" w:cs="Times New Roman"/>
            <w:noProof/>
            <w:color w:val="auto"/>
          </w:rPr>
          <w:t>ụ</w:t>
        </w:r>
        <w:r w:rsidR="00D92677" w:rsidRPr="006234AA">
          <w:rPr>
            <w:rStyle w:val="Hyperlink"/>
            <w:noProof/>
            <w:color w:val="auto"/>
          </w:rPr>
          <w:t>c 3</w:t>
        </w:r>
        <w:r w:rsidR="00D92677" w:rsidRPr="006234AA">
          <w:rPr>
            <w:noProof/>
            <w:webHidden/>
          </w:rPr>
          <w:tab/>
        </w:r>
        <w:r w:rsidRPr="006234AA">
          <w:rPr>
            <w:noProof/>
            <w:webHidden/>
          </w:rPr>
          <w:fldChar w:fldCharType="begin"/>
        </w:r>
        <w:r w:rsidR="00D92677" w:rsidRPr="006234AA">
          <w:rPr>
            <w:noProof/>
            <w:webHidden/>
          </w:rPr>
          <w:instrText xml:space="preserve"> PAGEREF _Toc422671983 \h </w:instrText>
        </w:r>
        <w:r w:rsidRPr="006234AA">
          <w:rPr>
            <w:noProof/>
            <w:webHidden/>
          </w:rPr>
        </w:r>
        <w:r w:rsidRPr="006234AA">
          <w:rPr>
            <w:noProof/>
            <w:webHidden/>
          </w:rPr>
          <w:fldChar w:fldCharType="separate"/>
        </w:r>
        <w:r w:rsidR="00060F30">
          <w:rPr>
            <w:noProof/>
            <w:webHidden/>
          </w:rPr>
          <w:t>49</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84" w:history="1">
        <w:r w:rsidR="00D92677" w:rsidRPr="006234AA">
          <w:rPr>
            <w:rStyle w:val="Hyperlink"/>
            <w:noProof/>
            <w:color w:val="auto"/>
            <w:lang w:val="vi-VN"/>
          </w:rPr>
          <w:t>THÀNH VIÊN T</w:t>
        </w:r>
        <w:r w:rsidR="00D92677" w:rsidRPr="006234AA">
          <w:rPr>
            <w:rStyle w:val="Hyperlink"/>
            <w:rFonts w:ascii="Times New Roman" w:hAnsi="Times New Roman" w:cs="Times New Roman"/>
            <w:noProof/>
            <w:color w:val="auto"/>
            <w:lang w:val="vi-VN"/>
          </w:rPr>
          <w:t>Ạ</w:t>
        </w:r>
        <w:r w:rsidR="00D92677" w:rsidRPr="006234AA">
          <w:rPr>
            <w:rStyle w:val="Hyperlink"/>
            <w:noProof/>
            <w:color w:val="auto"/>
            <w:lang w:val="vi-VN"/>
          </w:rPr>
          <w:t>O L</w:t>
        </w:r>
        <w:r w:rsidR="00D92677" w:rsidRPr="006234AA">
          <w:rPr>
            <w:rStyle w:val="Hyperlink"/>
            <w:rFonts w:ascii="Times New Roman" w:hAnsi="Times New Roman" w:cs="Times New Roman"/>
            <w:noProof/>
            <w:color w:val="auto"/>
            <w:lang w:val="vi-VN"/>
          </w:rPr>
          <w:t>Ậ</w:t>
        </w:r>
        <w:r w:rsidR="00D92677" w:rsidRPr="006234AA">
          <w:rPr>
            <w:rStyle w:val="Hyperlink"/>
            <w:noProof/>
            <w:color w:val="auto"/>
            <w:lang w:val="vi-VN"/>
          </w:rPr>
          <w:t>P TH</w:t>
        </w:r>
        <w:r w:rsidR="00D92677" w:rsidRPr="006234AA">
          <w:rPr>
            <w:rStyle w:val="Hyperlink"/>
            <w:rFonts w:ascii="Times New Roman" w:hAnsi="Times New Roman" w:cs="Times New Roman"/>
            <w:noProof/>
            <w:color w:val="auto"/>
            <w:lang w:val="vi-VN"/>
          </w:rPr>
          <w:t>Ị</w:t>
        </w:r>
        <w:r w:rsidR="00D92677" w:rsidRPr="006234AA">
          <w:rPr>
            <w:rStyle w:val="Hyperlink"/>
            <w:noProof/>
            <w:color w:val="auto"/>
            <w:lang w:val="vi-VN"/>
          </w:rPr>
          <w:t xml:space="preserve"> TR</w:t>
        </w:r>
        <w:r w:rsidR="00D92677" w:rsidRPr="006234AA">
          <w:rPr>
            <w:rStyle w:val="Hyperlink"/>
            <w:rFonts w:ascii="Times New Roman" w:hAnsi="Times New Roman" w:cs="Times New Roman"/>
            <w:noProof/>
            <w:color w:val="auto"/>
            <w:lang w:val="vi-VN"/>
          </w:rPr>
          <w:t>ƯỜ</w:t>
        </w:r>
        <w:r w:rsidR="00D92677" w:rsidRPr="006234AA">
          <w:rPr>
            <w:rStyle w:val="Hyperlink"/>
            <w:noProof/>
            <w:color w:val="auto"/>
            <w:lang w:val="vi-VN"/>
          </w:rPr>
          <w:t>NG</w:t>
        </w:r>
        <w:r w:rsidR="00D92677" w:rsidRPr="006234AA">
          <w:rPr>
            <w:noProof/>
            <w:webHidden/>
          </w:rPr>
          <w:tab/>
        </w:r>
        <w:r w:rsidRPr="006234AA">
          <w:rPr>
            <w:noProof/>
            <w:webHidden/>
          </w:rPr>
          <w:fldChar w:fldCharType="begin"/>
        </w:r>
        <w:r w:rsidR="00D92677" w:rsidRPr="006234AA">
          <w:rPr>
            <w:noProof/>
            <w:webHidden/>
          </w:rPr>
          <w:instrText xml:space="preserve"> PAGEREF _Toc422671984 \h </w:instrText>
        </w:r>
        <w:r w:rsidRPr="006234AA">
          <w:rPr>
            <w:noProof/>
            <w:webHidden/>
          </w:rPr>
        </w:r>
        <w:r w:rsidRPr="006234AA">
          <w:rPr>
            <w:noProof/>
            <w:webHidden/>
          </w:rPr>
          <w:fldChar w:fldCharType="separate"/>
        </w:r>
        <w:r w:rsidR="00060F30">
          <w:rPr>
            <w:noProof/>
            <w:webHidden/>
          </w:rPr>
          <w:t>49</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85"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38. H</w:t>
        </w:r>
        <w:r w:rsidR="00D92677" w:rsidRPr="006234AA">
          <w:rPr>
            <w:rStyle w:val="Hyperlink"/>
            <w:rFonts w:ascii="Times New Roman" w:hAnsi="Times New Roman" w:cs="Times New Roman"/>
            <w:noProof/>
            <w:color w:val="auto"/>
          </w:rPr>
          <w:t>ồ</w:t>
        </w:r>
        <w:r w:rsidR="00D92677" w:rsidRPr="006234AA">
          <w:rPr>
            <w:rStyle w:val="Hyperlink"/>
            <w:noProof/>
            <w:color w:val="auto"/>
          </w:rPr>
          <w:t xml:space="preserve"> s</w:t>
        </w:r>
        <w:r w:rsidR="00D92677" w:rsidRPr="006234AA">
          <w:rPr>
            <w:rStyle w:val="Hyperlink"/>
            <w:rFonts w:ascii="Times New Roman" w:hAnsi="Times New Roman" w:cs="Times New Roman"/>
            <w:noProof/>
            <w:color w:val="auto"/>
          </w:rPr>
          <w:t>ơ</w:t>
        </w:r>
        <w:r w:rsidR="00D92677" w:rsidRPr="006234AA">
          <w:rPr>
            <w:rStyle w:val="Hyperlink"/>
            <w:noProof/>
            <w:color w:val="auto"/>
          </w:rPr>
          <w:t xml:space="preserve"> đăng ký ho</w:t>
        </w:r>
        <w:r w:rsidR="00D92677" w:rsidRPr="006234AA">
          <w:rPr>
            <w:rStyle w:val="Hyperlink"/>
            <w:rFonts w:ascii="Times New Roman" w:hAnsi="Times New Roman" w:cs="Times New Roman"/>
            <w:noProof/>
            <w:color w:val="auto"/>
          </w:rPr>
          <w:t>ạ</w:t>
        </w:r>
        <w:r w:rsidR="00D92677" w:rsidRPr="006234AA">
          <w:rPr>
            <w:rStyle w:val="Hyperlink"/>
            <w:noProof/>
            <w:color w:val="auto"/>
          </w:rPr>
          <w:t>t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t</w:t>
        </w:r>
        <w:r w:rsidR="00D92677" w:rsidRPr="006234AA">
          <w:rPr>
            <w:rStyle w:val="Hyperlink"/>
            <w:rFonts w:ascii="Times New Roman" w:hAnsi="Times New Roman" w:cs="Times New Roman"/>
            <w:noProof/>
            <w:color w:val="auto"/>
          </w:rPr>
          <w:t>ạ</w:t>
        </w:r>
        <w:r w:rsidR="00D92677" w:rsidRPr="006234AA">
          <w:rPr>
            <w:rStyle w:val="Hyperlink"/>
            <w:noProof/>
            <w:color w:val="auto"/>
          </w:rPr>
          <w:t>o l</w:t>
        </w:r>
        <w:r w:rsidR="00D92677" w:rsidRPr="006234AA">
          <w:rPr>
            <w:rStyle w:val="Hyperlink"/>
            <w:rFonts w:ascii="Times New Roman" w:hAnsi="Times New Roman" w:cs="Times New Roman"/>
            <w:noProof/>
            <w:color w:val="auto"/>
          </w:rPr>
          <w:t>ậ</w:t>
        </w:r>
        <w:r w:rsidR="00D92677" w:rsidRPr="006234AA">
          <w:rPr>
            <w:rStyle w:val="Hyperlink"/>
            <w:noProof/>
            <w:color w:val="auto"/>
          </w:rPr>
          <w:t>p th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tr</w:t>
        </w:r>
        <w:r w:rsidR="00D92677" w:rsidRPr="006234AA">
          <w:rPr>
            <w:rStyle w:val="Hyperlink"/>
            <w:rFonts w:ascii="Times New Roman" w:hAnsi="Times New Roman" w:cs="Times New Roman"/>
            <w:noProof/>
            <w:color w:val="auto"/>
          </w:rPr>
          <w:t>ườ</w:t>
        </w:r>
        <w:r w:rsidR="00D92677" w:rsidRPr="006234AA">
          <w:rPr>
            <w:rStyle w:val="Hyperlink"/>
            <w:noProof/>
            <w:color w:val="auto"/>
          </w:rPr>
          <w:t>ng</w:t>
        </w:r>
        <w:r w:rsidR="00D92677" w:rsidRPr="006234AA">
          <w:rPr>
            <w:noProof/>
            <w:webHidden/>
          </w:rPr>
          <w:tab/>
        </w:r>
        <w:r w:rsidRPr="006234AA">
          <w:rPr>
            <w:noProof/>
            <w:webHidden/>
          </w:rPr>
          <w:fldChar w:fldCharType="begin"/>
        </w:r>
        <w:r w:rsidR="00D92677" w:rsidRPr="006234AA">
          <w:rPr>
            <w:noProof/>
            <w:webHidden/>
          </w:rPr>
          <w:instrText xml:space="preserve"> PAGEREF _Toc422671985 \h </w:instrText>
        </w:r>
        <w:r w:rsidRPr="006234AA">
          <w:rPr>
            <w:noProof/>
            <w:webHidden/>
          </w:rPr>
        </w:r>
        <w:r w:rsidRPr="006234AA">
          <w:rPr>
            <w:noProof/>
            <w:webHidden/>
          </w:rPr>
          <w:fldChar w:fldCharType="separate"/>
        </w:r>
        <w:r w:rsidR="00060F30">
          <w:rPr>
            <w:noProof/>
            <w:webHidden/>
          </w:rPr>
          <w:t>49</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86"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39. Nghĩa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c</w:t>
        </w:r>
        <w:r w:rsidR="00D92677" w:rsidRPr="006234AA">
          <w:rPr>
            <w:rStyle w:val="Hyperlink"/>
            <w:rFonts w:ascii="Times New Roman" w:hAnsi="Times New Roman" w:cs="Times New Roman"/>
            <w:noProof/>
            <w:color w:val="auto"/>
          </w:rPr>
          <w:t>ủ</w:t>
        </w:r>
        <w:r w:rsidR="00D92677" w:rsidRPr="006234AA">
          <w:rPr>
            <w:rStyle w:val="Hyperlink"/>
            <w:noProof/>
            <w:color w:val="auto"/>
          </w:rPr>
          <w:t>a thành viên t</w:t>
        </w:r>
        <w:r w:rsidR="00D92677" w:rsidRPr="006234AA">
          <w:rPr>
            <w:rStyle w:val="Hyperlink"/>
            <w:rFonts w:ascii="Times New Roman" w:hAnsi="Times New Roman" w:cs="Times New Roman"/>
            <w:noProof/>
            <w:color w:val="auto"/>
          </w:rPr>
          <w:t>ạ</w:t>
        </w:r>
        <w:r w:rsidR="00D92677" w:rsidRPr="006234AA">
          <w:rPr>
            <w:rStyle w:val="Hyperlink"/>
            <w:noProof/>
            <w:color w:val="auto"/>
          </w:rPr>
          <w:t>o l</w:t>
        </w:r>
        <w:r w:rsidR="00D92677" w:rsidRPr="006234AA">
          <w:rPr>
            <w:rStyle w:val="Hyperlink"/>
            <w:rFonts w:ascii="Times New Roman" w:hAnsi="Times New Roman" w:cs="Times New Roman"/>
            <w:noProof/>
            <w:color w:val="auto"/>
          </w:rPr>
          <w:t>ậ</w:t>
        </w:r>
        <w:r w:rsidR="00D92677" w:rsidRPr="006234AA">
          <w:rPr>
            <w:rStyle w:val="Hyperlink"/>
            <w:noProof/>
            <w:color w:val="auto"/>
          </w:rPr>
          <w:t>p th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tr</w:t>
        </w:r>
        <w:r w:rsidR="00D92677" w:rsidRPr="006234AA">
          <w:rPr>
            <w:rStyle w:val="Hyperlink"/>
            <w:rFonts w:ascii="Times New Roman" w:hAnsi="Times New Roman" w:cs="Times New Roman"/>
            <w:noProof/>
            <w:color w:val="auto"/>
          </w:rPr>
          <w:t>ườ</w:t>
        </w:r>
        <w:r w:rsidR="00D92677" w:rsidRPr="006234AA">
          <w:rPr>
            <w:rStyle w:val="Hyperlink"/>
            <w:noProof/>
            <w:color w:val="auto"/>
          </w:rPr>
          <w:t>ng</w:t>
        </w:r>
        <w:r w:rsidR="00D92677" w:rsidRPr="006234AA">
          <w:rPr>
            <w:noProof/>
            <w:webHidden/>
          </w:rPr>
          <w:tab/>
        </w:r>
        <w:r w:rsidRPr="006234AA">
          <w:rPr>
            <w:noProof/>
            <w:webHidden/>
          </w:rPr>
          <w:fldChar w:fldCharType="begin"/>
        </w:r>
        <w:r w:rsidR="00D92677" w:rsidRPr="006234AA">
          <w:rPr>
            <w:noProof/>
            <w:webHidden/>
          </w:rPr>
          <w:instrText xml:space="preserve"> PAGEREF _Toc422671986 \h </w:instrText>
        </w:r>
        <w:r w:rsidRPr="006234AA">
          <w:rPr>
            <w:noProof/>
            <w:webHidden/>
          </w:rPr>
        </w:r>
        <w:r w:rsidRPr="006234AA">
          <w:rPr>
            <w:noProof/>
            <w:webHidden/>
          </w:rPr>
          <w:fldChar w:fldCharType="separate"/>
        </w:r>
        <w:r w:rsidR="00060F30">
          <w:rPr>
            <w:noProof/>
            <w:webHidden/>
          </w:rPr>
          <w:t>50</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87"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40. Quy</w:t>
        </w:r>
        <w:r w:rsidR="00D92677" w:rsidRPr="006234AA">
          <w:rPr>
            <w:rStyle w:val="Hyperlink"/>
            <w:rFonts w:ascii="Times New Roman" w:hAnsi="Times New Roman" w:cs="Times New Roman"/>
            <w:noProof/>
            <w:color w:val="auto"/>
          </w:rPr>
          <w:t>ề</w:t>
        </w:r>
        <w:r w:rsidR="00D92677" w:rsidRPr="006234AA">
          <w:rPr>
            <w:rStyle w:val="Hyperlink"/>
            <w:noProof/>
            <w:color w:val="auto"/>
          </w:rPr>
          <w:t>n c</w:t>
        </w:r>
        <w:r w:rsidR="00D92677" w:rsidRPr="006234AA">
          <w:rPr>
            <w:rStyle w:val="Hyperlink"/>
            <w:rFonts w:ascii="Times New Roman" w:hAnsi="Times New Roman" w:cs="Times New Roman"/>
            <w:noProof/>
            <w:color w:val="auto"/>
          </w:rPr>
          <w:t>ủ</w:t>
        </w:r>
        <w:r w:rsidR="00D92677" w:rsidRPr="006234AA">
          <w:rPr>
            <w:rStyle w:val="Hyperlink"/>
            <w:noProof/>
            <w:color w:val="auto"/>
          </w:rPr>
          <w:t>a thành viên t</w:t>
        </w:r>
        <w:r w:rsidR="00D92677" w:rsidRPr="006234AA">
          <w:rPr>
            <w:rStyle w:val="Hyperlink"/>
            <w:rFonts w:ascii="Times New Roman" w:hAnsi="Times New Roman" w:cs="Times New Roman"/>
            <w:noProof/>
            <w:color w:val="auto"/>
          </w:rPr>
          <w:t>ạ</w:t>
        </w:r>
        <w:r w:rsidR="00D92677" w:rsidRPr="006234AA">
          <w:rPr>
            <w:rStyle w:val="Hyperlink"/>
            <w:noProof/>
            <w:color w:val="auto"/>
          </w:rPr>
          <w:t>o l</w:t>
        </w:r>
        <w:r w:rsidR="00D92677" w:rsidRPr="006234AA">
          <w:rPr>
            <w:rStyle w:val="Hyperlink"/>
            <w:rFonts w:ascii="Times New Roman" w:hAnsi="Times New Roman" w:cs="Times New Roman"/>
            <w:noProof/>
            <w:color w:val="auto"/>
          </w:rPr>
          <w:t>ậ</w:t>
        </w:r>
        <w:r w:rsidR="00D92677" w:rsidRPr="006234AA">
          <w:rPr>
            <w:rStyle w:val="Hyperlink"/>
            <w:noProof/>
            <w:color w:val="auto"/>
          </w:rPr>
          <w:t>p th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tr</w:t>
        </w:r>
        <w:r w:rsidR="00D92677" w:rsidRPr="006234AA">
          <w:rPr>
            <w:rStyle w:val="Hyperlink"/>
            <w:rFonts w:ascii="Times New Roman" w:hAnsi="Times New Roman" w:cs="Times New Roman"/>
            <w:noProof/>
            <w:color w:val="auto"/>
          </w:rPr>
          <w:t>ườ</w:t>
        </w:r>
        <w:r w:rsidR="00D92677" w:rsidRPr="006234AA">
          <w:rPr>
            <w:rStyle w:val="Hyperlink"/>
            <w:noProof/>
            <w:color w:val="auto"/>
          </w:rPr>
          <w:t>ng</w:t>
        </w:r>
        <w:r w:rsidR="00D92677" w:rsidRPr="006234AA">
          <w:rPr>
            <w:noProof/>
            <w:webHidden/>
          </w:rPr>
          <w:tab/>
        </w:r>
        <w:r w:rsidRPr="006234AA">
          <w:rPr>
            <w:noProof/>
            <w:webHidden/>
          </w:rPr>
          <w:fldChar w:fldCharType="begin"/>
        </w:r>
        <w:r w:rsidR="00D92677" w:rsidRPr="006234AA">
          <w:rPr>
            <w:noProof/>
            <w:webHidden/>
          </w:rPr>
          <w:instrText xml:space="preserve"> PAGEREF _Toc422671987 \h </w:instrText>
        </w:r>
        <w:r w:rsidRPr="006234AA">
          <w:rPr>
            <w:noProof/>
            <w:webHidden/>
          </w:rPr>
        </w:r>
        <w:r w:rsidRPr="006234AA">
          <w:rPr>
            <w:noProof/>
            <w:webHidden/>
          </w:rPr>
          <w:fldChar w:fldCharType="separate"/>
        </w:r>
        <w:r w:rsidR="00060F30">
          <w:rPr>
            <w:noProof/>
            <w:webHidden/>
          </w:rPr>
          <w:t>50</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88"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41. Qu</w:t>
        </w:r>
        <w:r w:rsidR="00D92677" w:rsidRPr="006234AA">
          <w:rPr>
            <w:rStyle w:val="Hyperlink"/>
            <w:rFonts w:ascii="Times New Roman" w:hAnsi="Times New Roman" w:cs="Times New Roman"/>
            <w:noProof/>
            <w:color w:val="auto"/>
          </w:rPr>
          <w:t>ả</w:t>
        </w:r>
        <w:r w:rsidR="00D92677" w:rsidRPr="006234AA">
          <w:rPr>
            <w:rStyle w:val="Hyperlink"/>
            <w:noProof/>
            <w:color w:val="auto"/>
          </w:rPr>
          <w:t>n lý ho</w:t>
        </w:r>
        <w:r w:rsidR="00D92677" w:rsidRPr="006234AA">
          <w:rPr>
            <w:rStyle w:val="Hyperlink"/>
            <w:rFonts w:ascii="Times New Roman" w:hAnsi="Times New Roman" w:cs="Times New Roman"/>
            <w:noProof/>
            <w:color w:val="auto"/>
          </w:rPr>
          <w:t>ạ</w:t>
        </w:r>
        <w:r w:rsidR="00D92677" w:rsidRPr="006234AA">
          <w:rPr>
            <w:rStyle w:val="Hyperlink"/>
            <w:noProof/>
            <w:color w:val="auto"/>
          </w:rPr>
          <w:t>t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t</w:t>
        </w:r>
        <w:r w:rsidR="00D92677" w:rsidRPr="006234AA">
          <w:rPr>
            <w:rStyle w:val="Hyperlink"/>
            <w:rFonts w:ascii="Times New Roman" w:hAnsi="Times New Roman" w:cs="Times New Roman"/>
            <w:noProof/>
            <w:color w:val="auto"/>
          </w:rPr>
          <w:t>ạ</w:t>
        </w:r>
        <w:r w:rsidR="00D92677" w:rsidRPr="006234AA">
          <w:rPr>
            <w:rStyle w:val="Hyperlink"/>
            <w:noProof/>
            <w:color w:val="auto"/>
          </w:rPr>
          <w:t>o l</w:t>
        </w:r>
        <w:r w:rsidR="00D92677" w:rsidRPr="006234AA">
          <w:rPr>
            <w:rStyle w:val="Hyperlink"/>
            <w:rFonts w:ascii="Times New Roman" w:hAnsi="Times New Roman" w:cs="Times New Roman"/>
            <w:noProof/>
            <w:color w:val="auto"/>
          </w:rPr>
          <w:t>ậ</w:t>
        </w:r>
        <w:r w:rsidR="00D92677" w:rsidRPr="006234AA">
          <w:rPr>
            <w:rStyle w:val="Hyperlink"/>
            <w:noProof/>
            <w:color w:val="auto"/>
          </w:rPr>
          <w:t>p th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tr</w:t>
        </w:r>
        <w:r w:rsidR="00D92677" w:rsidRPr="006234AA">
          <w:rPr>
            <w:rStyle w:val="Hyperlink"/>
            <w:rFonts w:ascii="Times New Roman" w:hAnsi="Times New Roman" w:cs="Times New Roman"/>
            <w:noProof/>
            <w:color w:val="auto"/>
          </w:rPr>
          <w:t>ườ</w:t>
        </w:r>
        <w:r w:rsidR="00D92677" w:rsidRPr="006234AA">
          <w:rPr>
            <w:rStyle w:val="Hyperlink"/>
            <w:noProof/>
            <w:color w:val="auto"/>
          </w:rPr>
          <w:t>ng</w:t>
        </w:r>
        <w:r w:rsidR="00D92677" w:rsidRPr="006234AA">
          <w:rPr>
            <w:noProof/>
            <w:webHidden/>
          </w:rPr>
          <w:tab/>
        </w:r>
        <w:r w:rsidRPr="006234AA">
          <w:rPr>
            <w:noProof/>
            <w:webHidden/>
          </w:rPr>
          <w:fldChar w:fldCharType="begin"/>
        </w:r>
        <w:r w:rsidR="00D92677" w:rsidRPr="006234AA">
          <w:rPr>
            <w:noProof/>
            <w:webHidden/>
          </w:rPr>
          <w:instrText xml:space="preserve"> PAGEREF _Toc422671988 \h </w:instrText>
        </w:r>
        <w:r w:rsidRPr="006234AA">
          <w:rPr>
            <w:noProof/>
            <w:webHidden/>
          </w:rPr>
        </w:r>
        <w:r w:rsidRPr="006234AA">
          <w:rPr>
            <w:noProof/>
            <w:webHidden/>
          </w:rPr>
          <w:fldChar w:fldCharType="separate"/>
        </w:r>
        <w:r w:rsidR="00060F30">
          <w:rPr>
            <w:noProof/>
            <w:webHidden/>
          </w:rPr>
          <w:t>50</w:t>
        </w:r>
        <w:r w:rsidRPr="006234AA">
          <w:rPr>
            <w:noProof/>
            <w:webHidden/>
          </w:rPr>
          <w:fldChar w:fldCharType="end"/>
        </w:r>
      </w:hyperlink>
    </w:p>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hyperlink w:anchor="_Toc422671989" w:history="1">
        <w:r w:rsidR="00D92677" w:rsidRPr="006234AA">
          <w:rPr>
            <w:rStyle w:val="Hyperlink"/>
            <w:noProof/>
            <w:color w:val="auto"/>
          </w:rPr>
          <w:t>Ch</w:t>
        </w:r>
        <w:r w:rsidR="00D92677" w:rsidRPr="006234AA">
          <w:rPr>
            <w:rStyle w:val="Hyperlink"/>
            <w:rFonts w:ascii="Times New Roman" w:hAnsi="Times New Roman" w:cs="Times New Roman"/>
            <w:noProof/>
            <w:color w:val="auto"/>
          </w:rPr>
          <w:t>ươ</w:t>
        </w:r>
        <w:r w:rsidR="00D92677" w:rsidRPr="006234AA">
          <w:rPr>
            <w:rStyle w:val="Hyperlink"/>
            <w:noProof/>
            <w:color w:val="auto"/>
          </w:rPr>
          <w:t>ng V</w:t>
        </w:r>
        <w:r w:rsidR="00D92677" w:rsidRPr="006234AA">
          <w:rPr>
            <w:noProof/>
            <w:webHidden/>
          </w:rPr>
          <w:tab/>
        </w:r>
        <w:r w:rsidRPr="006234AA">
          <w:rPr>
            <w:noProof/>
            <w:webHidden/>
          </w:rPr>
          <w:fldChar w:fldCharType="begin"/>
        </w:r>
        <w:r w:rsidR="00D92677" w:rsidRPr="006234AA">
          <w:rPr>
            <w:noProof/>
            <w:webHidden/>
          </w:rPr>
          <w:instrText xml:space="preserve"> PAGEREF _Toc422671989 \h </w:instrText>
        </w:r>
        <w:r w:rsidRPr="006234AA">
          <w:rPr>
            <w:noProof/>
            <w:webHidden/>
          </w:rPr>
        </w:r>
        <w:r w:rsidRPr="006234AA">
          <w:rPr>
            <w:noProof/>
            <w:webHidden/>
          </w:rPr>
          <w:fldChar w:fldCharType="separate"/>
        </w:r>
        <w:r w:rsidR="00060F30">
          <w:rPr>
            <w:noProof/>
            <w:webHidden/>
          </w:rPr>
          <w:t>51</w:t>
        </w:r>
        <w:r w:rsidRPr="006234AA">
          <w:rPr>
            <w:noProof/>
            <w:webHidden/>
          </w:rPr>
          <w:fldChar w:fldCharType="end"/>
        </w:r>
      </w:hyperlink>
    </w:p>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hyperlink w:anchor="_Toc422671990" w:history="1">
        <w:r w:rsidR="00D92677" w:rsidRPr="006234AA">
          <w:rPr>
            <w:rStyle w:val="Hyperlink"/>
            <w:noProof/>
            <w:color w:val="auto"/>
          </w:rPr>
          <w:t>HO</w:t>
        </w:r>
        <w:r w:rsidR="00D92677" w:rsidRPr="006234AA">
          <w:rPr>
            <w:rStyle w:val="Hyperlink"/>
            <w:rFonts w:ascii="Times New Roman" w:hAnsi="Times New Roman" w:cs="Times New Roman"/>
            <w:noProof/>
            <w:color w:val="auto"/>
          </w:rPr>
          <w:t>Ạ</w:t>
        </w:r>
        <w:r w:rsidR="00D92677" w:rsidRPr="006234AA">
          <w:rPr>
            <w:rStyle w:val="Hyperlink"/>
            <w:noProof/>
            <w:color w:val="auto"/>
          </w:rPr>
          <w:t>T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THANH TOÁN, BÙ TR</w:t>
        </w:r>
        <w:r w:rsidR="00D92677" w:rsidRPr="006234AA">
          <w:rPr>
            <w:rStyle w:val="Hyperlink"/>
            <w:rFonts w:ascii="Times New Roman" w:hAnsi="Times New Roman" w:cs="Times New Roman"/>
            <w:noProof/>
            <w:color w:val="auto"/>
          </w:rPr>
          <w:t>Ừ</w:t>
        </w:r>
        <w:r w:rsidR="00D92677" w:rsidRPr="006234AA">
          <w:rPr>
            <w:noProof/>
            <w:webHidden/>
          </w:rPr>
          <w:tab/>
        </w:r>
        <w:r w:rsidRPr="006234AA">
          <w:rPr>
            <w:noProof/>
            <w:webHidden/>
          </w:rPr>
          <w:fldChar w:fldCharType="begin"/>
        </w:r>
        <w:r w:rsidR="00D92677" w:rsidRPr="006234AA">
          <w:rPr>
            <w:noProof/>
            <w:webHidden/>
          </w:rPr>
          <w:instrText xml:space="preserve"> PAGEREF _Toc422671990 \h </w:instrText>
        </w:r>
        <w:r w:rsidRPr="006234AA">
          <w:rPr>
            <w:noProof/>
            <w:webHidden/>
          </w:rPr>
        </w:r>
        <w:r w:rsidRPr="006234AA">
          <w:rPr>
            <w:noProof/>
            <w:webHidden/>
          </w:rPr>
          <w:fldChar w:fldCharType="separate"/>
        </w:r>
        <w:r w:rsidR="00060F30">
          <w:rPr>
            <w:noProof/>
            <w:webHidden/>
          </w:rPr>
          <w:t>51</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91" w:history="1">
        <w:r w:rsidR="00D92677" w:rsidRPr="006234AA">
          <w:rPr>
            <w:rStyle w:val="Hyperlink"/>
            <w:noProof/>
            <w:color w:val="auto"/>
          </w:rPr>
          <w:t>M</w:t>
        </w:r>
        <w:r w:rsidR="00D92677" w:rsidRPr="006234AA">
          <w:rPr>
            <w:rStyle w:val="Hyperlink"/>
            <w:rFonts w:ascii="Times New Roman" w:hAnsi="Times New Roman" w:cs="Times New Roman"/>
            <w:noProof/>
            <w:color w:val="auto"/>
          </w:rPr>
          <w:t>ụ</w:t>
        </w:r>
        <w:r w:rsidR="00D92677" w:rsidRPr="006234AA">
          <w:rPr>
            <w:rStyle w:val="Hyperlink"/>
            <w:noProof/>
            <w:color w:val="auto"/>
          </w:rPr>
          <w:t>c 1</w:t>
        </w:r>
        <w:r w:rsidR="00D92677" w:rsidRPr="006234AA">
          <w:rPr>
            <w:noProof/>
            <w:webHidden/>
          </w:rPr>
          <w:tab/>
        </w:r>
        <w:r w:rsidRPr="006234AA">
          <w:rPr>
            <w:noProof/>
            <w:webHidden/>
          </w:rPr>
          <w:fldChar w:fldCharType="begin"/>
        </w:r>
        <w:r w:rsidR="00D92677" w:rsidRPr="006234AA">
          <w:rPr>
            <w:noProof/>
            <w:webHidden/>
          </w:rPr>
          <w:instrText xml:space="preserve"> PAGEREF _Toc422671991 \h </w:instrText>
        </w:r>
        <w:r w:rsidRPr="006234AA">
          <w:rPr>
            <w:noProof/>
            <w:webHidden/>
          </w:rPr>
        </w:r>
        <w:r w:rsidRPr="006234AA">
          <w:rPr>
            <w:noProof/>
            <w:webHidden/>
          </w:rPr>
          <w:fldChar w:fldCharType="separate"/>
        </w:r>
        <w:r w:rsidR="00060F30">
          <w:rPr>
            <w:noProof/>
            <w:webHidden/>
          </w:rPr>
          <w:t>51</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92" w:history="1">
        <w:r w:rsidR="00D92677" w:rsidRPr="006234AA">
          <w:rPr>
            <w:rStyle w:val="Hyperlink"/>
            <w:noProof/>
            <w:color w:val="auto"/>
          </w:rPr>
          <w:t>THÀNH VIÊN BÙ TR</w:t>
        </w:r>
        <w:r w:rsidR="00D92677" w:rsidRPr="006234AA">
          <w:rPr>
            <w:rStyle w:val="Hyperlink"/>
            <w:rFonts w:ascii="Times New Roman" w:hAnsi="Times New Roman" w:cs="Times New Roman"/>
            <w:noProof/>
            <w:color w:val="auto"/>
          </w:rPr>
          <w:t>Ừ</w:t>
        </w:r>
        <w:r w:rsidR="00D92677" w:rsidRPr="006234AA">
          <w:rPr>
            <w:noProof/>
            <w:webHidden/>
          </w:rPr>
          <w:tab/>
        </w:r>
        <w:r w:rsidRPr="006234AA">
          <w:rPr>
            <w:noProof/>
            <w:webHidden/>
          </w:rPr>
          <w:fldChar w:fldCharType="begin"/>
        </w:r>
        <w:r w:rsidR="00D92677" w:rsidRPr="006234AA">
          <w:rPr>
            <w:noProof/>
            <w:webHidden/>
          </w:rPr>
          <w:instrText xml:space="preserve"> PAGEREF _Toc422671992 \h </w:instrText>
        </w:r>
        <w:r w:rsidRPr="006234AA">
          <w:rPr>
            <w:noProof/>
            <w:webHidden/>
          </w:rPr>
        </w:r>
        <w:r w:rsidRPr="006234AA">
          <w:rPr>
            <w:noProof/>
            <w:webHidden/>
          </w:rPr>
          <w:fldChar w:fldCharType="separate"/>
        </w:r>
        <w:r w:rsidR="00060F30">
          <w:rPr>
            <w:noProof/>
            <w:webHidden/>
          </w:rPr>
          <w:t>52</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93"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42. Đăng ký thành viên bù tr</w:t>
        </w:r>
        <w:r w:rsidR="00D92677" w:rsidRPr="006234AA">
          <w:rPr>
            <w:rStyle w:val="Hyperlink"/>
            <w:rFonts w:ascii="Times New Roman" w:hAnsi="Times New Roman" w:cs="Times New Roman"/>
            <w:noProof/>
            <w:color w:val="auto"/>
          </w:rPr>
          <w:t>ừ</w:t>
        </w:r>
        <w:r w:rsidR="00D92677" w:rsidRPr="006234AA">
          <w:rPr>
            <w:noProof/>
            <w:webHidden/>
          </w:rPr>
          <w:tab/>
        </w:r>
        <w:r w:rsidRPr="006234AA">
          <w:rPr>
            <w:noProof/>
            <w:webHidden/>
          </w:rPr>
          <w:fldChar w:fldCharType="begin"/>
        </w:r>
        <w:r w:rsidR="00D92677" w:rsidRPr="006234AA">
          <w:rPr>
            <w:noProof/>
            <w:webHidden/>
          </w:rPr>
          <w:instrText xml:space="preserve"> PAGEREF _Toc422671993 \h </w:instrText>
        </w:r>
        <w:r w:rsidRPr="006234AA">
          <w:rPr>
            <w:noProof/>
            <w:webHidden/>
          </w:rPr>
        </w:r>
        <w:r w:rsidRPr="006234AA">
          <w:rPr>
            <w:noProof/>
            <w:webHidden/>
          </w:rPr>
          <w:fldChar w:fldCharType="separate"/>
        </w:r>
        <w:r w:rsidR="00060F30">
          <w:rPr>
            <w:noProof/>
            <w:webHidden/>
          </w:rPr>
          <w:t>52</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94"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43. Quy</w:t>
        </w:r>
        <w:r w:rsidR="00D92677" w:rsidRPr="006234AA">
          <w:rPr>
            <w:rStyle w:val="Hyperlink"/>
            <w:rFonts w:ascii="Times New Roman" w:hAnsi="Times New Roman" w:cs="Times New Roman"/>
            <w:noProof/>
            <w:color w:val="auto"/>
          </w:rPr>
          <w:t>ề</w:t>
        </w:r>
        <w:r w:rsidR="00D92677" w:rsidRPr="006234AA">
          <w:rPr>
            <w:rStyle w:val="Hyperlink"/>
            <w:noProof/>
            <w:color w:val="auto"/>
          </w:rPr>
          <w:t>n c</w:t>
        </w:r>
        <w:r w:rsidR="00D92677" w:rsidRPr="006234AA">
          <w:rPr>
            <w:rStyle w:val="Hyperlink"/>
            <w:rFonts w:ascii="Times New Roman" w:hAnsi="Times New Roman" w:cs="Times New Roman"/>
            <w:noProof/>
            <w:color w:val="auto"/>
          </w:rPr>
          <w:t>ủ</w:t>
        </w:r>
        <w:r w:rsidR="00D92677" w:rsidRPr="006234AA">
          <w:rPr>
            <w:rStyle w:val="Hyperlink"/>
            <w:noProof/>
            <w:color w:val="auto"/>
          </w:rPr>
          <w:t>a thành viên bù tr</w:t>
        </w:r>
        <w:r w:rsidR="00D92677" w:rsidRPr="006234AA">
          <w:rPr>
            <w:rStyle w:val="Hyperlink"/>
            <w:rFonts w:ascii="Times New Roman" w:hAnsi="Times New Roman" w:cs="Times New Roman"/>
            <w:noProof/>
            <w:color w:val="auto"/>
          </w:rPr>
          <w:t>ừ</w:t>
        </w:r>
        <w:r w:rsidR="00D92677" w:rsidRPr="006234AA">
          <w:rPr>
            <w:noProof/>
            <w:webHidden/>
          </w:rPr>
          <w:tab/>
        </w:r>
        <w:r w:rsidRPr="006234AA">
          <w:rPr>
            <w:noProof/>
            <w:webHidden/>
          </w:rPr>
          <w:fldChar w:fldCharType="begin"/>
        </w:r>
        <w:r w:rsidR="00D92677" w:rsidRPr="006234AA">
          <w:rPr>
            <w:noProof/>
            <w:webHidden/>
          </w:rPr>
          <w:instrText xml:space="preserve"> PAGEREF _Toc422671994 \h </w:instrText>
        </w:r>
        <w:r w:rsidRPr="006234AA">
          <w:rPr>
            <w:noProof/>
            <w:webHidden/>
          </w:rPr>
        </w:r>
        <w:r w:rsidRPr="006234AA">
          <w:rPr>
            <w:noProof/>
            <w:webHidden/>
          </w:rPr>
          <w:fldChar w:fldCharType="separate"/>
        </w:r>
        <w:r w:rsidR="00060F30">
          <w:rPr>
            <w:noProof/>
            <w:webHidden/>
          </w:rPr>
          <w:t>52</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95"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44. Trách nhi</w:t>
        </w:r>
        <w:r w:rsidR="00D92677" w:rsidRPr="006234AA">
          <w:rPr>
            <w:rStyle w:val="Hyperlink"/>
            <w:rFonts w:ascii="Times New Roman" w:hAnsi="Times New Roman" w:cs="Times New Roman"/>
            <w:noProof/>
            <w:color w:val="auto"/>
          </w:rPr>
          <w:t>ệ</w:t>
        </w:r>
        <w:r w:rsidR="00D92677" w:rsidRPr="006234AA">
          <w:rPr>
            <w:rStyle w:val="Hyperlink"/>
            <w:noProof/>
            <w:color w:val="auto"/>
          </w:rPr>
          <w:t>m, nghĩa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c</w:t>
        </w:r>
        <w:r w:rsidR="00D92677" w:rsidRPr="006234AA">
          <w:rPr>
            <w:rStyle w:val="Hyperlink"/>
            <w:rFonts w:ascii="Times New Roman" w:hAnsi="Times New Roman" w:cs="Times New Roman"/>
            <w:noProof/>
            <w:color w:val="auto"/>
          </w:rPr>
          <w:t>ủ</w:t>
        </w:r>
        <w:r w:rsidR="00D92677" w:rsidRPr="006234AA">
          <w:rPr>
            <w:rStyle w:val="Hyperlink"/>
            <w:noProof/>
            <w:color w:val="auto"/>
          </w:rPr>
          <w:t>a thành viên bù tr</w:t>
        </w:r>
        <w:r w:rsidR="00D92677" w:rsidRPr="006234AA">
          <w:rPr>
            <w:rStyle w:val="Hyperlink"/>
            <w:rFonts w:ascii="Times New Roman" w:hAnsi="Times New Roman" w:cs="Times New Roman"/>
            <w:noProof/>
            <w:color w:val="auto"/>
          </w:rPr>
          <w:t>ừ</w:t>
        </w:r>
        <w:r w:rsidR="00D92677" w:rsidRPr="006234AA">
          <w:rPr>
            <w:noProof/>
            <w:webHidden/>
          </w:rPr>
          <w:tab/>
        </w:r>
        <w:r w:rsidRPr="006234AA">
          <w:rPr>
            <w:noProof/>
            <w:webHidden/>
          </w:rPr>
          <w:fldChar w:fldCharType="begin"/>
        </w:r>
        <w:r w:rsidR="00D92677" w:rsidRPr="006234AA">
          <w:rPr>
            <w:noProof/>
            <w:webHidden/>
          </w:rPr>
          <w:instrText xml:space="preserve"> PAGEREF _Toc422671995 \h </w:instrText>
        </w:r>
        <w:r w:rsidRPr="006234AA">
          <w:rPr>
            <w:noProof/>
            <w:webHidden/>
          </w:rPr>
        </w:r>
        <w:r w:rsidRPr="006234AA">
          <w:rPr>
            <w:noProof/>
            <w:webHidden/>
          </w:rPr>
          <w:fldChar w:fldCharType="separate"/>
        </w:r>
        <w:r w:rsidR="00060F30">
          <w:rPr>
            <w:noProof/>
            <w:webHidden/>
          </w:rPr>
          <w:t>53</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96" w:history="1">
        <w:r w:rsidR="00D92677" w:rsidRPr="006234AA">
          <w:rPr>
            <w:rStyle w:val="Hyperlink"/>
            <w:rFonts w:eastAsia="+mn-ea"/>
            <w:noProof/>
            <w:color w:val="auto"/>
          </w:rPr>
          <w:t>Đi</w:t>
        </w:r>
        <w:r w:rsidR="00D92677" w:rsidRPr="006234AA">
          <w:rPr>
            <w:rStyle w:val="Hyperlink"/>
            <w:rFonts w:ascii="Times New Roman" w:eastAsia="+mn-ea" w:hAnsi="Times New Roman" w:cs="Times New Roman"/>
            <w:noProof/>
            <w:color w:val="auto"/>
          </w:rPr>
          <w:t>ề</w:t>
        </w:r>
        <w:r w:rsidR="00D92677" w:rsidRPr="006234AA">
          <w:rPr>
            <w:rStyle w:val="Hyperlink"/>
            <w:rFonts w:eastAsia="+mn-ea"/>
            <w:noProof/>
            <w:color w:val="auto"/>
          </w:rPr>
          <w:t>u 45. Đình ch</w:t>
        </w:r>
        <w:r w:rsidR="00D92677" w:rsidRPr="006234AA">
          <w:rPr>
            <w:rStyle w:val="Hyperlink"/>
            <w:rFonts w:ascii="Times New Roman" w:eastAsia="+mn-ea" w:hAnsi="Times New Roman" w:cs="Times New Roman"/>
            <w:noProof/>
            <w:color w:val="auto"/>
          </w:rPr>
          <w:t>ỉ</w:t>
        </w:r>
        <w:r w:rsidR="00D92677" w:rsidRPr="006234AA">
          <w:rPr>
            <w:rStyle w:val="Hyperlink"/>
            <w:rFonts w:eastAsia="+mn-ea"/>
            <w:noProof/>
            <w:color w:val="auto"/>
          </w:rPr>
          <w:t>, ch</w:t>
        </w:r>
        <w:r w:rsidR="00D92677" w:rsidRPr="006234AA">
          <w:rPr>
            <w:rStyle w:val="Hyperlink"/>
            <w:rFonts w:ascii="Times New Roman" w:eastAsia="+mn-ea" w:hAnsi="Times New Roman" w:cs="Times New Roman"/>
            <w:noProof/>
            <w:color w:val="auto"/>
          </w:rPr>
          <w:t>ấ</w:t>
        </w:r>
        <w:r w:rsidR="00D92677" w:rsidRPr="006234AA">
          <w:rPr>
            <w:rStyle w:val="Hyperlink"/>
            <w:rFonts w:eastAsia="+mn-ea"/>
            <w:noProof/>
            <w:color w:val="auto"/>
          </w:rPr>
          <w:t>m d</w:t>
        </w:r>
        <w:r w:rsidR="00D92677" w:rsidRPr="006234AA">
          <w:rPr>
            <w:rStyle w:val="Hyperlink"/>
            <w:rFonts w:ascii="Times New Roman" w:eastAsia="+mn-ea" w:hAnsi="Times New Roman" w:cs="Times New Roman"/>
            <w:noProof/>
            <w:color w:val="auto"/>
          </w:rPr>
          <w:t>ứ</w:t>
        </w:r>
        <w:r w:rsidR="00D92677" w:rsidRPr="006234AA">
          <w:rPr>
            <w:rStyle w:val="Hyperlink"/>
            <w:rFonts w:eastAsia="+mn-ea"/>
            <w:noProof/>
            <w:color w:val="auto"/>
          </w:rPr>
          <w:t>t ho</w:t>
        </w:r>
        <w:r w:rsidR="00D92677" w:rsidRPr="006234AA">
          <w:rPr>
            <w:rStyle w:val="Hyperlink"/>
            <w:rFonts w:ascii="Times New Roman" w:eastAsia="+mn-ea" w:hAnsi="Times New Roman" w:cs="Times New Roman"/>
            <w:noProof/>
            <w:color w:val="auto"/>
          </w:rPr>
          <w:t>ạ</w:t>
        </w:r>
        <w:r w:rsidR="00D92677" w:rsidRPr="006234AA">
          <w:rPr>
            <w:rStyle w:val="Hyperlink"/>
            <w:rFonts w:eastAsia="+mn-ea"/>
            <w:noProof/>
            <w:color w:val="auto"/>
          </w:rPr>
          <w:t>t đ</w:t>
        </w:r>
        <w:r w:rsidR="00D92677" w:rsidRPr="006234AA">
          <w:rPr>
            <w:rStyle w:val="Hyperlink"/>
            <w:rFonts w:ascii="Times New Roman" w:eastAsia="+mn-ea" w:hAnsi="Times New Roman" w:cs="Times New Roman"/>
            <w:noProof/>
            <w:color w:val="auto"/>
          </w:rPr>
          <w:t>ộ</w:t>
        </w:r>
        <w:r w:rsidR="00D92677" w:rsidRPr="006234AA">
          <w:rPr>
            <w:rStyle w:val="Hyperlink"/>
            <w:rFonts w:eastAsia="+mn-ea"/>
            <w:noProof/>
            <w:color w:val="auto"/>
          </w:rPr>
          <w:t>ng bù tr</w:t>
        </w:r>
        <w:r w:rsidR="00D92677" w:rsidRPr="006234AA">
          <w:rPr>
            <w:rStyle w:val="Hyperlink"/>
            <w:rFonts w:ascii="Times New Roman" w:eastAsia="+mn-ea" w:hAnsi="Times New Roman" w:cs="Times New Roman"/>
            <w:noProof/>
            <w:color w:val="auto"/>
          </w:rPr>
          <w:t>ừ</w:t>
        </w:r>
        <w:r w:rsidR="00D92677" w:rsidRPr="006234AA">
          <w:rPr>
            <w:rStyle w:val="Hyperlink"/>
            <w:rFonts w:eastAsia="+mn-ea"/>
            <w:noProof/>
            <w:color w:val="auto"/>
          </w:rPr>
          <w:t>, thanh toán</w:t>
        </w:r>
        <w:r w:rsidR="00D92677" w:rsidRPr="006234AA">
          <w:rPr>
            <w:noProof/>
            <w:webHidden/>
          </w:rPr>
          <w:tab/>
        </w:r>
        <w:r w:rsidRPr="006234AA">
          <w:rPr>
            <w:noProof/>
            <w:webHidden/>
          </w:rPr>
          <w:fldChar w:fldCharType="begin"/>
        </w:r>
        <w:r w:rsidR="00D92677" w:rsidRPr="006234AA">
          <w:rPr>
            <w:noProof/>
            <w:webHidden/>
          </w:rPr>
          <w:instrText xml:space="preserve"> PAGEREF _Toc422671996 \h </w:instrText>
        </w:r>
        <w:r w:rsidRPr="006234AA">
          <w:rPr>
            <w:noProof/>
            <w:webHidden/>
          </w:rPr>
        </w:r>
        <w:r w:rsidRPr="006234AA">
          <w:rPr>
            <w:noProof/>
            <w:webHidden/>
          </w:rPr>
          <w:fldChar w:fldCharType="separate"/>
        </w:r>
        <w:r w:rsidR="00060F30">
          <w:rPr>
            <w:noProof/>
            <w:webHidden/>
          </w:rPr>
          <w:t>55</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97" w:history="1">
        <w:r w:rsidR="00D92677" w:rsidRPr="006234AA">
          <w:rPr>
            <w:rStyle w:val="Hyperlink"/>
            <w:noProof/>
            <w:color w:val="auto"/>
          </w:rPr>
          <w:t>M</w:t>
        </w:r>
        <w:r w:rsidR="00D92677" w:rsidRPr="006234AA">
          <w:rPr>
            <w:rStyle w:val="Hyperlink"/>
            <w:rFonts w:ascii="Times New Roman" w:hAnsi="Times New Roman" w:cs="Times New Roman"/>
            <w:noProof/>
            <w:color w:val="auto"/>
          </w:rPr>
          <w:t>ụ</w:t>
        </w:r>
        <w:r w:rsidR="00D92677" w:rsidRPr="006234AA">
          <w:rPr>
            <w:rStyle w:val="Hyperlink"/>
            <w:noProof/>
            <w:color w:val="auto"/>
          </w:rPr>
          <w:t>c 2</w:t>
        </w:r>
        <w:r w:rsidR="00D92677" w:rsidRPr="006234AA">
          <w:rPr>
            <w:noProof/>
            <w:webHidden/>
          </w:rPr>
          <w:tab/>
        </w:r>
        <w:r w:rsidRPr="006234AA">
          <w:rPr>
            <w:noProof/>
            <w:webHidden/>
          </w:rPr>
          <w:fldChar w:fldCharType="begin"/>
        </w:r>
        <w:r w:rsidR="00D92677" w:rsidRPr="006234AA">
          <w:rPr>
            <w:noProof/>
            <w:webHidden/>
          </w:rPr>
          <w:instrText xml:space="preserve"> PAGEREF _Toc422671997 \h </w:instrText>
        </w:r>
        <w:r w:rsidRPr="006234AA">
          <w:rPr>
            <w:noProof/>
            <w:webHidden/>
          </w:rPr>
        </w:r>
        <w:r w:rsidRPr="006234AA">
          <w:rPr>
            <w:noProof/>
            <w:webHidden/>
          </w:rPr>
          <w:fldChar w:fldCharType="separate"/>
        </w:r>
        <w:r w:rsidR="00060F30">
          <w:rPr>
            <w:noProof/>
            <w:webHidden/>
          </w:rPr>
          <w:t>57</w:t>
        </w:r>
        <w:r w:rsidRPr="006234AA">
          <w:rPr>
            <w:noProof/>
            <w:webHidden/>
          </w:rPr>
          <w:fldChar w:fldCharType="end"/>
        </w:r>
      </w:hyperlink>
    </w:p>
    <w:p w:rsidR="00D92677" w:rsidRPr="006234AA" w:rsidRDefault="007965E6">
      <w:pPr>
        <w:pStyle w:val="TOC2"/>
        <w:tabs>
          <w:tab w:val="right" w:leader="dot" w:pos="9064"/>
        </w:tabs>
        <w:rPr>
          <w:rFonts w:asciiTheme="minorHAnsi" w:eastAsiaTheme="minorEastAsia" w:hAnsiTheme="minorHAnsi" w:cstheme="minorBidi"/>
          <w:noProof/>
          <w:sz w:val="22"/>
          <w:szCs w:val="22"/>
        </w:rPr>
      </w:pPr>
      <w:hyperlink w:anchor="_Toc422671998" w:history="1">
        <w:r w:rsidR="00D92677" w:rsidRPr="006234AA">
          <w:rPr>
            <w:rStyle w:val="Hyperlink"/>
            <w:noProof/>
            <w:color w:val="auto"/>
          </w:rPr>
          <w:t>HO</w:t>
        </w:r>
        <w:r w:rsidR="00D92677" w:rsidRPr="006234AA">
          <w:rPr>
            <w:rStyle w:val="Hyperlink"/>
            <w:rFonts w:ascii="Times New Roman" w:hAnsi="Times New Roman" w:cs="Times New Roman"/>
            <w:noProof/>
            <w:color w:val="auto"/>
          </w:rPr>
          <w:t>Ạ</w:t>
        </w:r>
        <w:r w:rsidR="00D92677" w:rsidRPr="006234AA">
          <w:rPr>
            <w:rStyle w:val="Hyperlink"/>
            <w:noProof/>
            <w:color w:val="auto"/>
          </w:rPr>
          <w:t>T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NGHI</w:t>
        </w:r>
        <w:r w:rsidR="00D92677" w:rsidRPr="006234AA">
          <w:rPr>
            <w:rStyle w:val="Hyperlink"/>
            <w:rFonts w:ascii="Times New Roman" w:hAnsi="Times New Roman" w:cs="Times New Roman"/>
            <w:noProof/>
            <w:color w:val="auto"/>
          </w:rPr>
          <w:t>Ệ</w:t>
        </w:r>
        <w:r w:rsidR="00D92677" w:rsidRPr="006234AA">
          <w:rPr>
            <w:rStyle w:val="Hyperlink"/>
            <w:noProof/>
            <w:color w:val="auto"/>
          </w:rPr>
          <w:t>P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 BÙ TR</w:t>
        </w:r>
        <w:r w:rsidR="00D92677" w:rsidRPr="006234AA">
          <w:rPr>
            <w:rStyle w:val="Hyperlink"/>
            <w:rFonts w:ascii="Times New Roman" w:hAnsi="Times New Roman" w:cs="Times New Roman"/>
            <w:noProof/>
            <w:color w:val="auto"/>
          </w:rPr>
          <w:t>Ừ</w:t>
        </w:r>
        <w:r w:rsidR="00D92677" w:rsidRPr="006234AA">
          <w:rPr>
            <w:rStyle w:val="Hyperlink"/>
            <w:noProof/>
            <w:color w:val="auto"/>
          </w:rPr>
          <w:t>, THANH TOÁN</w:t>
        </w:r>
        <w:r w:rsidR="00D92677" w:rsidRPr="006234AA">
          <w:rPr>
            <w:noProof/>
            <w:webHidden/>
          </w:rPr>
          <w:tab/>
        </w:r>
        <w:r w:rsidRPr="006234AA">
          <w:rPr>
            <w:noProof/>
            <w:webHidden/>
          </w:rPr>
          <w:fldChar w:fldCharType="begin"/>
        </w:r>
        <w:r w:rsidR="00D92677" w:rsidRPr="006234AA">
          <w:rPr>
            <w:noProof/>
            <w:webHidden/>
          </w:rPr>
          <w:instrText xml:space="preserve"> PAGEREF _Toc422671998 \h </w:instrText>
        </w:r>
        <w:r w:rsidRPr="006234AA">
          <w:rPr>
            <w:noProof/>
            <w:webHidden/>
          </w:rPr>
        </w:r>
        <w:r w:rsidRPr="006234AA">
          <w:rPr>
            <w:noProof/>
            <w:webHidden/>
          </w:rPr>
          <w:fldChar w:fldCharType="separate"/>
        </w:r>
        <w:r w:rsidR="00060F30">
          <w:rPr>
            <w:noProof/>
            <w:webHidden/>
          </w:rPr>
          <w:t>57</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1999"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46. Nguyên t</w:t>
        </w:r>
        <w:r w:rsidR="00D92677" w:rsidRPr="006234AA">
          <w:rPr>
            <w:rStyle w:val="Hyperlink"/>
            <w:rFonts w:ascii="Times New Roman" w:hAnsi="Times New Roman" w:cs="Times New Roman"/>
            <w:noProof/>
            <w:color w:val="auto"/>
          </w:rPr>
          <w:t>ắ</w:t>
        </w:r>
        <w:r w:rsidR="00D92677" w:rsidRPr="006234AA">
          <w:rPr>
            <w:rStyle w:val="Hyperlink"/>
            <w:noProof/>
            <w:color w:val="auto"/>
          </w:rPr>
          <w:t>c bù tr</w:t>
        </w:r>
        <w:r w:rsidR="00D92677" w:rsidRPr="006234AA">
          <w:rPr>
            <w:rStyle w:val="Hyperlink"/>
            <w:rFonts w:ascii="Times New Roman" w:hAnsi="Times New Roman" w:cs="Times New Roman"/>
            <w:noProof/>
            <w:color w:val="auto"/>
          </w:rPr>
          <w:t>ừ</w:t>
        </w:r>
        <w:r w:rsidR="00D92677" w:rsidRPr="006234AA">
          <w:rPr>
            <w:rStyle w:val="Hyperlink"/>
            <w:noProof/>
            <w:color w:val="auto"/>
          </w:rPr>
          <w:t>, thanh toán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phái sinh</w:t>
        </w:r>
        <w:r w:rsidR="00D92677" w:rsidRPr="006234AA">
          <w:rPr>
            <w:noProof/>
            <w:webHidden/>
          </w:rPr>
          <w:tab/>
        </w:r>
        <w:r w:rsidRPr="006234AA">
          <w:rPr>
            <w:noProof/>
            <w:webHidden/>
          </w:rPr>
          <w:fldChar w:fldCharType="begin"/>
        </w:r>
        <w:r w:rsidR="00D92677" w:rsidRPr="006234AA">
          <w:rPr>
            <w:noProof/>
            <w:webHidden/>
          </w:rPr>
          <w:instrText xml:space="preserve"> PAGEREF _Toc422671999 \h </w:instrText>
        </w:r>
        <w:r w:rsidRPr="006234AA">
          <w:rPr>
            <w:noProof/>
            <w:webHidden/>
          </w:rPr>
        </w:r>
        <w:r w:rsidRPr="006234AA">
          <w:rPr>
            <w:noProof/>
            <w:webHidden/>
          </w:rPr>
          <w:fldChar w:fldCharType="separate"/>
        </w:r>
        <w:r w:rsidR="00060F30">
          <w:rPr>
            <w:noProof/>
            <w:webHidden/>
          </w:rPr>
          <w:t>57</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00"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47. Tài kho</w:t>
        </w:r>
        <w:r w:rsidR="00D92677" w:rsidRPr="006234AA">
          <w:rPr>
            <w:rStyle w:val="Hyperlink"/>
            <w:rFonts w:ascii="Times New Roman" w:hAnsi="Times New Roman" w:cs="Times New Roman"/>
            <w:noProof/>
            <w:color w:val="auto"/>
          </w:rPr>
          <w:t>ả</w:t>
        </w:r>
        <w:r w:rsidR="00D92677" w:rsidRPr="006234AA">
          <w:rPr>
            <w:rStyle w:val="Hyperlink"/>
            <w:noProof/>
            <w:color w:val="auto"/>
          </w:rPr>
          <w:t>n bù tr</w:t>
        </w:r>
        <w:r w:rsidR="00D92677" w:rsidRPr="006234AA">
          <w:rPr>
            <w:rStyle w:val="Hyperlink"/>
            <w:rFonts w:ascii="Times New Roman" w:hAnsi="Times New Roman" w:cs="Times New Roman"/>
            <w:noProof/>
            <w:color w:val="auto"/>
          </w:rPr>
          <w:t>ừ</w:t>
        </w:r>
        <w:r w:rsidR="00D92677" w:rsidRPr="006234AA">
          <w:rPr>
            <w:rStyle w:val="Hyperlink"/>
            <w:noProof/>
            <w:color w:val="auto"/>
          </w:rPr>
          <w:t>, thanh toán c</w:t>
        </w:r>
        <w:r w:rsidR="00D92677" w:rsidRPr="006234AA">
          <w:rPr>
            <w:rStyle w:val="Hyperlink"/>
            <w:rFonts w:ascii="Times New Roman" w:hAnsi="Times New Roman" w:cs="Times New Roman"/>
            <w:noProof/>
            <w:color w:val="auto"/>
          </w:rPr>
          <w:t>ủ</w:t>
        </w:r>
        <w:r w:rsidR="00D92677" w:rsidRPr="006234AA">
          <w:rPr>
            <w:rStyle w:val="Hyperlink"/>
            <w:noProof/>
            <w:color w:val="auto"/>
          </w:rPr>
          <w:t>a thành viên bù tr</w:t>
        </w:r>
        <w:r w:rsidR="00D92677" w:rsidRPr="006234AA">
          <w:rPr>
            <w:rStyle w:val="Hyperlink"/>
            <w:rFonts w:ascii="Times New Roman" w:hAnsi="Times New Roman" w:cs="Times New Roman"/>
            <w:noProof/>
            <w:color w:val="auto"/>
          </w:rPr>
          <w:t>ừ</w:t>
        </w:r>
        <w:r w:rsidR="00D92677" w:rsidRPr="006234AA">
          <w:rPr>
            <w:noProof/>
            <w:webHidden/>
          </w:rPr>
          <w:tab/>
        </w:r>
        <w:r w:rsidRPr="006234AA">
          <w:rPr>
            <w:noProof/>
            <w:webHidden/>
          </w:rPr>
          <w:fldChar w:fldCharType="begin"/>
        </w:r>
        <w:r w:rsidR="00D92677" w:rsidRPr="006234AA">
          <w:rPr>
            <w:noProof/>
            <w:webHidden/>
          </w:rPr>
          <w:instrText xml:space="preserve"> PAGEREF _Toc422672000 \h </w:instrText>
        </w:r>
        <w:r w:rsidRPr="006234AA">
          <w:rPr>
            <w:noProof/>
            <w:webHidden/>
          </w:rPr>
        </w:r>
        <w:r w:rsidRPr="006234AA">
          <w:rPr>
            <w:noProof/>
            <w:webHidden/>
          </w:rPr>
          <w:fldChar w:fldCharType="separate"/>
        </w:r>
        <w:r w:rsidR="00060F30">
          <w:rPr>
            <w:noProof/>
            <w:webHidden/>
          </w:rPr>
          <w:t>60</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01"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48. Qu</w:t>
        </w:r>
        <w:r w:rsidR="00D92677" w:rsidRPr="006234AA">
          <w:rPr>
            <w:rStyle w:val="Hyperlink"/>
            <w:rFonts w:ascii="Times New Roman" w:hAnsi="Times New Roman" w:cs="Times New Roman"/>
            <w:noProof/>
            <w:color w:val="auto"/>
          </w:rPr>
          <w:t>ỹ</w:t>
        </w:r>
        <w:r w:rsidR="00D92677" w:rsidRPr="006234AA">
          <w:rPr>
            <w:rStyle w:val="Hyperlink"/>
            <w:noProof/>
            <w:color w:val="auto"/>
          </w:rPr>
          <w:t xml:space="preserve"> bù tr</w:t>
        </w:r>
        <w:r w:rsidR="00D92677" w:rsidRPr="006234AA">
          <w:rPr>
            <w:rStyle w:val="Hyperlink"/>
            <w:rFonts w:ascii="Times New Roman" w:hAnsi="Times New Roman" w:cs="Times New Roman"/>
            <w:noProof/>
            <w:color w:val="auto"/>
          </w:rPr>
          <w:t>ừ</w:t>
        </w:r>
        <w:r w:rsidR="00D92677" w:rsidRPr="006234AA">
          <w:rPr>
            <w:noProof/>
            <w:webHidden/>
          </w:rPr>
          <w:tab/>
        </w:r>
        <w:r w:rsidRPr="006234AA">
          <w:rPr>
            <w:noProof/>
            <w:webHidden/>
          </w:rPr>
          <w:fldChar w:fldCharType="begin"/>
        </w:r>
        <w:r w:rsidR="00D92677" w:rsidRPr="006234AA">
          <w:rPr>
            <w:noProof/>
            <w:webHidden/>
          </w:rPr>
          <w:instrText xml:space="preserve"> PAGEREF _Toc422672001 \h </w:instrText>
        </w:r>
        <w:r w:rsidRPr="006234AA">
          <w:rPr>
            <w:noProof/>
            <w:webHidden/>
          </w:rPr>
        </w:r>
        <w:r w:rsidRPr="006234AA">
          <w:rPr>
            <w:noProof/>
            <w:webHidden/>
          </w:rPr>
          <w:fldChar w:fldCharType="separate"/>
        </w:r>
        <w:r w:rsidR="00060F30">
          <w:rPr>
            <w:noProof/>
            <w:webHidden/>
          </w:rPr>
          <w:t>63</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02"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49.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đ</w:t>
        </w:r>
        <w:r w:rsidR="00D92677" w:rsidRPr="006234AA">
          <w:rPr>
            <w:rStyle w:val="Hyperlink"/>
            <w:rFonts w:ascii="Times New Roman" w:hAnsi="Times New Roman" w:cs="Times New Roman"/>
            <w:noProof/>
            <w:color w:val="auto"/>
          </w:rPr>
          <w:t>ượ</w:t>
        </w:r>
        <w:r w:rsidR="00D92677" w:rsidRPr="006234AA">
          <w:rPr>
            <w:rStyle w:val="Hyperlink"/>
            <w:noProof/>
            <w:color w:val="auto"/>
          </w:rPr>
          <w:t>c ch</w:t>
        </w:r>
        <w:r w:rsidR="00D92677" w:rsidRPr="006234AA">
          <w:rPr>
            <w:rStyle w:val="Hyperlink"/>
            <w:rFonts w:ascii="Times New Roman" w:hAnsi="Times New Roman" w:cs="Times New Roman"/>
            <w:noProof/>
            <w:color w:val="auto"/>
          </w:rPr>
          <w:t>ấ</w:t>
        </w:r>
        <w:r w:rsidR="00D92677" w:rsidRPr="006234AA">
          <w:rPr>
            <w:rStyle w:val="Hyperlink"/>
            <w:noProof/>
            <w:color w:val="auto"/>
          </w:rPr>
          <w:t>p nh</w:t>
        </w:r>
        <w:r w:rsidR="00D92677" w:rsidRPr="006234AA">
          <w:rPr>
            <w:rStyle w:val="Hyperlink"/>
            <w:rFonts w:ascii="Times New Roman" w:hAnsi="Times New Roman" w:cs="Times New Roman"/>
            <w:noProof/>
            <w:color w:val="auto"/>
          </w:rPr>
          <w:t>ậ</w:t>
        </w:r>
        <w:r w:rsidR="00D92677" w:rsidRPr="006234AA">
          <w:rPr>
            <w:rStyle w:val="Hyperlink"/>
            <w:noProof/>
            <w:color w:val="auto"/>
          </w:rPr>
          <w:t>n ký qu</w:t>
        </w:r>
        <w:r w:rsidR="00D92677" w:rsidRPr="006234AA">
          <w:rPr>
            <w:rStyle w:val="Hyperlink"/>
            <w:rFonts w:ascii="Times New Roman" w:hAnsi="Times New Roman" w:cs="Times New Roman"/>
            <w:noProof/>
            <w:color w:val="auto"/>
          </w:rPr>
          <w:t>ỹ</w:t>
        </w:r>
        <w:r w:rsidR="00D92677" w:rsidRPr="006234AA">
          <w:rPr>
            <w:noProof/>
            <w:webHidden/>
          </w:rPr>
          <w:tab/>
        </w:r>
        <w:r w:rsidRPr="006234AA">
          <w:rPr>
            <w:noProof/>
            <w:webHidden/>
          </w:rPr>
          <w:fldChar w:fldCharType="begin"/>
        </w:r>
        <w:r w:rsidR="00D92677" w:rsidRPr="006234AA">
          <w:rPr>
            <w:noProof/>
            <w:webHidden/>
          </w:rPr>
          <w:instrText xml:space="preserve"> PAGEREF _Toc422672002 \h </w:instrText>
        </w:r>
        <w:r w:rsidRPr="006234AA">
          <w:rPr>
            <w:noProof/>
            <w:webHidden/>
          </w:rPr>
        </w:r>
        <w:r w:rsidRPr="006234AA">
          <w:rPr>
            <w:noProof/>
            <w:webHidden/>
          </w:rPr>
          <w:fldChar w:fldCharType="separate"/>
        </w:r>
        <w:r w:rsidR="00060F30">
          <w:rPr>
            <w:noProof/>
            <w:webHidden/>
          </w:rPr>
          <w:t>67</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03"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50. Thành viên bù tr</w:t>
        </w:r>
        <w:r w:rsidR="00D92677" w:rsidRPr="006234AA">
          <w:rPr>
            <w:rStyle w:val="Hyperlink"/>
            <w:rFonts w:ascii="Times New Roman" w:hAnsi="Times New Roman" w:cs="Times New Roman"/>
            <w:noProof/>
            <w:color w:val="auto"/>
          </w:rPr>
          <w:t>ừ</w:t>
        </w:r>
        <w:r w:rsidR="00D92677" w:rsidRPr="006234AA">
          <w:rPr>
            <w:rStyle w:val="Hyperlink"/>
            <w:noProof/>
            <w:color w:val="auto"/>
          </w:rPr>
          <w:t xml:space="preserve"> m</w:t>
        </w:r>
        <w:r w:rsidR="00D92677" w:rsidRPr="006234AA">
          <w:rPr>
            <w:rStyle w:val="Hyperlink"/>
            <w:rFonts w:ascii="Times New Roman" w:hAnsi="Times New Roman" w:cs="Times New Roman"/>
            <w:noProof/>
            <w:color w:val="auto"/>
          </w:rPr>
          <w:t>ấ</w:t>
        </w:r>
        <w:r w:rsidR="00D92677" w:rsidRPr="006234AA">
          <w:rPr>
            <w:rStyle w:val="Hyperlink"/>
            <w:noProof/>
            <w:color w:val="auto"/>
          </w:rPr>
          <w:t>t kh</w:t>
        </w:r>
        <w:r w:rsidR="00D92677" w:rsidRPr="006234AA">
          <w:rPr>
            <w:rStyle w:val="Hyperlink"/>
            <w:rFonts w:ascii="Times New Roman" w:hAnsi="Times New Roman" w:cs="Times New Roman"/>
            <w:noProof/>
            <w:color w:val="auto"/>
          </w:rPr>
          <w:t>ả</w:t>
        </w:r>
        <w:r w:rsidR="00D92677" w:rsidRPr="006234AA">
          <w:rPr>
            <w:rStyle w:val="Hyperlink"/>
            <w:noProof/>
            <w:color w:val="auto"/>
          </w:rPr>
          <w:t xml:space="preserve"> năng thanh toán</w:t>
        </w:r>
        <w:r w:rsidR="00D92677" w:rsidRPr="006234AA">
          <w:rPr>
            <w:noProof/>
            <w:webHidden/>
          </w:rPr>
          <w:tab/>
        </w:r>
        <w:r w:rsidRPr="006234AA">
          <w:rPr>
            <w:noProof/>
            <w:webHidden/>
          </w:rPr>
          <w:fldChar w:fldCharType="begin"/>
        </w:r>
        <w:r w:rsidR="00D92677" w:rsidRPr="006234AA">
          <w:rPr>
            <w:noProof/>
            <w:webHidden/>
          </w:rPr>
          <w:instrText xml:space="preserve"> PAGEREF _Toc422672003 \h </w:instrText>
        </w:r>
        <w:r w:rsidRPr="006234AA">
          <w:rPr>
            <w:noProof/>
            <w:webHidden/>
          </w:rPr>
        </w:r>
        <w:r w:rsidRPr="006234AA">
          <w:rPr>
            <w:noProof/>
            <w:webHidden/>
          </w:rPr>
          <w:fldChar w:fldCharType="separate"/>
        </w:r>
        <w:r w:rsidR="00060F30">
          <w:rPr>
            <w:noProof/>
            <w:webHidden/>
          </w:rPr>
          <w:t>68</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04"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51. H</w:t>
        </w:r>
        <w:r w:rsidR="00D92677" w:rsidRPr="006234AA">
          <w:rPr>
            <w:rStyle w:val="Hyperlink"/>
            <w:rFonts w:ascii="Times New Roman" w:hAnsi="Times New Roman" w:cs="Times New Roman"/>
            <w:noProof/>
            <w:color w:val="auto"/>
          </w:rPr>
          <w:t>ỗ</w:t>
        </w:r>
        <w:r w:rsidR="00D92677" w:rsidRPr="006234AA">
          <w:rPr>
            <w:rStyle w:val="Hyperlink"/>
            <w:noProof/>
            <w:color w:val="auto"/>
          </w:rPr>
          <w:t xml:space="preserve"> tr</w:t>
        </w:r>
        <w:r w:rsidR="00D92677" w:rsidRPr="006234AA">
          <w:rPr>
            <w:rStyle w:val="Hyperlink"/>
            <w:rFonts w:ascii="Times New Roman" w:hAnsi="Times New Roman" w:cs="Times New Roman"/>
            <w:noProof/>
            <w:color w:val="auto"/>
          </w:rPr>
          <w:t>ợ</w:t>
        </w:r>
        <w:r w:rsidR="00D92677" w:rsidRPr="006234AA">
          <w:rPr>
            <w:rStyle w:val="Hyperlink"/>
            <w:noProof/>
            <w:color w:val="auto"/>
          </w:rPr>
          <w:t xml:space="preserve"> thanh toán</w:t>
        </w:r>
        <w:r w:rsidR="00D92677" w:rsidRPr="006234AA">
          <w:rPr>
            <w:noProof/>
            <w:webHidden/>
          </w:rPr>
          <w:tab/>
        </w:r>
        <w:r w:rsidRPr="006234AA">
          <w:rPr>
            <w:noProof/>
            <w:webHidden/>
          </w:rPr>
          <w:fldChar w:fldCharType="begin"/>
        </w:r>
        <w:r w:rsidR="00D92677" w:rsidRPr="006234AA">
          <w:rPr>
            <w:noProof/>
            <w:webHidden/>
          </w:rPr>
          <w:instrText xml:space="preserve"> PAGEREF _Toc422672004 \h </w:instrText>
        </w:r>
        <w:r w:rsidRPr="006234AA">
          <w:rPr>
            <w:noProof/>
            <w:webHidden/>
          </w:rPr>
        </w:r>
        <w:r w:rsidRPr="006234AA">
          <w:rPr>
            <w:noProof/>
            <w:webHidden/>
          </w:rPr>
          <w:fldChar w:fldCharType="separate"/>
        </w:r>
        <w:r w:rsidR="00060F30">
          <w:rPr>
            <w:noProof/>
            <w:webHidden/>
          </w:rPr>
          <w:t>70</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05"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52. Tài kho</w:t>
        </w:r>
        <w:r w:rsidR="00D92677" w:rsidRPr="006234AA">
          <w:rPr>
            <w:rStyle w:val="Hyperlink"/>
            <w:rFonts w:ascii="Times New Roman" w:hAnsi="Times New Roman" w:cs="Times New Roman"/>
            <w:noProof/>
            <w:color w:val="auto"/>
          </w:rPr>
          <w:t>ả</w:t>
        </w:r>
        <w:r w:rsidR="00D92677" w:rsidRPr="006234AA">
          <w:rPr>
            <w:rStyle w:val="Hyperlink"/>
            <w:noProof/>
            <w:color w:val="auto"/>
          </w:rPr>
          <w:t>n ký qu</w:t>
        </w:r>
        <w:r w:rsidR="00D92677" w:rsidRPr="006234AA">
          <w:rPr>
            <w:rStyle w:val="Hyperlink"/>
            <w:rFonts w:ascii="Times New Roman" w:hAnsi="Times New Roman" w:cs="Times New Roman"/>
            <w:noProof/>
            <w:color w:val="auto"/>
          </w:rPr>
          <w:t>ỹ</w:t>
        </w:r>
        <w:r w:rsidR="00D92677" w:rsidRPr="006234AA">
          <w:rPr>
            <w:rStyle w:val="Hyperlink"/>
            <w:noProof/>
            <w:color w:val="auto"/>
          </w:rPr>
          <w:t xml:space="preserve"> c</w:t>
        </w:r>
        <w:r w:rsidR="00D92677" w:rsidRPr="006234AA">
          <w:rPr>
            <w:rStyle w:val="Hyperlink"/>
            <w:rFonts w:ascii="Times New Roman" w:hAnsi="Times New Roman" w:cs="Times New Roman"/>
            <w:noProof/>
            <w:color w:val="auto"/>
          </w:rPr>
          <w:t>ủ</w:t>
        </w:r>
        <w:r w:rsidR="00D92677" w:rsidRPr="006234AA">
          <w:rPr>
            <w:rStyle w:val="Hyperlink"/>
            <w:noProof/>
            <w:color w:val="auto"/>
          </w:rPr>
          <w:t>a nhà đ</w:t>
        </w:r>
        <w:r w:rsidR="00D92677" w:rsidRPr="006234AA">
          <w:rPr>
            <w:rStyle w:val="Hyperlink"/>
            <w:rFonts w:ascii="Times New Roman" w:hAnsi="Times New Roman" w:cs="Times New Roman"/>
            <w:noProof/>
            <w:color w:val="auto"/>
          </w:rPr>
          <w:t>ầ</w:t>
        </w:r>
        <w:r w:rsidR="00D92677" w:rsidRPr="006234AA">
          <w:rPr>
            <w:rStyle w:val="Hyperlink"/>
            <w:noProof/>
            <w:color w:val="auto"/>
          </w:rPr>
          <w:t>u t</w:t>
        </w:r>
        <w:r w:rsidR="00D92677" w:rsidRPr="006234AA">
          <w:rPr>
            <w:rStyle w:val="Hyperlink"/>
            <w:rFonts w:ascii="Times New Roman" w:hAnsi="Times New Roman" w:cs="Times New Roman"/>
            <w:noProof/>
            <w:color w:val="auto"/>
          </w:rPr>
          <w:t>ư</w:t>
        </w:r>
        <w:r w:rsidR="00D92677" w:rsidRPr="006234AA">
          <w:rPr>
            <w:noProof/>
            <w:webHidden/>
          </w:rPr>
          <w:tab/>
        </w:r>
        <w:r w:rsidRPr="006234AA">
          <w:rPr>
            <w:noProof/>
            <w:webHidden/>
          </w:rPr>
          <w:fldChar w:fldCharType="begin"/>
        </w:r>
        <w:r w:rsidR="00D92677" w:rsidRPr="006234AA">
          <w:rPr>
            <w:noProof/>
            <w:webHidden/>
          </w:rPr>
          <w:instrText xml:space="preserve"> PAGEREF _Toc422672005 \h </w:instrText>
        </w:r>
        <w:r w:rsidRPr="006234AA">
          <w:rPr>
            <w:noProof/>
            <w:webHidden/>
          </w:rPr>
        </w:r>
        <w:r w:rsidRPr="006234AA">
          <w:rPr>
            <w:noProof/>
            <w:webHidden/>
          </w:rPr>
          <w:fldChar w:fldCharType="separate"/>
        </w:r>
        <w:r w:rsidR="00060F30">
          <w:rPr>
            <w:noProof/>
            <w:webHidden/>
          </w:rPr>
          <w:t>72</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06"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53. Ký qu</w:t>
        </w:r>
        <w:r w:rsidR="00D92677" w:rsidRPr="006234AA">
          <w:rPr>
            <w:rStyle w:val="Hyperlink"/>
            <w:rFonts w:ascii="Times New Roman" w:hAnsi="Times New Roman" w:cs="Times New Roman"/>
            <w:noProof/>
            <w:color w:val="auto"/>
          </w:rPr>
          <w:t>ỹ</w:t>
        </w:r>
        <w:r w:rsidR="00D92677" w:rsidRPr="006234AA">
          <w:rPr>
            <w:rStyle w:val="Hyperlink"/>
            <w:noProof/>
            <w:color w:val="auto"/>
          </w:rPr>
          <w:t xml:space="preserve">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_Toc422672006 \h </w:instrText>
        </w:r>
        <w:r w:rsidRPr="006234AA">
          <w:rPr>
            <w:noProof/>
            <w:webHidden/>
          </w:rPr>
        </w:r>
        <w:r w:rsidRPr="006234AA">
          <w:rPr>
            <w:noProof/>
            <w:webHidden/>
          </w:rPr>
          <w:fldChar w:fldCharType="separate"/>
        </w:r>
        <w:r w:rsidR="00060F30">
          <w:rPr>
            <w:noProof/>
            <w:webHidden/>
          </w:rPr>
          <w:t>77</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07"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54. Lãi l</w:t>
        </w:r>
        <w:r w:rsidR="00D92677" w:rsidRPr="006234AA">
          <w:rPr>
            <w:rStyle w:val="Hyperlink"/>
            <w:rFonts w:ascii="Times New Roman" w:hAnsi="Times New Roman" w:cs="Times New Roman"/>
            <w:noProof/>
            <w:color w:val="auto"/>
          </w:rPr>
          <w:t>ỗ</w:t>
        </w:r>
        <w:r w:rsidR="00D92677" w:rsidRPr="006234AA">
          <w:rPr>
            <w:rStyle w:val="Hyperlink"/>
            <w:noProof/>
            <w:color w:val="auto"/>
          </w:rPr>
          <w:t xml:space="preserve"> v</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th</w:t>
        </w:r>
        <w:r w:rsidR="00D92677" w:rsidRPr="006234AA">
          <w:rPr>
            <w:rStyle w:val="Hyperlink"/>
            <w:rFonts w:ascii="Times New Roman" w:hAnsi="Times New Roman" w:cs="Times New Roman"/>
            <w:noProof/>
            <w:color w:val="auto"/>
          </w:rPr>
          <w:t>ế</w:t>
        </w:r>
        <w:r w:rsidR="00D92677" w:rsidRPr="006234AA">
          <w:rPr>
            <w:noProof/>
            <w:webHidden/>
          </w:rPr>
          <w:tab/>
        </w:r>
        <w:r w:rsidRPr="006234AA">
          <w:rPr>
            <w:noProof/>
            <w:webHidden/>
          </w:rPr>
          <w:fldChar w:fldCharType="begin"/>
        </w:r>
        <w:r w:rsidR="00D92677" w:rsidRPr="006234AA">
          <w:rPr>
            <w:noProof/>
            <w:webHidden/>
          </w:rPr>
          <w:instrText xml:space="preserve"> PAGEREF _Toc422672007 \h </w:instrText>
        </w:r>
        <w:r w:rsidRPr="006234AA">
          <w:rPr>
            <w:noProof/>
            <w:webHidden/>
          </w:rPr>
        </w:r>
        <w:r w:rsidRPr="006234AA">
          <w:rPr>
            <w:noProof/>
            <w:webHidden/>
          </w:rPr>
          <w:fldChar w:fldCharType="separate"/>
        </w:r>
        <w:r w:rsidR="00060F30">
          <w:rPr>
            <w:noProof/>
            <w:webHidden/>
          </w:rPr>
          <w:t>80</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08"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55. Qu</w:t>
        </w:r>
        <w:r w:rsidR="00D92677" w:rsidRPr="006234AA">
          <w:rPr>
            <w:rStyle w:val="Hyperlink"/>
            <w:rFonts w:ascii="Times New Roman" w:hAnsi="Times New Roman" w:cs="Times New Roman"/>
            <w:noProof/>
            <w:color w:val="auto"/>
          </w:rPr>
          <w:t>ả</w:t>
        </w:r>
        <w:r w:rsidR="00D92677" w:rsidRPr="006234AA">
          <w:rPr>
            <w:rStyle w:val="Hyperlink"/>
            <w:noProof/>
            <w:color w:val="auto"/>
          </w:rPr>
          <w:t>n lý v</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th</w:t>
        </w:r>
        <w:r w:rsidR="00D92677" w:rsidRPr="006234AA">
          <w:rPr>
            <w:rStyle w:val="Hyperlink"/>
            <w:rFonts w:ascii="Times New Roman" w:hAnsi="Times New Roman" w:cs="Times New Roman"/>
            <w:noProof/>
            <w:color w:val="auto"/>
          </w:rPr>
          <w:t>ế</w:t>
        </w:r>
        <w:r w:rsidR="00D92677" w:rsidRPr="006234AA">
          <w:rPr>
            <w:noProof/>
            <w:webHidden/>
          </w:rPr>
          <w:tab/>
        </w:r>
        <w:r w:rsidRPr="006234AA">
          <w:rPr>
            <w:noProof/>
            <w:webHidden/>
          </w:rPr>
          <w:fldChar w:fldCharType="begin"/>
        </w:r>
        <w:r w:rsidR="00D92677" w:rsidRPr="006234AA">
          <w:rPr>
            <w:noProof/>
            <w:webHidden/>
          </w:rPr>
          <w:instrText xml:space="preserve"> PAGEREF _Toc422672008 \h </w:instrText>
        </w:r>
        <w:r w:rsidRPr="006234AA">
          <w:rPr>
            <w:noProof/>
            <w:webHidden/>
          </w:rPr>
        </w:r>
        <w:r w:rsidRPr="006234AA">
          <w:rPr>
            <w:noProof/>
            <w:webHidden/>
          </w:rPr>
          <w:fldChar w:fldCharType="separate"/>
        </w:r>
        <w:r w:rsidR="00060F30">
          <w:rPr>
            <w:noProof/>
            <w:webHidden/>
          </w:rPr>
          <w:t>80</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09"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56. Bi</w:t>
        </w:r>
        <w:r w:rsidR="00D92677" w:rsidRPr="006234AA">
          <w:rPr>
            <w:rStyle w:val="Hyperlink"/>
            <w:rFonts w:ascii="Times New Roman" w:hAnsi="Times New Roman" w:cs="Times New Roman"/>
            <w:noProof/>
            <w:color w:val="auto"/>
          </w:rPr>
          <w:t>ệ</w:t>
        </w:r>
        <w:r w:rsidR="00D92677" w:rsidRPr="006234AA">
          <w:rPr>
            <w:rStyle w:val="Hyperlink"/>
            <w:noProof/>
            <w:color w:val="auto"/>
          </w:rPr>
          <w:t>n pháp x</w:t>
        </w:r>
        <w:r w:rsidR="00D92677" w:rsidRPr="006234AA">
          <w:rPr>
            <w:rStyle w:val="Hyperlink"/>
            <w:rFonts w:ascii="Times New Roman" w:hAnsi="Times New Roman" w:cs="Times New Roman"/>
            <w:noProof/>
            <w:color w:val="auto"/>
          </w:rPr>
          <w:t>ử</w:t>
        </w:r>
        <w:r w:rsidR="00D92677" w:rsidRPr="006234AA">
          <w:rPr>
            <w:rStyle w:val="Hyperlink"/>
            <w:noProof/>
            <w:color w:val="auto"/>
          </w:rPr>
          <w:t xml:space="preserve"> lý khi nhà đ</w:t>
        </w:r>
        <w:r w:rsidR="00D92677" w:rsidRPr="006234AA">
          <w:rPr>
            <w:rStyle w:val="Hyperlink"/>
            <w:rFonts w:ascii="Times New Roman" w:hAnsi="Times New Roman" w:cs="Times New Roman"/>
            <w:noProof/>
            <w:color w:val="auto"/>
          </w:rPr>
          <w:t>ầ</w:t>
        </w:r>
        <w:r w:rsidR="00D92677" w:rsidRPr="006234AA">
          <w:rPr>
            <w:rStyle w:val="Hyperlink"/>
            <w:noProof/>
            <w:color w:val="auto"/>
          </w:rPr>
          <w:t>u t</w:t>
        </w:r>
        <w:r w:rsidR="00D92677" w:rsidRPr="006234AA">
          <w:rPr>
            <w:rStyle w:val="Hyperlink"/>
            <w:rFonts w:ascii="Times New Roman" w:hAnsi="Times New Roman" w:cs="Times New Roman"/>
            <w:noProof/>
            <w:color w:val="auto"/>
          </w:rPr>
          <w:t>ư</w:t>
        </w:r>
        <w:r w:rsidR="00D92677" w:rsidRPr="006234AA">
          <w:rPr>
            <w:rStyle w:val="Hyperlink"/>
            <w:noProof/>
            <w:color w:val="auto"/>
          </w:rPr>
          <w:t xml:space="preserve"> m</w:t>
        </w:r>
        <w:r w:rsidR="00D92677" w:rsidRPr="006234AA">
          <w:rPr>
            <w:rStyle w:val="Hyperlink"/>
            <w:rFonts w:ascii="Times New Roman" w:hAnsi="Times New Roman" w:cs="Times New Roman"/>
            <w:noProof/>
            <w:color w:val="auto"/>
          </w:rPr>
          <w:t>ấ</w:t>
        </w:r>
        <w:r w:rsidR="00D92677" w:rsidRPr="006234AA">
          <w:rPr>
            <w:rStyle w:val="Hyperlink"/>
            <w:noProof/>
            <w:color w:val="auto"/>
          </w:rPr>
          <w:t>t kh</w:t>
        </w:r>
        <w:r w:rsidR="00D92677" w:rsidRPr="006234AA">
          <w:rPr>
            <w:rStyle w:val="Hyperlink"/>
            <w:rFonts w:ascii="Times New Roman" w:hAnsi="Times New Roman" w:cs="Times New Roman"/>
            <w:noProof/>
            <w:color w:val="auto"/>
          </w:rPr>
          <w:t>ả</w:t>
        </w:r>
        <w:r w:rsidR="00D92677" w:rsidRPr="006234AA">
          <w:rPr>
            <w:rStyle w:val="Hyperlink"/>
            <w:noProof/>
            <w:color w:val="auto"/>
          </w:rPr>
          <w:t xml:space="preserve"> năng thanh toán</w:t>
        </w:r>
        <w:r w:rsidR="00D92677" w:rsidRPr="006234AA">
          <w:rPr>
            <w:noProof/>
            <w:webHidden/>
          </w:rPr>
          <w:tab/>
        </w:r>
        <w:r w:rsidRPr="006234AA">
          <w:rPr>
            <w:noProof/>
            <w:webHidden/>
          </w:rPr>
          <w:fldChar w:fldCharType="begin"/>
        </w:r>
        <w:r w:rsidR="00D92677" w:rsidRPr="006234AA">
          <w:rPr>
            <w:noProof/>
            <w:webHidden/>
          </w:rPr>
          <w:instrText xml:space="preserve"> PAGEREF _Toc422672009 \h </w:instrText>
        </w:r>
        <w:r w:rsidRPr="006234AA">
          <w:rPr>
            <w:noProof/>
            <w:webHidden/>
          </w:rPr>
        </w:r>
        <w:r w:rsidRPr="006234AA">
          <w:rPr>
            <w:noProof/>
            <w:webHidden/>
          </w:rPr>
          <w:fldChar w:fldCharType="separate"/>
        </w:r>
        <w:r w:rsidR="00060F30">
          <w:rPr>
            <w:noProof/>
            <w:webHidden/>
          </w:rPr>
          <w:t>82</w:t>
        </w:r>
        <w:r w:rsidRPr="006234AA">
          <w:rPr>
            <w:noProof/>
            <w:webHidden/>
          </w:rPr>
          <w:fldChar w:fldCharType="end"/>
        </w:r>
      </w:hyperlink>
    </w:p>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hyperlink w:anchor="_Toc422672010" w:history="1">
        <w:r w:rsidR="00D92677" w:rsidRPr="006234AA">
          <w:rPr>
            <w:rStyle w:val="Hyperlink"/>
            <w:noProof/>
            <w:color w:val="auto"/>
          </w:rPr>
          <w:t>Ch</w:t>
        </w:r>
        <w:r w:rsidR="00D92677" w:rsidRPr="006234AA">
          <w:rPr>
            <w:rStyle w:val="Hyperlink"/>
            <w:rFonts w:ascii="Times New Roman" w:hAnsi="Times New Roman" w:cs="Times New Roman"/>
            <w:noProof/>
            <w:color w:val="auto"/>
          </w:rPr>
          <w:t>ươ</w:t>
        </w:r>
        <w:r w:rsidR="00D92677" w:rsidRPr="006234AA">
          <w:rPr>
            <w:rStyle w:val="Hyperlink"/>
            <w:noProof/>
            <w:color w:val="auto"/>
          </w:rPr>
          <w:t>ng VII</w:t>
        </w:r>
        <w:r w:rsidR="00D92677" w:rsidRPr="006234AA">
          <w:rPr>
            <w:noProof/>
            <w:webHidden/>
          </w:rPr>
          <w:tab/>
        </w:r>
        <w:r w:rsidRPr="006234AA">
          <w:rPr>
            <w:noProof/>
            <w:webHidden/>
          </w:rPr>
          <w:fldChar w:fldCharType="begin"/>
        </w:r>
        <w:r w:rsidR="00D92677" w:rsidRPr="006234AA">
          <w:rPr>
            <w:noProof/>
            <w:webHidden/>
          </w:rPr>
          <w:instrText xml:space="preserve"> PAGEREF _Toc422672010 \h </w:instrText>
        </w:r>
        <w:r w:rsidRPr="006234AA">
          <w:rPr>
            <w:noProof/>
            <w:webHidden/>
          </w:rPr>
        </w:r>
        <w:r w:rsidRPr="006234AA">
          <w:rPr>
            <w:noProof/>
            <w:webHidden/>
          </w:rPr>
          <w:fldChar w:fldCharType="separate"/>
        </w:r>
        <w:r w:rsidR="00060F30">
          <w:rPr>
            <w:noProof/>
            <w:webHidden/>
          </w:rPr>
          <w:t>83</w:t>
        </w:r>
        <w:r w:rsidRPr="006234AA">
          <w:rPr>
            <w:noProof/>
            <w:webHidden/>
          </w:rPr>
          <w:fldChar w:fldCharType="end"/>
        </w:r>
      </w:hyperlink>
    </w:p>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hyperlink w:anchor="_Toc422672011" w:history="1">
        <w:r w:rsidR="00D92677" w:rsidRPr="006234AA">
          <w:rPr>
            <w:rStyle w:val="Hyperlink"/>
            <w:noProof/>
            <w:color w:val="auto"/>
          </w:rPr>
          <w:t>NGHĨA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BÁO CÁO</w:t>
        </w:r>
        <w:r w:rsidR="00D92677" w:rsidRPr="006234AA">
          <w:rPr>
            <w:noProof/>
            <w:webHidden/>
          </w:rPr>
          <w:tab/>
        </w:r>
        <w:r w:rsidRPr="006234AA">
          <w:rPr>
            <w:noProof/>
            <w:webHidden/>
          </w:rPr>
          <w:fldChar w:fldCharType="begin"/>
        </w:r>
        <w:r w:rsidR="00D92677" w:rsidRPr="006234AA">
          <w:rPr>
            <w:noProof/>
            <w:webHidden/>
          </w:rPr>
          <w:instrText xml:space="preserve"> PAGEREF _Toc422672011 \h </w:instrText>
        </w:r>
        <w:r w:rsidRPr="006234AA">
          <w:rPr>
            <w:noProof/>
            <w:webHidden/>
          </w:rPr>
        </w:r>
        <w:r w:rsidRPr="006234AA">
          <w:rPr>
            <w:noProof/>
            <w:webHidden/>
          </w:rPr>
          <w:fldChar w:fldCharType="separate"/>
        </w:r>
        <w:r w:rsidR="00060F30">
          <w:rPr>
            <w:noProof/>
            <w:webHidden/>
          </w:rPr>
          <w:t>83</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12"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57. Nghĩa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báo cáo c</w:t>
        </w:r>
        <w:r w:rsidR="00D92677" w:rsidRPr="006234AA">
          <w:rPr>
            <w:rStyle w:val="Hyperlink"/>
            <w:rFonts w:ascii="Times New Roman" w:hAnsi="Times New Roman" w:cs="Times New Roman"/>
            <w:noProof/>
            <w:color w:val="auto"/>
          </w:rPr>
          <w:t>ủ</w:t>
        </w:r>
        <w:r w:rsidR="00D92677" w:rsidRPr="006234AA">
          <w:rPr>
            <w:rStyle w:val="Hyperlink"/>
            <w:noProof/>
            <w:color w:val="auto"/>
          </w:rPr>
          <w:t>a t</w:t>
        </w:r>
        <w:r w:rsidR="00D92677" w:rsidRPr="006234AA">
          <w:rPr>
            <w:rStyle w:val="Hyperlink"/>
            <w:rFonts w:ascii="Times New Roman" w:hAnsi="Times New Roman" w:cs="Times New Roman"/>
            <w:noProof/>
            <w:color w:val="auto"/>
          </w:rPr>
          <w:t>ổ</w:t>
        </w:r>
        <w:r w:rsidR="00D92677" w:rsidRPr="006234AA">
          <w:rPr>
            <w:rStyle w:val="Hyperlink"/>
            <w:noProof/>
            <w:color w:val="auto"/>
          </w:rPr>
          <w:t xml:space="preserve"> ch</w:t>
        </w:r>
        <w:r w:rsidR="00D92677" w:rsidRPr="006234AA">
          <w:rPr>
            <w:rStyle w:val="Hyperlink"/>
            <w:rFonts w:ascii="Times New Roman" w:hAnsi="Times New Roman" w:cs="Times New Roman"/>
            <w:noProof/>
            <w:color w:val="auto"/>
          </w:rPr>
          <w:t>ứ</w:t>
        </w:r>
        <w:r w:rsidR="00D92677" w:rsidRPr="006234AA">
          <w:rPr>
            <w:rStyle w:val="Hyperlink"/>
            <w:noProof/>
            <w:color w:val="auto"/>
          </w:rPr>
          <w:t>c kinh doanh d</w:t>
        </w:r>
        <w:r w:rsidR="00D92677" w:rsidRPr="006234AA">
          <w:rPr>
            <w:rStyle w:val="Hyperlink"/>
            <w:rFonts w:ascii="Times New Roman" w:hAnsi="Times New Roman" w:cs="Times New Roman"/>
            <w:noProof/>
            <w:color w:val="auto"/>
          </w:rPr>
          <w:t>ị</w:t>
        </w:r>
        <w:r w:rsidR="00D92677" w:rsidRPr="006234AA">
          <w:rPr>
            <w:rStyle w:val="Hyperlink"/>
            <w:noProof/>
            <w:color w:val="auto"/>
          </w:rPr>
          <w:t>ch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phái sinh</w:t>
        </w:r>
        <w:r w:rsidR="00D92677" w:rsidRPr="006234AA">
          <w:rPr>
            <w:noProof/>
            <w:webHidden/>
          </w:rPr>
          <w:tab/>
        </w:r>
        <w:r w:rsidRPr="006234AA">
          <w:rPr>
            <w:noProof/>
            <w:webHidden/>
          </w:rPr>
          <w:fldChar w:fldCharType="begin"/>
        </w:r>
        <w:r w:rsidR="00D92677" w:rsidRPr="006234AA">
          <w:rPr>
            <w:noProof/>
            <w:webHidden/>
          </w:rPr>
          <w:instrText xml:space="preserve"> PAGEREF _Toc422672012 \h </w:instrText>
        </w:r>
        <w:r w:rsidRPr="006234AA">
          <w:rPr>
            <w:noProof/>
            <w:webHidden/>
          </w:rPr>
        </w:r>
        <w:r w:rsidRPr="006234AA">
          <w:rPr>
            <w:noProof/>
            <w:webHidden/>
          </w:rPr>
          <w:fldChar w:fldCharType="separate"/>
        </w:r>
        <w:r w:rsidR="00060F30">
          <w:rPr>
            <w:noProof/>
            <w:webHidden/>
          </w:rPr>
          <w:t>83</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13"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58. Nghĩa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công b</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thông tin c</w:t>
        </w:r>
        <w:r w:rsidR="00D92677" w:rsidRPr="006234AA">
          <w:rPr>
            <w:rStyle w:val="Hyperlink"/>
            <w:rFonts w:ascii="Times New Roman" w:hAnsi="Times New Roman" w:cs="Times New Roman"/>
            <w:noProof/>
            <w:color w:val="auto"/>
          </w:rPr>
          <w:t>ủ</w:t>
        </w:r>
        <w:r w:rsidR="00D92677" w:rsidRPr="006234AA">
          <w:rPr>
            <w:rStyle w:val="Hyperlink"/>
            <w:noProof/>
            <w:color w:val="auto"/>
          </w:rPr>
          <w:t>a S</w:t>
        </w:r>
        <w:r w:rsidR="00D92677" w:rsidRPr="006234AA">
          <w:rPr>
            <w:rStyle w:val="Hyperlink"/>
            <w:rFonts w:ascii="Times New Roman" w:hAnsi="Times New Roman" w:cs="Times New Roman"/>
            <w:noProof/>
            <w:color w:val="auto"/>
          </w:rPr>
          <w:t>ở</w:t>
        </w:r>
        <w:r w:rsidR="00D92677" w:rsidRPr="006234AA">
          <w:rPr>
            <w:rStyle w:val="Hyperlink"/>
            <w:noProof/>
            <w:color w:val="auto"/>
          </w:rPr>
          <w:t xml:space="preserve">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w:t>
        </w:r>
        <w:r w:rsidR="00D92677" w:rsidRPr="006234AA">
          <w:rPr>
            <w:noProof/>
            <w:webHidden/>
          </w:rPr>
          <w:tab/>
        </w:r>
        <w:r w:rsidRPr="006234AA">
          <w:rPr>
            <w:noProof/>
            <w:webHidden/>
          </w:rPr>
          <w:fldChar w:fldCharType="begin"/>
        </w:r>
        <w:r w:rsidR="00D92677" w:rsidRPr="006234AA">
          <w:rPr>
            <w:noProof/>
            <w:webHidden/>
          </w:rPr>
          <w:instrText xml:space="preserve"> PAGEREF _Toc422672013 \h </w:instrText>
        </w:r>
        <w:r w:rsidRPr="006234AA">
          <w:rPr>
            <w:noProof/>
            <w:webHidden/>
          </w:rPr>
        </w:r>
        <w:r w:rsidRPr="006234AA">
          <w:rPr>
            <w:noProof/>
            <w:webHidden/>
          </w:rPr>
          <w:fldChar w:fldCharType="separate"/>
        </w:r>
        <w:r w:rsidR="00060F30">
          <w:rPr>
            <w:noProof/>
            <w:webHidden/>
          </w:rPr>
          <w:t>83</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14" w:history="1">
        <w:r w:rsidR="00D92677" w:rsidRPr="006234AA">
          <w:rPr>
            <w:rStyle w:val="Hyperlink"/>
            <w:rFonts w:eastAsia="DFKai-SB"/>
            <w:noProof/>
            <w:color w:val="auto"/>
            <w:kern w:val="20"/>
          </w:rPr>
          <w:t>Đi</w:t>
        </w:r>
        <w:r w:rsidR="00D92677" w:rsidRPr="006234AA">
          <w:rPr>
            <w:rStyle w:val="Hyperlink"/>
            <w:rFonts w:ascii="Times New Roman" w:eastAsia="DFKai-SB" w:hAnsi="Times New Roman" w:cs="Times New Roman"/>
            <w:noProof/>
            <w:color w:val="auto"/>
            <w:kern w:val="20"/>
          </w:rPr>
          <w:t>ề</w:t>
        </w:r>
        <w:r w:rsidR="00D92677" w:rsidRPr="006234AA">
          <w:rPr>
            <w:rStyle w:val="Hyperlink"/>
            <w:rFonts w:eastAsia="DFKai-SB"/>
            <w:noProof/>
            <w:color w:val="auto"/>
            <w:kern w:val="20"/>
          </w:rPr>
          <w:t>u 59. Nghĩa v</w:t>
        </w:r>
        <w:r w:rsidR="00D92677" w:rsidRPr="006234AA">
          <w:rPr>
            <w:rStyle w:val="Hyperlink"/>
            <w:rFonts w:ascii="Times New Roman" w:eastAsia="DFKai-SB" w:hAnsi="Times New Roman" w:cs="Times New Roman"/>
            <w:noProof/>
            <w:color w:val="auto"/>
            <w:kern w:val="20"/>
          </w:rPr>
          <w:t>ụ</w:t>
        </w:r>
        <w:r w:rsidR="00D92677" w:rsidRPr="006234AA">
          <w:rPr>
            <w:rStyle w:val="Hyperlink"/>
            <w:rFonts w:eastAsia="DFKai-SB"/>
            <w:noProof/>
            <w:color w:val="auto"/>
            <w:kern w:val="20"/>
          </w:rPr>
          <w:t xml:space="preserve"> báo cáo c</w:t>
        </w:r>
        <w:r w:rsidR="00D92677" w:rsidRPr="006234AA">
          <w:rPr>
            <w:rStyle w:val="Hyperlink"/>
            <w:rFonts w:ascii="Times New Roman" w:eastAsia="DFKai-SB" w:hAnsi="Times New Roman" w:cs="Times New Roman"/>
            <w:noProof/>
            <w:color w:val="auto"/>
            <w:kern w:val="20"/>
          </w:rPr>
          <w:t>ủ</w:t>
        </w:r>
        <w:r w:rsidR="00D92677" w:rsidRPr="006234AA">
          <w:rPr>
            <w:rStyle w:val="Hyperlink"/>
            <w:rFonts w:eastAsia="DFKai-SB"/>
            <w:noProof/>
            <w:color w:val="auto"/>
            <w:kern w:val="20"/>
          </w:rPr>
          <w:t>a Trung tâm l</w:t>
        </w:r>
        <w:r w:rsidR="00D92677" w:rsidRPr="006234AA">
          <w:rPr>
            <w:rStyle w:val="Hyperlink"/>
            <w:rFonts w:ascii="Times New Roman" w:eastAsia="DFKai-SB" w:hAnsi="Times New Roman" w:cs="Times New Roman"/>
            <w:noProof/>
            <w:color w:val="auto"/>
            <w:kern w:val="20"/>
          </w:rPr>
          <w:t>ư</w:t>
        </w:r>
        <w:r w:rsidR="00D92677" w:rsidRPr="006234AA">
          <w:rPr>
            <w:rStyle w:val="Hyperlink"/>
            <w:rFonts w:eastAsia="DFKai-SB"/>
            <w:noProof/>
            <w:color w:val="auto"/>
            <w:kern w:val="20"/>
          </w:rPr>
          <w:t xml:space="preserve">u ký </w:t>
        </w:r>
        <w:r w:rsidR="00D92677" w:rsidRPr="006234AA">
          <w:rPr>
            <w:rStyle w:val="Hyperlink"/>
            <w:rFonts w:eastAsia="DFKai-SB"/>
            <w:noProof/>
            <w:color w:val="auto"/>
          </w:rPr>
          <w:t>ch</w:t>
        </w:r>
        <w:r w:rsidR="00D92677" w:rsidRPr="006234AA">
          <w:rPr>
            <w:rStyle w:val="Hyperlink"/>
            <w:rFonts w:ascii="Times New Roman" w:eastAsia="DFKai-SB" w:hAnsi="Times New Roman" w:cs="Times New Roman"/>
            <w:noProof/>
            <w:color w:val="auto"/>
          </w:rPr>
          <w:t>ứ</w:t>
        </w:r>
        <w:r w:rsidR="00D92677" w:rsidRPr="006234AA">
          <w:rPr>
            <w:rStyle w:val="Hyperlink"/>
            <w:rFonts w:eastAsia="DFKai-SB"/>
            <w:noProof/>
            <w:color w:val="auto"/>
          </w:rPr>
          <w:t>ng</w:t>
        </w:r>
        <w:r w:rsidR="00D92677" w:rsidRPr="006234AA">
          <w:rPr>
            <w:rStyle w:val="Hyperlink"/>
            <w:rFonts w:eastAsia="DFKai-SB"/>
            <w:noProof/>
            <w:color w:val="auto"/>
            <w:kern w:val="20"/>
          </w:rPr>
          <w:t xml:space="preserve"> khoán</w:t>
        </w:r>
        <w:r w:rsidR="00D92677" w:rsidRPr="006234AA">
          <w:rPr>
            <w:noProof/>
            <w:webHidden/>
          </w:rPr>
          <w:tab/>
        </w:r>
        <w:r w:rsidRPr="006234AA">
          <w:rPr>
            <w:noProof/>
            <w:webHidden/>
          </w:rPr>
          <w:fldChar w:fldCharType="begin"/>
        </w:r>
        <w:r w:rsidR="00D92677" w:rsidRPr="006234AA">
          <w:rPr>
            <w:noProof/>
            <w:webHidden/>
          </w:rPr>
          <w:instrText xml:space="preserve"> PAGEREF _Toc422672014 \h </w:instrText>
        </w:r>
        <w:r w:rsidRPr="006234AA">
          <w:rPr>
            <w:noProof/>
            <w:webHidden/>
          </w:rPr>
        </w:r>
        <w:r w:rsidRPr="006234AA">
          <w:rPr>
            <w:noProof/>
            <w:webHidden/>
          </w:rPr>
          <w:fldChar w:fldCharType="separate"/>
        </w:r>
        <w:r w:rsidR="00060F30">
          <w:rPr>
            <w:noProof/>
            <w:webHidden/>
          </w:rPr>
          <w:t>85</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15"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60. Th</w:t>
        </w:r>
        <w:r w:rsidR="00D92677" w:rsidRPr="006234AA">
          <w:rPr>
            <w:rStyle w:val="Hyperlink"/>
            <w:rFonts w:ascii="Times New Roman" w:hAnsi="Times New Roman" w:cs="Times New Roman"/>
            <w:noProof/>
            <w:color w:val="auto"/>
          </w:rPr>
          <w:t>ờ</w:t>
        </w:r>
        <w:r w:rsidR="00D92677" w:rsidRPr="006234AA">
          <w:rPr>
            <w:rStyle w:val="Hyperlink"/>
            <w:noProof/>
            <w:color w:val="auto"/>
          </w:rPr>
          <w:t>i h</w:t>
        </w:r>
        <w:r w:rsidR="00D92677" w:rsidRPr="006234AA">
          <w:rPr>
            <w:rStyle w:val="Hyperlink"/>
            <w:rFonts w:ascii="Times New Roman" w:hAnsi="Times New Roman" w:cs="Times New Roman"/>
            <w:noProof/>
            <w:color w:val="auto"/>
          </w:rPr>
          <w:t>ạ</w:t>
        </w:r>
        <w:r w:rsidR="00D92677" w:rsidRPr="006234AA">
          <w:rPr>
            <w:rStyle w:val="Hyperlink"/>
            <w:noProof/>
            <w:color w:val="auto"/>
          </w:rPr>
          <w:t>n n</w:t>
        </w:r>
        <w:r w:rsidR="00D92677" w:rsidRPr="006234AA">
          <w:rPr>
            <w:rStyle w:val="Hyperlink"/>
            <w:rFonts w:ascii="Times New Roman" w:hAnsi="Times New Roman" w:cs="Times New Roman"/>
            <w:noProof/>
            <w:color w:val="auto"/>
          </w:rPr>
          <w:t>ộ</w:t>
        </w:r>
        <w:r w:rsidR="00D92677" w:rsidRPr="006234AA">
          <w:rPr>
            <w:rStyle w:val="Hyperlink"/>
            <w:noProof/>
            <w:color w:val="auto"/>
          </w:rPr>
          <w:t>p báo cáo</w:t>
        </w:r>
        <w:r w:rsidR="00D92677" w:rsidRPr="006234AA">
          <w:rPr>
            <w:noProof/>
            <w:webHidden/>
          </w:rPr>
          <w:tab/>
        </w:r>
        <w:r w:rsidRPr="006234AA">
          <w:rPr>
            <w:noProof/>
            <w:webHidden/>
          </w:rPr>
          <w:fldChar w:fldCharType="begin"/>
        </w:r>
        <w:r w:rsidR="00D92677" w:rsidRPr="006234AA">
          <w:rPr>
            <w:noProof/>
            <w:webHidden/>
          </w:rPr>
          <w:instrText xml:space="preserve"> PAGEREF _Toc422672015 \h </w:instrText>
        </w:r>
        <w:r w:rsidRPr="006234AA">
          <w:rPr>
            <w:noProof/>
            <w:webHidden/>
          </w:rPr>
        </w:r>
        <w:r w:rsidRPr="006234AA">
          <w:rPr>
            <w:noProof/>
            <w:webHidden/>
          </w:rPr>
          <w:fldChar w:fldCharType="separate"/>
        </w:r>
        <w:r w:rsidR="00060F30">
          <w:rPr>
            <w:noProof/>
            <w:webHidden/>
          </w:rPr>
          <w:t>86</w:t>
        </w:r>
        <w:r w:rsidRPr="006234AA">
          <w:rPr>
            <w:noProof/>
            <w:webHidden/>
          </w:rPr>
          <w:fldChar w:fldCharType="end"/>
        </w:r>
      </w:hyperlink>
    </w:p>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hyperlink w:anchor="_Toc422672016" w:history="1">
        <w:r w:rsidR="00D92677" w:rsidRPr="006234AA">
          <w:rPr>
            <w:rStyle w:val="Hyperlink"/>
            <w:noProof/>
            <w:color w:val="auto"/>
          </w:rPr>
          <w:t>Ch</w:t>
        </w:r>
        <w:r w:rsidR="00D92677" w:rsidRPr="006234AA">
          <w:rPr>
            <w:rStyle w:val="Hyperlink"/>
            <w:rFonts w:ascii="Times New Roman" w:hAnsi="Times New Roman" w:cs="Times New Roman"/>
            <w:noProof/>
            <w:color w:val="auto"/>
          </w:rPr>
          <w:t>ươ</w:t>
        </w:r>
        <w:r w:rsidR="00D92677" w:rsidRPr="006234AA">
          <w:rPr>
            <w:rStyle w:val="Hyperlink"/>
            <w:noProof/>
            <w:color w:val="auto"/>
          </w:rPr>
          <w:t>ng VIII</w:t>
        </w:r>
        <w:r w:rsidR="00D92677" w:rsidRPr="006234AA">
          <w:rPr>
            <w:noProof/>
            <w:webHidden/>
          </w:rPr>
          <w:tab/>
        </w:r>
        <w:r w:rsidRPr="006234AA">
          <w:rPr>
            <w:noProof/>
            <w:webHidden/>
          </w:rPr>
          <w:fldChar w:fldCharType="begin"/>
        </w:r>
        <w:r w:rsidR="00D92677" w:rsidRPr="006234AA">
          <w:rPr>
            <w:noProof/>
            <w:webHidden/>
          </w:rPr>
          <w:instrText xml:space="preserve"> PAGEREF _Toc422672016 \h </w:instrText>
        </w:r>
        <w:r w:rsidRPr="006234AA">
          <w:rPr>
            <w:noProof/>
            <w:webHidden/>
          </w:rPr>
        </w:r>
        <w:r w:rsidRPr="006234AA">
          <w:rPr>
            <w:noProof/>
            <w:webHidden/>
          </w:rPr>
          <w:fldChar w:fldCharType="separate"/>
        </w:r>
        <w:r w:rsidR="00060F30">
          <w:rPr>
            <w:noProof/>
            <w:webHidden/>
          </w:rPr>
          <w:t>86</w:t>
        </w:r>
        <w:r w:rsidRPr="006234AA">
          <w:rPr>
            <w:noProof/>
            <w:webHidden/>
          </w:rPr>
          <w:fldChar w:fldCharType="end"/>
        </w:r>
      </w:hyperlink>
    </w:p>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hyperlink w:anchor="_Toc422672017"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KHO</w:t>
        </w:r>
        <w:r w:rsidR="00D92677" w:rsidRPr="006234AA">
          <w:rPr>
            <w:rStyle w:val="Hyperlink"/>
            <w:rFonts w:ascii="Times New Roman" w:hAnsi="Times New Roman" w:cs="Times New Roman"/>
            <w:noProof/>
            <w:color w:val="auto"/>
          </w:rPr>
          <w:t>Ả</w:t>
        </w:r>
        <w:r w:rsidR="00D92677" w:rsidRPr="006234AA">
          <w:rPr>
            <w:rStyle w:val="Hyperlink"/>
            <w:noProof/>
            <w:color w:val="auto"/>
          </w:rPr>
          <w:t>N THI HÀNH</w:t>
        </w:r>
        <w:r w:rsidR="00D92677" w:rsidRPr="006234AA">
          <w:rPr>
            <w:noProof/>
            <w:webHidden/>
          </w:rPr>
          <w:tab/>
        </w:r>
        <w:r w:rsidRPr="006234AA">
          <w:rPr>
            <w:noProof/>
            <w:webHidden/>
          </w:rPr>
          <w:fldChar w:fldCharType="begin"/>
        </w:r>
        <w:r w:rsidR="00D92677" w:rsidRPr="006234AA">
          <w:rPr>
            <w:noProof/>
            <w:webHidden/>
          </w:rPr>
          <w:instrText xml:space="preserve"> PAGEREF _Toc422672017 \h </w:instrText>
        </w:r>
        <w:r w:rsidRPr="006234AA">
          <w:rPr>
            <w:noProof/>
            <w:webHidden/>
          </w:rPr>
        </w:r>
        <w:r w:rsidRPr="006234AA">
          <w:rPr>
            <w:noProof/>
            <w:webHidden/>
          </w:rPr>
          <w:fldChar w:fldCharType="separate"/>
        </w:r>
        <w:r w:rsidR="00060F30">
          <w:rPr>
            <w:noProof/>
            <w:webHidden/>
          </w:rPr>
          <w:t>86</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18"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61. Hi</w:t>
        </w:r>
        <w:r w:rsidR="00D92677" w:rsidRPr="006234AA">
          <w:rPr>
            <w:rStyle w:val="Hyperlink"/>
            <w:rFonts w:ascii="Times New Roman" w:hAnsi="Times New Roman" w:cs="Times New Roman"/>
            <w:noProof/>
            <w:color w:val="auto"/>
          </w:rPr>
          <w:t>ệ</w:t>
        </w:r>
        <w:r w:rsidR="00D92677" w:rsidRPr="006234AA">
          <w:rPr>
            <w:rStyle w:val="Hyperlink"/>
            <w:noProof/>
            <w:color w:val="auto"/>
          </w:rPr>
          <w:t>u l</w:t>
        </w:r>
        <w:r w:rsidR="00D92677" w:rsidRPr="006234AA">
          <w:rPr>
            <w:rStyle w:val="Hyperlink"/>
            <w:rFonts w:ascii="Times New Roman" w:hAnsi="Times New Roman" w:cs="Times New Roman"/>
            <w:noProof/>
            <w:color w:val="auto"/>
          </w:rPr>
          <w:t>ự</w:t>
        </w:r>
        <w:r w:rsidR="00D92677" w:rsidRPr="006234AA">
          <w:rPr>
            <w:rStyle w:val="Hyperlink"/>
            <w:noProof/>
            <w:color w:val="auto"/>
          </w:rPr>
          <w:t>c thi hành</w:t>
        </w:r>
        <w:r w:rsidR="00D92677" w:rsidRPr="006234AA">
          <w:rPr>
            <w:noProof/>
            <w:webHidden/>
          </w:rPr>
          <w:tab/>
        </w:r>
        <w:r w:rsidRPr="006234AA">
          <w:rPr>
            <w:noProof/>
            <w:webHidden/>
          </w:rPr>
          <w:fldChar w:fldCharType="begin"/>
        </w:r>
        <w:r w:rsidR="00D92677" w:rsidRPr="006234AA">
          <w:rPr>
            <w:noProof/>
            <w:webHidden/>
          </w:rPr>
          <w:instrText xml:space="preserve"> PAGEREF _Toc422672018 \h </w:instrText>
        </w:r>
        <w:r w:rsidRPr="006234AA">
          <w:rPr>
            <w:noProof/>
            <w:webHidden/>
          </w:rPr>
        </w:r>
        <w:r w:rsidRPr="006234AA">
          <w:rPr>
            <w:noProof/>
            <w:webHidden/>
          </w:rPr>
          <w:fldChar w:fldCharType="separate"/>
        </w:r>
        <w:r w:rsidR="00060F30">
          <w:rPr>
            <w:noProof/>
            <w:webHidden/>
          </w:rPr>
          <w:t>86</w:t>
        </w:r>
        <w:r w:rsidRPr="006234AA">
          <w:rPr>
            <w:noProof/>
            <w:webHidden/>
          </w:rPr>
          <w:fldChar w:fldCharType="end"/>
        </w:r>
      </w:hyperlink>
    </w:p>
    <w:p w:rsidR="00D92677" w:rsidRPr="006234AA" w:rsidRDefault="007965E6">
      <w:pPr>
        <w:pStyle w:val="TOC4"/>
        <w:tabs>
          <w:tab w:val="right" w:leader="dot" w:pos="9064"/>
        </w:tabs>
        <w:rPr>
          <w:rFonts w:asciiTheme="minorHAnsi" w:eastAsiaTheme="minorEastAsia" w:hAnsiTheme="minorHAnsi" w:cstheme="minorBidi"/>
          <w:noProof/>
          <w:sz w:val="22"/>
          <w:szCs w:val="22"/>
        </w:rPr>
      </w:pPr>
      <w:hyperlink w:anchor="_Toc422672019" w:history="1">
        <w:r w:rsidR="00D92677" w:rsidRPr="006234AA">
          <w:rPr>
            <w:rStyle w:val="Hyperlink"/>
            <w:noProof/>
            <w:color w:val="auto"/>
          </w:rPr>
          <w:t>Đi</w:t>
        </w:r>
        <w:r w:rsidR="00D92677" w:rsidRPr="006234AA">
          <w:rPr>
            <w:rStyle w:val="Hyperlink"/>
            <w:rFonts w:ascii="Times New Roman" w:hAnsi="Times New Roman" w:cs="Times New Roman"/>
            <w:noProof/>
            <w:color w:val="auto"/>
          </w:rPr>
          <w:t>ề</w:t>
        </w:r>
        <w:r w:rsidR="00D92677" w:rsidRPr="006234AA">
          <w:rPr>
            <w:rStyle w:val="Hyperlink"/>
            <w:noProof/>
            <w:color w:val="auto"/>
          </w:rPr>
          <w:t>u 62. T</w:t>
        </w:r>
        <w:r w:rsidR="00D92677" w:rsidRPr="006234AA">
          <w:rPr>
            <w:rStyle w:val="Hyperlink"/>
            <w:rFonts w:ascii="Times New Roman" w:hAnsi="Times New Roman" w:cs="Times New Roman"/>
            <w:noProof/>
            <w:color w:val="auto"/>
          </w:rPr>
          <w:t>ổ</w:t>
        </w:r>
        <w:r w:rsidR="00D92677" w:rsidRPr="006234AA">
          <w:rPr>
            <w:rStyle w:val="Hyperlink"/>
            <w:noProof/>
            <w:color w:val="auto"/>
          </w:rPr>
          <w:t xml:space="preserve"> ch</w:t>
        </w:r>
        <w:r w:rsidR="00D92677" w:rsidRPr="006234AA">
          <w:rPr>
            <w:rStyle w:val="Hyperlink"/>
            <w:rFonts w:ascii="Times New Roman" w:hAnsi="Times New Roman" w:cs="Times New Roman"/>
            <w:noProof/>
            <w:color w:val="auto"/>
          </w:rPr>
          <w:t>ứ</w:t>
        </w:r>
        <w:r w:rsidR="00D92677" w:rsidRPr="006234AA">
          <w:rPr>
            <w:rStyle w:val="Hyperlink"/>
            <w:noProof/>
            <w:color w:val="auto"/>
          </w:rPr>
          <w:t>c th</w:t>
        </w:r>
        <w:r w:rsidR="00D92677" w:rsidRPr="006234AA">
          <w:rPr>
            <w:rStyle w:val="Hyperlink"/>
            <w:rFonts w:ascii="Times New Roman" w:hAnsi="Times New Roman" w:cs="Times New Roman"/>
            <w:noProof/>
            <w:color w:val="auto"/>
          </w:rPr>
          <w:t>ự</w:t>
        </w:r>
        <w:r w:rsidR="00D92677" w:rsidRPr="006234AA">
          <w:rPr>
            <w:rStyle w:val="Hyperlink"/>
            <w:noProof/>
            <w:color w:val="auto"/>
          </w:rPr>
          <w:t>c hi</w:t>
        </w:r>
        <w:r w:rsidR="00D92677" w:rsidRPr="006234AA">
          <w:rPr>
            <w:rStyle w:val="Hyperlink"/>
            <w:rFonts w:ascii="Times New Roman" w:hAnsi="Times New Roman" w:cs="Times New Roman"/>
            <w:noProof/>
            <w:color w:val="auto"/>
          </w:rPr>
          <w:t>ệ</w:t>
        </w:r>
        <w:r w:rsidR="00D92677" w:rsidRPr="006234AA">
          <w:rPr>
            <w:rStyle w:val="Hyperlink"/>
            <w:noProof/>
            <w:color w:val="auto"/>
          </w:rPr>
          <w:t>n</w:t>
        </w:r>
        <w:r w:rsidR="00D92677" w:rsidRPr="006234AA">
          <w:rPr>
            <w:noProof/>
            <w:webHidden/>
          </w:rPr>
          <w:tab/>
        </w:r>
        <w:r w:rsidRPr="006234AA">
          <w:rPr>
            <w:noProof/>
            <w:webHidden/>
          </w:rPr>
          <w:fldChar w:fldCharType="begin"/>
        </w:r>
        <w:r w:rsidR="00D92677" w:rsidRPr="006234AA">
          <w:rPr>
            <w:noProof/>
            <w:webHidden/>
          </w:rPr>
          <w:instrText xml:space="preserve"> PAGEREF _Toc422672019 \h </w:instrText>
        </w:r>
        <w:r w:rsidRPr="006234AA">
          <w:rPr>
            <w:noProof/>
            <w:webHidden/>
          </w:rPr>
        </w:r>
        <w:r w:rsidRPr="006234AA">
          <w:rPr>
            <w:noProof/>
            <w:webHidden/>
          </w:rPr>
          <w:fldChar w:fldCharType="separate"/>
        </w:r>
        <w:r w:rsidR="00060F30">
          <w:rPr>
            <w:noProof/>
            <w:webHidden/>
          </w:rPr>
          <w:t>86</w:t>
        </w:r>
        <w:r w:rsidRPr="006234AA">
          <w:rPr>
            <w:noProof/>
            <w:webHidden/>
          </w:rPr>
          <w:fldChar w:fldCharType="end"/>
        </w:r>
      </w:hyperlink>
    </w:p>
    <w:p w:rsidR="00D92677" w:rsidRPr="006234AA" w:rsidRDefault="007965E6">
      <w:pPr>
        <w:pStyle w:val="TOC1"/>
        <w:tabs>
          <w:tab w:val="right" w:leader="dot" w:pos="9064"/>
        </w:tabs>
        <w:rPr>
          <w:rFonts w:asciiTheme="minorHAnsi" w:eastAsiaTheme="minorEastAsia" w:hAnsiTheme="minorHAnsi" w:cstheme="minorBidi"/>
          <w:b w:val="0"/>
          <w:bCs w:val="0"/>
          <w:noProof/>
          <w:sz w:val="22"/>
          <w:szCs w:val="22"/>
        </w:rPr>
      </w:pPr>
      <w:hyperlink w:anchor="_Toc422672020"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w:t>
        </w:r>
        <w:r w:rsidR="00D92677" w:rsidRPr="006234AA">
          <w:rPr>
            <w:noProof/>
            <w:webHidden/>
          </w:rPr>
          <w:tab/>
        </w:r>
        <w:r w:rsidRPr="006234AA">
          <w:rPr>
            <w:noProof/>
            <w:webHidden/>
          </w:rPr>
          <w:fldChar w:fldCharType="begin"/>
        </w:r>
        <w:r w:rsidR="00D92677" w:rsidRPr="006234AA">
          <w:rPr>
            <w:noProof/>
            <w:webHidden/>
          </w:rPr>
          <w:instrText xml:space="preserve"> PAGEREF _Toc422672020 \h </w:instrText>
        </w:r>
        <w:r w:rsidRPr="006234AA">
          <w:rPr>
            <w:noProof/>
            <w:webHidden/>
          </w:rPr>
        </w:r>
        <w:r w:rsidRPr="006234AA">
          <w:rPr>
            <w:noProof/>
            <w:webHidden/>
          </w:rPr>
          <w:fldChar w:fldCharType="separate"/>
        </w:r>
        <w:r w:rsidR="00060F30">
          <w:rPr>
            <w:noProof/>
            <w:webHidden/>
          </w:rPr>
          <w:t>88</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21"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 M</w:t>
        </w:r>
        <w:r w:rsidR="00D92677" w:rsidRPr="006234AA">
          <w:rPr>
            <w:rStyle w:val="Hyperlink"/>
            <w:rFonts w:ascii="Times New Roman" w:hAnsi="Times New Roman" w:cs="Times New Roman"/>
            <w:noProof/>
            <w:color w:val="auto"/>
          </w:rPr>
          <w:t>ẫ</w:t>
        </w:r>
        <w:r w:rsidR="00D92677" w:rsidRPr="006234AA">
          <w:rPr>
            <w:rStyle w:val="Hyperlink"/>
            <w:noProof/>
            <w:color w:val="auto"/>
          </w:rPr>
          <w:t>u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 ch</w:t>
        </w:r>
        <w:r w:rsidR="00D92677" w:rsidRPr="006234AA">
          <w:rPr>
            <w:rStyle w:val="Hyperlink"/>
            <w:rFonts w:ascii="Times New Roman" w:hAnsi="Times New Roman" w:cs="Times New Roman"/>
            <w:noProof/>
            <w:color w:val="auto"/>
          </w:rPr>
          <w:t>ỉ</w:t>
        </w:r>
        <w:r w:rsidR="00D92677" w:rsidRPr="006234AA">
          <w:rPr>
            <w:rStyle w:val="Hyperlink"/>
            <w:noProof/>
            <w:color w:val="auto"/>
          </w:rPr>
          <w:t xml:space="preserve">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w:t>
        </w:r>
        <w:r w:rsidR="00D92677" w:rsidRPr="006234AA">
          <w:rPr>
            <w:noProof/>
            <w:webHidden/>
          </w:rPr>
          <w:tab/>
        </w:r>
        <w:r w:rsidRPr="006234AA">
          <w:rPr>
            <w:noProof/>
            <w:webHidden/>
          </w:rPr>
          <w:fldChar w:fldCharType="begin"/>
        </w:r>
        <w:r w:rsidR="00D92677" w:rsidRPr="006234AA">
          <w:rPr>
            <w:noProof/>
            <w:webHidden/>
          </w:rPr>
          <w:instrText xml:space="preserve"> PAGEREF _Toc422672021 \h </w:instrText>
        </w:r>
        <w:r w:rsidRPr="006234AA">
          <w:rPr>
            <w:noProof/>
            <w:webHidden/>
          </w:rPr>
        </w:r>
        <w:r w:rsidRPr="006234AA">
          <w:rPr>
            <w:noProof/>
            <w:webHidden/>
          </w:rPr>
          <w:fldChar w:fldCharType="separate"/>
        </w:r>
        <w:r w:rsidR="00060F30">
          <w:rPr>
            <w:noProof/>
            <w:webHidden/>
          </w:rPr>
          <w:t>88</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22"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2: M</w:t>
        </w:r>
        <w:r w:rsidR="00D92677" w:rsidRPr="006234AA">
          <w:rPr>
            <w:rStyle w:val="Hyperlink"/>
            <w:rFonts w:ascii="Times New Roman" w:hAnsi="Times New Roman" w:cs="Times New Roman"/>
            <w:noProof/>
            <w:color w:val="auto"/>
          </w:rPr>
          <w:t>ẫ</w:t>
        </w:r>
        <w:r w:rsidR="00D92677" w:rsidRPr="006234AA">
          <w:rPr>
            <w:rStyle w:val="Hyperlink"/>
            <w:noProof/>
            <w:color w:val="auto"/>
          </w:rPr>
          <w:t>u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 trái phi</w:t>
        </w:r>
        <w:r w:rsidR="00D92677" w:rsidRPr="006234AA">
          <w:rPr>
            <w:rStyle w:val="Hyperlink"/>
            <w:rFonts w:ascii="Times New Roman" w:hAnsi="Times New Roman" w:cs="Times New Roman"/>
            <w:noProof/>
            <w:color w:val="auto"/>
          </w:rPr>
          <w:t>ế</w:t>
        </w:r>
        <w:r w:rsidR="00D92677" w:rsidRPr="006234AA">
          <w:rPr>
            <w:rStyle w:val="Hyperlink"/>
            <w:noProof/>
            <w:color w:val="auto"/>
          </w:rPr>
          <w:t>u chính ph</w:t>
        </w:r>
        <w:r w:rsidR="00D92677" w:rsidRPr="006234AA">
          <w:rPr>
            <w:rStyle w:val="Hyperlink"/>
            <w:rFonts w:ascii="Times New Roman" w:hAnsi="Times New Roman" w:cs="Times New Roman"/>
            <w:noProof/>
            <w:color w:val="auto"/>
          </w:rPr>
          <w:t>ủ</w:t>
        </w:r>
        <w:r w:rsidR="00D92677" w:rsidRPr="006234AA">
          <w:rPr>
            <w:noProof/>
            <w:webHidden/>
          </w:rPr>
          <w:tab/>
        </w:r>
        <w:r w:rsidRPr="006234AA">
          <w:rPr>
            <w:noProof/>
            <w:webHidden/>
          </w:rPr>
          <w:fldChar w:fldCharType="begin"/>
        </w:r>
        <w:r w:rsidR="00D92677" w:rsidRPr="006234AA">
          <w:rPr>
            <w:noProof/>
            <w:webHidden/>
          </w:rPr>
          <w:instrText xml:space="preserve"> PAGEREF _Toc422672022 \h </w:instrText>
        </w:r>
        <w:r w:rsidRPr="006234AA">
          <w:rPr>
            <w:noProof/>
            <w:webHidden/>
          </w:rPr>
        </w:r>
        <w:r w:rsidRPr="006234AA">
          <w:rPr>
            <w:noProof/>
            <w:webHidden/>
          </w:rPr>
          <w:fldChar w:fldCharType="separate"/>
        </w:r>
        <w:r w:rsidR="00060F30">
          <w:rPr>
            <w:noProof/>
            <w:webHidden/>
          </w:rPr>
          <w:t>90</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23" w:history="1">
        <w:r w:rsidR="00D92677" w:rsidRPr="006234AA">
          <w:rPr>
            <w:rStyle w:val="Hyperlink"/>
            <w:noProof/>
            <w:color w:val="auto"/>
            <w:lang w:val="pt-BR"/>
          </w:rPr>
          <w:t>Ph</w:t>
        </w:r>
        <w:r w:rsidR="00D92677" w:rsidRPr="006234AA">
          <w:rPr>
            <w:rStyle w:val="Hyperlink"/>
            <w:rFonts w:ascii="Times New Roman" w:hAnsi="Times New Roman" w:cs="Times New Roman"/>
            <w:noProof/>
            <w:color w:val="auto"/>
            <w:lang w:val="pt-BR"/>
          </w:rPr>
          <w:t>ụ</w:t>
        </w:r>
        <w:r w:rsidR="00D92677" w:rsidRPr="006234AA">
          <w:rPr>
            <w:rStyle w:val="Hyperlink"/>
            <w:noProof/>
            <w:color w:val="auto"/>
            <w:lang w:val="pt-BR"/>
          </w:rPr>
          <w:t xml:space="preserve"> l</w:t>
        </w:r>
        <w:r w:rsidR="00D92677" w:rsidRPr="006234AA">
          <w:rPr>
            <w:rStyle w:val="Hyperlink"/>
            <w:rFonts w:ascii="Times New Roman" w:hAnsi="Times New Roman" w:cs="Times New Roman"/>
            <w:noProof/>
            <w:color w:val="auto"/>
            <w:lang w:val="pt-BR"/>
          </w:rPr>
          <w:t>ụ</w:t>
        </w:r>
        <w:r w:rsidR="00D92677" w:rsidRPr="006234AA">
          <w:rPr>
            <w:rStyle w:val="Hyperlink"/>
            <w:noProof/>
            <w:color w:val="auto"/>
            <w:lang w:val="pt-BR"/>
          </w:rPr>
          <w:t>c s</w:t>
        </w:r>
        <w:r w:rsidR="00D92677" w:rsidRPr="006234AA">
          <w:rPr>
            <w:rStyle w:val="Hyperlink"/>
            <w:rFonts w:ascii="Times New Roman" w:hAnsi="Times New Roman" w:cs="Times New Roman"/>
            <w:noProof/>
            <w:color w:val="auto"/>
            <w:lang w:val="pt-BR"/>
          </w:rPr>
          <w:t>ố</w:t>
        </w:r>
        <w:r w:rsidR="00D92677" w:rsidRPr="006234AA">
          <w:rPr>
            <w:rStyle w:val="Hyperlink"/>
            <w:noProof/>
            <w:color w:val="auto"/>
            <w:lang w:val="pt-BR"/>
          </w:rPr>
          <w:t xml:space="preserve"> 3: Gi</w:t>
        </w:r>
        <w:r w:rsidR="00D92677" w:rsidRPr="006234AA">
          <w:rPr>
            <w:rStyle w:val="Hyperlink"/>
            <w:rFonts w:ascii="Times New Roman" w:hAnsi="Times New Roman" w:cs="Times New Roman"/>
            <w:noProof/>
            <w:color w:val="auto"/>
            <w:lang w:val="pt-BR"/>
          </w:rPr>
          <w:t>ấ</w:t>
        </w:r>
        <w:r w:rsidR="00D92677" w:rsidRPr="006234AA">
          <w:rPr>
            <w:rStyle w:val="Hyperlink"/>
            <w:noProof/>
            <w:color w:val="auto"/>
            <w:lang w:val="pt-BR"/>
          </w:rPr>
          <w:t>y đ</w:t>
        </w:r>
        <w:r w:rsidR="00D92677" w:rsidRPr="006234AA">
          <w:rPr>
            <w:rStyle w:val="Hyperlink"/>
            <w:rFonts w:ascii="Times New Roman" w:hAnsi="Times New Roman" w:cs="Times New Roman"/>
            <w:noProof/>
            <w:color w:val="auto"/>
            <w:lang w:val="pt-BR"/>
          </w:rPr>
          <w:t>ề</w:t>
        </w:r>
        <w:r w:rsidR="00D92677" w:rsidRPr="006234AA">
          <w:rPr>
            <w:rStyle w:val="Hyperlink"/>
            <w:noProof/>
            <w:color w:val="auto"/>
            <w:lang w:val="pt-BR"/>
          </w:rPr>
          <w:t xml:space="preserve"> đăng ký ch</w:t>
        </w:r>
        <w:r w:rsidR="00D92677" w:rsidRPr="006234AA">
          <w:rPr>
            <w:rStyle w:val="Hyperlink"/>
            <w:rFonts w:ascii="Times New Roman" w:hAnsi="Times New Roman" w:cs="Times New Roman"/>
            <w:noProof/>
            <w:color w:val="auto"/>
            <w:lang w:val="pt-BR"/>
          </w:rPr>
          <w:t>ấ</w:t>
        </w:r>
        <w:r w:rsidR="00D92677" w:rsidRPr="006234AA">
          <w:rPr>
            <w:rStyle w:val="Hyperlink"/>
            <w:noProof/>
            <w:color w:val="auto"/>
            <w:lang w:val="pt-BR"/>
          </w:rPr>
          <w:t>p thu</w:t>
        </w:r>
        <w:r w:rsidR="00D92677" w:rsidRPr="006234AA">
          <w:rPr>
            <w:rStyle w:val="Hyperlink"/>
            <w:rFonts w:ascii="Times New Roman" w:hAnsi="Times New Roman" w:cs="Times New Roman"/>
            <w:noProof/>
            <w:color w:val="auto"/>
            <w:lang w:val="pt-BR"/>
          </w:rPr>
          <w:t>ậ</w:t>
        </w:r>
        <w:r w:rsidR="00D92677" w:rsidRPr="006234AA">
          <w:rPr>
            <w:rStyle w:val="Hyperlink"/>
            <w:noProof/>
            <w:color w:val="auto"/>
            <w:lang w:val="pt-BR"/>
          </w:rPr>
          <w:t>n/rút ho</w:t>
        </w:r>
        <w:r w:rsidR="00D92677" w:rsidRPr="006234AA">
          <w:rPr>
            <w:rStyle w:val="Hyperlink"/>
            <w:rFonts w:ascii="Times New Roman" w:hAnsi="Times New Roman" w:cs="Times New Roman"/>
            <w:noProof/>
            <w:color w:val="auto"/>
            <w:lang w:val="pt-BR"/>
          </w:rPr>
          <w:t>ạ</w:t>
        </w:r>
        <w:r w:rsidR="00D92677" w:rsidRPr="006234AA">
          <w:rPr>
            <w:rStyle w:val="Hyperlink"/>
            <w:noProof/>
            <w:color w:val="auto"/>
            <w:lang w:val="pt-BR"/>
          </w:rPr>
          <w:t>t đ</w:t>
        </w:r>
        <w:r w:rsidR="00D92677" w:rsidRPr="006234AA">
          <w:rPr>
            <w:rStyle w:val="Hyperlink"/>
            <w:rFonts w:ascii="Times New Roman" w:hAnsi="Times New Roman" w:cs="Times New Roman"/>
            <w:noProof/>
            <w:color w:val="auto"/>
            <w:lang w:val="pt-BR"/>
          </w:rPr>
          <w:t>ộ</w:t>
        </w:r>
        <w:r w:rsidR="00D92677" w:rsidRPr="006234AA">
          <w:rPr>
            <w:rStyle w:val="Hyperlink"/>
            <w:noProof/>
            <w:color w:val="auto"/>
            <w:lang w:val="pt-BR"/>
          </w:rPr>
          <w:t>ng kinh doanh d</w:t>
        </w:r>
        <w:r w:rsidR="00D92677" w:rsidRPr="006234AA">
          <w:rPr>
            <w:rStyle w:val="Hyperlink"/>
            <w:rFonts w:ascii="Times New Roman" w:hAnsi="Times New Roman" w:cs="Times New Roman"/>
            <w:noProof/>
            <w:color w:val="auto"/>
            <w:lang w:val="pt-BR"/>
          </w:rPr>
          <w:t>ị</w:t>
        </w:r>
        <w:r w:rsidR="00D92677" w:rsidRPr="006234AA">
          <w:rPr>
            <w:rStyle w:val="Hyperlink"/>
            <w:noProof/>
            <w:color w:val="auto"/>
            <w:lang w:val="pt-BR"/>
          </w:rPr>
          <w:t>ch v</w:t>
        </w:r>
        <w:r w:rsidR="00D92677" w:rsidRPr="006234AA">
          <w:rPr>
            <w:rStyle w:val="Hyperlink"/>
            <w:rFonts w:ascii="Times New Roman" w:hAnsi="Times New Roman" w:cs="Times New Roman"/>
            <w:noProof/>
            <w:color w:val="auto"/>
            <w:lang w:val="pt-BR"/>
          </w:rPr>
          <w:t>ụ</w:t>
        </w:r>
        <w:r w:rsidR="00D92677" w:rsidRPr="006234AA">
          <w:rPr>
            <w:rStyle w:val="Hyperlink"/>
            <w:noProof/>
            <w:color w:val="auto"/>
            <w:lang w:val="pt-BR"/>
          </w:rPr>
          <w:t xml:space="preserve"> ch</w:t>
        </w:r>
        <w:r w:rsidR="00D92677" w:rsidRPr="006234AA">
          <w:rPr>
            <w:rStyle w:val="Hyperlink"/>
            <w:rFonts w:ascii="Times New Roman" w:hAnsi="Times New Roman" w:cs="Times New Roman"/>
            <w:noProof/>
            <w:color w:val="auto"/>
            <w:lang w:val="pt-BR"/>
          </w:rPr>
          <w:t>ứ</w:t>
        </w:r>
        <w:r w:rsidR="00D92677" w:rsidRPr="006234AA">
          <w:rPr>
            <w:rStyle w:val="Hyperlink"/>
            <w:noProof/>
            <w:color w:val="auto"/>
            <w:lang w:val="pt-BR"/>
          </w:rPr>
          <w:t>ng khoán phái sinh</w:t>
        </w:r>
        <w:r w:rsidR="00D92677" w:rsidRPr="006234AA">
          <w:rPr>
            <w:noProof/>
            <w:webHidden/>
          </w:rPr>
          <w:tab/>
        </w:r>
        <w:r w:rsidRPr="006234AA">
          <w:rPr>
            <w:noProof/>
            <w:webHidden/>
          </w:rPr>
          <w:fldChar w:fldCharType="begin"/>
        </w:r>
        <w:r w:rsidR="00D92677" w:rsidRPr="006234AA">
          <w:rPr>
            <w:noProof/>
            <w:webHidden/>
          </w:rPr>
          <w:instrText xml:space="preserve"> PAGEREF _Toc422672023 \h </w:instrText>
        </w:r>
        <w:r w:rsidRPr="006234AA">
          <w:rPr>
            <w:noProof/>
            <w:webHidden/>
          </w:rPr>
        </w:r>
        <w:r w:rsidRPr="006234AA">
          <w:rPr>
            <w:noProof/>
            <w:webHidden/>
          </w:rPr>
          <w:fldChar w:fldCharType="separate"/>
        </w:r>
        <w:r w:rsidR="00060F30">
          <w:rPr>
            <w:noProof/>
            <w:webHidden/>
          </w:rPr>
          <w:t>92</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24" w:history="1">
        <w:r w:rsidR="00D92677" w:rsidRPr="006234AA">
          <w:rPr>
            <w:rStyle w:val="Hyperlink"/>
            <w:noProof/>
            <w:color w:val="auto"/>
            <w:lang w:val="fr-FR"/>
          </w:rPr>
          <w:t>Ph</w:t>
        </w:r>
        <w:r w:rsidR="00D92677" w:rsidRPr="006234AA">
          <w:rPr>
            <w:rStyle w:val="Hyperlink"/>
            <w:rFonts w:ascii="Times New Roman" w:hAnsi="Times New Roman" w:cs="Times New Roman"/>
            <w:noProof/>
            <w:color w:val="auto"/>
            <w:lang w:val="fr-FR"/>
          </w:rPr>
          <w:t>ụ</w:t>
        </w:r>
        <w:r w:rsidR="00D92677" w:rsidRPr="006234AA">
          <w:rPr>
            <w:rStyle w:val="Hyperlink"/>
            <w:noProof/>
            <w:color w:val="auto"/>
            <w:lang w:val="fr-FR"/>
          </w:rPr>
          <w:t xml:space="preserve"> l</w:t>
        </w:r>
        <w:r w:rsidR="00D92677" w:rsidRPr="006234AA">
          <w:rPr>
            <w:rStyle w:val="Hyperlink"/>
            <w:rFonts w:ascii="Times New Roman" w:hAnsi="Times New Roman" w:cs="Times New Roman"/>
            <w:noProof/>
            <w:color w:val="auto"/>
            <w:lang w:val="fr-FR"/>
          </w:rPr>
          <w:t>ụ</w:t>
        </w:r>
        <w:r w:rsidR="00D92677" w:rsidRPr="006234AA">
          <w:rPr>
            <w:rStyle w:val="Hyperlink"/>
            <w:noProof/>
            <w:color w:val="auto"/>
            <w:lang w:val="fr-FR"/>
          </w:rPr>
          <w:t>c s</w:t>
        </w:r>
        <w:r w:rsidR="00D92677" w:rsidRPr="006234AA">
          <w:rPr>
            <w:rStyle w:val="Hyperlink"/>
            <w:rFonts w:ascii="Times New Roman" w:hAnsi="Times New Roman" w:cs="Times New Roman"/>
            <w:noProof/>
            <w:color w:val="auto"/>
            <w:lang w:val="fr-FR"/>
          </w:rPr>
          <w:t>ố</w:t>
        </w:r>
        <w:r w:rsidR="00D92677" w:rsidRPr="006234AA">
          <w:rPr>
            <w:rStyle w:val="Hyperlink"/>
            <w:noProof/>
            <w:color w:val="auto"/>
            <w:lang w:val="fr-FR"/>
          </w:rPr>
          <w:t xml:space="preserve"> 4: M</w:t>
        </w:r>
        <w:r w:rsidR="00D92677" w:rsidRPr="006234AA">
          <w:rPr>
            <w:rStyle w:val="Hyperlink"/>
            <w:rFonts w:ascii="Times New Roman" w:hAnsi="Times New Roman" w:cs="Times New Roman"/>
            <w:noProof/>
            <w:color w:val="auto"/>
            <w:lang w:val="fr-FR"/>
          </w:rPr>
          <w:t>ẫ</w:t>
        </w:r>
        <w:r w:rsidR="00D92677" w:rsidRPr="006234AA">
          <w:rPr>
            <w:rStyle w:val="Hyperlink"/>
            <w:noProof/>
            <w:color w:val="auto"/>
            <w:lang w:val="fr-FR"/>
          </w:rPr>
          <w:t>u danh sách cán b</w:t>
        </w:r>
        <w:r w:rsidR="00D92677" w:rsidRPr="006234AA">
          <w:rPr>
            <w:rStyle w:val="Hyperlink"/>
            <w:rFonts w:ascii="Times New Roman" w:hAnsi="Times New Roman" w:cs="Times New Roman"/>
            <w:noProof/>
            <w:color w:val="auto"/>
            <w:lang w:val="fr-FR"/>
          </w:rPr>
          <w:t>ộ</w:t>
        </w:r>
        <w:r w:rsidR="00D92677" w:rsidRPr="006234AA">
          <w:rPr>
            <w:rStyle w:val="Hyperlink"/>
            <w:noProof/>
            <w:color w:val="auto"/>
            <w:lang w:val="fr-FR"/>
          </w:rPr>
          <w:t>, nhân viên nghi</w:t>
        </w:r>
        <w:r w:rsidR="00D92677" w:rsidRPr="006234AA">
          <w:rPr>
            <w:rStyle w:val="Hyperlink"/>
            <w:rFonts w:ascii="Times New Roman" w:hAnsi="Times New Roman" w:cs="Times New Roman"/>
            <w:noProof/>
            <w:color w:val="auto"/>
            <w:lang w:val="fr-FR"/>
          </w:rPr>
          <w:t>ệ</w:t>
        </w:r>
        <w:r w:rsidR="00D92677" w:rsidRPr="006234AA">
          <w:rPr>
            <w:rStyle w:val="Hyperlink"/>
            <w:noProof/>
            <w:color w:val="auto"/>
            <w:lang w:val="fr-FR"/>
          </w:rPr>
          <w:t>p v</w:t>
        </w:r>
        <w:r w:rsidR="00D92677" w:rsidRPr="006234AA">
          <w:rPr>
            <w:rStyle w:val="Hyperlink"/>
            <w:rFonts w:ascii="Times New Roman" w:hAnsi="Times New Roman" w:cs="Times New Roman"/>
            <w:noProof/>
            <w:color w:val="auto"/>
            <w:lang w:val="fr-FR"/>
          </w:rPr>
          <w:t>ụ</w:t>
        </w:r>
        <w:r w:rsidR="00D92677" w:rsidRPr="006234AA">
          <w:rPr>
            <w:noProof/>
            <w:webHidden/>
          </w:rPr>
          <w:tab/>
        </w:r>
        <w:r w:rsidRPr="006234AA">
          <w:rPr>
            <w:noProof/>
            <w:webHidden/>
          </w:rPr>
          <w:fldChar w:fldCharType="begin"/>
        </w:r>
        <w:r w:rsidR="00D92677" w:rsidRPr="006234AA">
          <w:rPr>
            <w:noProof/>
            <w:webHidden/>
          </w:rPr>
          <w:instrText xml:space="preserve"> PAGEREF _Toc422672024 \h </w:instrText>
        </w:r>
        <w:r w:rsidRPr="006234AA">
          <w:rPr>
            <w:noProof/>
            <w:webHidden/>
          </w:rPr>
        </w:r>
        <w:r w:rsidRPr="006234AA">
          <w:rPr>
            <w:noProof/>
            <w:webHidden/>
          </w:rPr>
          <w:fldChar w:fldCharType="separate"/>
        </w:r>
        <w:r w:rsidR="00060F30">
          <w:rPr>
            <w:noProof/>
            <w:webHidden/>
          </w:rPr>
          <w:t>93</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25"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5: N</w:t>
        </w:r>
        <w:r w:rsidR="00D92677" w:rsidRPr="006234AA">
          <w:rPr>
            <w:rStyle w:val="Hyperlink"/>
            <w:rFonts w:ascii="Times New Roman" w:hAnsi="Times New Roman" w:cs="Times New Roman"/>
            <w:noProof/>
            <w:color w:val="auto"/>
          </w:rPr>
          <w:t>ộ</w:t>
        </w:r>
        <w:r w:rsidR="00D92677" w:rsidRPr="006234AA">
          <w:rPr>
            <w:rStyle w:val="Hyperlink"/>
            <w:noProof/>
            <w:color w:val="auto"/>
          </w:rPr>
          <w:t>i dung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m</w:t>
        </w:r>
        <w:r w:rsidR="00D92677" w:rsidRPr="006234AA">
          <w:rPr>
            <w:rStyle w:val="Hyperlink"/>
            <w:rFonts w:ascii="Times New Roman" w:hAnsi="Times New Roman" w:cs="Times New Roman"/>
            <w:noProof/>
            <w:color w:val="auto"/>
          </w:rPr>
          <w:t>ở</w:t>
        </w:r>
        <w:r w:rsidR="00D92677" w:rsidRPr="006234AA">
          <w:rPr>
            <w:rStyle w:val="Hyperlink"/>
            <w:noProof/>
            <w:color w:val="auto"/>
          </w:rPr>
          <w:t xml:space="preserve"> tài kho</w:t>
        </w:r>
        <w:r w:rsidR="00D92677" w:rsidRPr="006234AA">
          <w:rPr>
            <w:rStyle w:val="Hyperlink"/>
            <w:rFonts w:ascii="Times New Roman" w:hAnsi="Times New Roman" w:cs="Times New Roman"/>
            <w:noProof/>
            <w:color w:val="auto"/>
          </w:rPr>
          <w:t>ả</w:t>
        </w:r>
        <w:r w:rsidR="00D92677" w:rsidRPr="006234AA">
          <w:rPr>
            <w:rStyle w:val="Hyperlink"/>
            <w:noProof/>
            <w:color w:val="auto"/>
          </w:rPr>
          <w:t>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_Toc422672025 \h </w:instrText>
        </w:r>
        <w:r w:rsidRPr="006234AA">
          <w:rPr>
            <w:noProof/>
            <w:webHidden/>
          </w:rPr>
        </w:r>
        <w:r w:rsidRPr="006234AA">
          <w:rPr>
            <w:noProof/>
            <w:webHidden/>
          </w:rPr>
          <w:fldChar w:fldCharType="separate"/>
        </w:r>
        <w:r w:rsidR="00060F30">
          <w:rPr>
            <w:noProof/>
            <w:webHidden/>
          </w:rPr>
          <w:t>94</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26"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6: Báo cáo tình hình ho</w:t>
        </w:r>
        <w:r w:rsidR="00D92677" w:rsidRPr="006234AA">
          <w:rPr>
            <w:rStyle w:val="Hyperlink"/>
            <w:rFonts w:ascii="Times New Roman" w:hAnsi="Times New Roman" w:cs="Times New Roman"/>
            <w:noProof/>
            <w:color w:val="auto"/>
          </w:rPr>
          <w:t>ạ</w:t>
        </w:r>
        <w:r w:rsidR="00D92677" w:rsidRPr="006234AA">
          <w:rPr>
            <w:rStyle w:val="Hyperlink"/>
            <w:noProof/>
            <w:color w:val="auto"/>
          </w:rPr>
          <w:t>t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tháng</w:t>
        </w:r>
        <w:bookmarkStart w:id="0" w:name="_GoBack"/>
        <w:bookmarkEnd w:id="0"/>
        <w:r w:rsidR="00D92677" w:rsidRPr="006234AA">
          <w:rPr>
            <w:noProof/>
            <w:webHidden/>
          </w:rPr>
          <w:tab/>
        </w:r>
        <w:r w:rsidRPr="006234AA">
          <w:rPr>
            <w:noProof/>
            <w:webHidden/>
          </w:rPr>
          <w:fldChar w:fldCharType="begin"/>
        </w:r>
        <w:r w:rsidR="00D92677" w:rsidRPr="006234AA">
          <w:rPr>
            <w:noProof/>
            <w:webHidden/>
          </w:rPr>
          <w:instrText xml:space="preserve"> PAGEREF _Toc422672026 \h </w:instrText>
        </w:r>
        <w:r w:rsidRPr="006234AA">
          <w:rPr>
            <w:noProof/>
            <w:webHidden/>
          </w:rPr>
        </w:r>
        <w:r w:rsidRPr="006234AA">
          <w:rPr>
            <w:noProof/>
            <w:webHidden/>
          </w:rPr>
          <w:fldChar w:fldCharType="separate"/>
        </w:r>
        <w:r w:rsidR="00060F30">
          <w:rPr>
            <w:noProof/>
            <w:webHidden/>
          </w:rPr>
          <w:t>96</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27"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7: Báo cáo t</w:t>
        </w:r>
        <w:r w:rsidR="00D92677" w:rsidRPr="006234AA">
          <w:rPr>
            <w:rStyle w:val="Hyperlink"/>
            <w:rFonts w:ascii="Times New Roman" w:hAnsi="Times New Roman" w:cs="Times New Roman"/>
            <w:noProof/>
            <w:color w:val="auto"/>
          </w:rPr>
          <w:t>ỷ</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ệ</w:t>
        </w:r>
        <w:r w:rsidR="00D92677" w:rsidRPr="006234AA">
          <w:rPr>
            <w:rStyle w:val="Hyperlink"/>
            <w:noProof/>
            <w:color w:val="auto"/>
          </w:rPr>
          <w:t xml:space="preserve"> an toàn tài chính</w:t>
        </w:r>
        <w:r w:rsidR="00D92677" w:rsidRPr="006234AA">
          <w:rPr>
            <w:noProof/>
            <w:webHidden/>
          </w:rPr>
          <w:tab/>
        </w:r>
        <w:r w:rsidRPr="006234AA">
          <w:rPr>
            <w:noProof/>
            <w:webHidden/>
          </w:rPr>
          <w:fldChar w:fldCharType="begin"/>
        </w:r>
        <w:r w:rsidR="00D92677" w:rsidRPr="006234AA">
          <w:rPr>
            <w:noProof/>
            <w:webHidden/>
          </w:rPr>
          <w:instrText xml:space="preserve"> PAGEREF _Toc422672027 \h </w:instrText>
        </w:r>
        <w:r w:rsidRPr="006234AA">
          <w:rPr>
            <w:noProof/>
            <w:webHidden/>
          </w:rPr>
        </w:r>
        <w:r w:rsidRPr="006234AA">
          <w:rPr>
            <w:noProof/>
            <w:webHidden/>
          </w:rPr>
          <w:fldChar w:fldCharType="separate"/>
        </w:r>
        <w:r w:rsidR="00060F30">
          <w:rPr>
            <w:noProof/>
            <w:webHidden/>
          </w:rPr>
          <w:t>110</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28"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8: Ph</w:t>
        </w:r>
        <w:r w:rsidR="00D92677" w:rsidRPr="006234AA">
          <w:rPr>
            <w:rStyle w:val="Hyperlink"/>
            <w:rFonts w:ascii="Times New Roman" w:hAnsi="Times New Roman" w:cs="Times New Roman"/>
            <w:noProof/>
            <w:color w:val="auto"/>
          </w:rPr>
          <w:t>ươ</w:t>
        </w:r>
        <w:r w:rsidR="00D92677" w:rsidRPr="006234AA">
          <w:rPr>
            <w:rStyle w:val="Hyperlink"/>
            <w:noProof/>
            <w:color w:val="auto"/>
          </w:rPr>
          <w:t>ng pháp tính ký qu</w:t>
        </w:r>
        <w:r w:rsidR="00D92677" w:rsidRPr="006234AA">
          <w:rPr>
            <w:rStyle w:val="Hyperlink"/>
            <w:rFonts w:ascii="Times New Roman" w:hAnsi="Times New Roman" w:cs="Times New Roman"/>
            <w:noProof/>
            <w:color w:val="auto"/>
          </w:rPr>
          <w:t>ỹ</w:t>
        </w:r>
        <w:r w:rsidR="00D92677" w:rsidRPr="006234AA">
          <w:rPr>
            <w:noProof/>
            <w:webHidden/>
          </w:rPr>
          <w:tab/>
        </w:r>
        <w:r w:rsidRPr="006234AA">
          <w:rPr>
            <w:noProof/>
            <w:webHidden/>
          </w:rPr>
          <w:fldChar w:fldCharType="begin"/>
        </w:r>
        <w:r w:rsidR="00D92677" w:rsidRPr="006234AA">
          <w:rPr>
            <w:noProof/>
            <w:webHidden/>
          </w:rPr>
          <w:instrText xml:space="preserve"> PAGEREF _Toc422672028 \h </w:instrText>
        </w:r>
        <w:r w:rsidRPr="006234AA">
          <w:rPr>
            <w:noProof/>
            <w:webHidden/>
          </w:rPr>
        </w:r>
        <w:r w:rsidRPr="006234AA">
          <w:rPr>
            <w:noProof/>
            <w:webHidden/>
          </w:rPr>
          <w:fldChar w:fldCharType="separate"/>
        </w:r>
        <w:r w:rsidR="00060F30">
          <w:rPr>
            <w:noProof/>
            <w:webHidden/>
          </w:rPr>
          <w:t>132</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29"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9: Giá lý thuy</w:t>
        </w:r>
        <w:r w:rsidR="00D92677" w:rsidRPr="006234AA">
          <w:rPr>
            <w:rStyle w:val="Hyperlink"/>
            <w:rFonts w:ascii="Times New Roman" w:hAnsi="Times New Roman" w:cs="Times New Roman"/>
            <w:noProof/>
            <w:color w:val="auto"/>
          </w:rPr>
          <w:t>ế</w:t>
        </w:r>
        <w:r w:rsidR="00D92677" w:rsidRPr="006234AA">
          <w:rPr>
            <w:rStyle w:val="Hyperlink"/>
            <w:noProof/>
            <w:color w:val="auto"/>
          </w:rPr>
          <w:t>t c</w:t>
        </w:r>
        <w:r w:rsidR="00D92677" w:rsidRPr="006234AA">
          <w:rPr>
            <w:rStyle w:val="Hyperlink"/>
            <w:rFonts w:ascii="Times New Roman" w:hAnsi="Times New Roman" w:cs="Times New Roman"/>
            <w:noProof/>
            <w:color w:val="auto"/>
          </w:rPr>
          <w:t>ủ</w:t>
        </w:r>
        <w:r w:rsidR="00D92677" w:rsidRPr="006234AA">
          <w:rPr>
            <w:rStyle w:val="Hyperlink"/>
            <w:noProof/>
            <w:color w:val="auto"/>
          </w:rPr>
          <w:t>a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 ch</w:t>
        </w:r>
        <w:r w:rsidR="00D92677" w:rsidRPr="006234AA">
          <w:rPr>
            <w:rStyle w:val="Hyperlink"/>
            <w:rFonts w:ascii="Times New Roman" w:hAnsi="Times New Roman" w:cs="Times New Roman"/>
            <w:noProof/>
            <w:color w:val="auto"/>
          </w:rPr>
          <w:t>ỉ</w:t>
        </w:r>
        <w:r w:rsidR="00D92677" w:rsidRPr="006234AA">
          <w:rPr>
            <w:rStyle w:val="Hyperlink"/>
            <w:noProof/>
            <w:color w:val="auto"/>
          </w:rPr>
          <w:t xml:space="preserve"> s</w:t>
        </w:r>
        <w:r w:rsidR="00D92677" w:rsidRPr="006234AA">
          <w:rPr>
            <w:rStyle w:val="Hyperlink"/>
            <w:rFonts w:ascii="Times New Roman" w:hAnsi="Times New Roman" w:cs="Times New Roman"/>
            <w:noProof/>
            <w:color w:val="auto"/>
          </w:rPr>
          <w:t>ố</w:t>
        </w:r>
        <w:r w:rsidR="00D92677" w:rsidRPr="006234AA">
          <w:rPr>
            <w:noProof/>
            <w:webHidden/>
          </w:rPr>
          <w:tab/>
        </w:r>
        <w:r w:rsidRPr="006234AA">
          <w:rPr>
            <w:noProof/>
            <w:webHidden/>
          </w:rPr>
          <w:fldChar w:fldCharType="begin"/>
        </w:r>
        <w:r w:rsidR="00D92677" w:rsidRPr="006234AA">
          <w:rPr>
            <w:noProof/>
            <w:webHidden/>
          </w:rPr>
          <w:instrText xml:space="preserve"> PAGEREF _Toc422672029 \h </w:instrText>
        </w:r>
        <w:r w:rsidRPr="006234AA">
          <w:rPr>
            <w:noProof/>
            <w:webHidden/>
          </w:rPr>
        </w:r>
        <w:r w:rsidRPr="006234AA">
          <w:rPr>
            <w:noProof/>
            <w:webHidden/>
          </w:rPr>
          <w:fldChar w:fldCharType="separate"/>
        </w:r>
        <w:r w:rsidR="00060F30">
          <w:rPr>
            <w:noProof/>
            <w:webHidden/>
          </w:rPr>
          <w:t>139</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30"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10: Giá lý thuy</w:t>
        </w:r>
        <w:r w:rsidR="00D92677" w:rsidRPr="006234AA">
          <w:rPr>
            <w:rStyle w:val="Hyperlink"/>
            <w:rFonts w:ascii="Times New Roman" w:hAnsi="Times New Roman" w:cs="Times New Roman"/>
            <w:noProof/>
            <w:color w:val="auto"/>
          </w:rPr>
          <w:t>ế</w:t>
        </w:r>
        <w:r w:rsidR="00D92677" w:rsidRPr="006234AA">
          <w:rPr>
            <w:rStyle w:val="Hyperlink"/>
            <w:noProof/>
            <w:color w:val="auto"/>
          </w:rPr>
          <w:t>t c</w:t>
        </w:r>
        <w:r w:rsidR="00D92677" w:rsidRPr="006234AA">
          <w:rPr>
            <w:rStyle w:val="Hyperlink"/>
            <w:rFonts w:ascii="Times New Roman" w:hAnsi="Times New Roman" w:cs="Times New Roman"/>
            <w:noProof/>
            <w:color w:val="auto"/>
          </w:rPr>
          <w:t>ủ</w:t>
        </w:r>
        <w:r w:rsidR="00D92677" w:rsidRPr="006234AA">
          <w:rPr>
            <w:rStyle w:val="Hyperlink"/>
            <w:noProof/>
            <w:color w:val="auto"/>
          </w:rPr>
          <w:t>a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 trái phi</w:t>
        </w:r>
        <w:r w:rsidR="00D92677" w:rsidRPr="006234AA">
          <w:rPr>
            <w:rStyle w:val="Hyperlink"/>
            <w:rFonts w:ascii="Times New Roman" w:hAnsi="Times New Roman" w:cs="Times New Roman"/>
            <w:noProof/>
            <w:color w:val="auto"/>
          </w:rPr>
          <w:t>ế</w:t>
        </w:r>
        <w:r w:rsidR="00D92677" w:rsidRPr="006234AA">
          <w:rPr>
            <w:rStyle w:val="Hyperlink"/>
            <w:noProof/>
            <w:color w:val="auto"/>
          </w:rPr>
          <w:t>u chính ph</w:t>
        </w:r>
        <w:r w:rsidR="00D92677" w:rsidRPr="006234AA">
          <w:rPr>
            <w:rStyle w:val="Hyperlink"/>
            <w:rFonts w:ascii="Times New Roman" w:hAnsi="Times New Roman" w:cs="Times New Roman"/>
            <w:noProof/>
            <w:color w:val="auto"/>
          </w:rPr>
          <w:t>ủ</w:t>
        </w:r>
        <w:r w:rsidR="00D92677" w:rsidRPr="006234AA">
          <w:rPr>
            <w:noProof/>
            <w:webHidden/>
          </w:rPr>
          <w:tab/>
        </w:r>
        <w:r w:rsidRPr="006234AA">
          <w:rPr>
            <w:noProof/>
            <w:webHidden/>
          </w:rPr>
          <w:fldChar w:fldCharType="begin"/>
        </w:r>
        <w:r w:rsidR="00D92677" w:rsidRPr="006234AA">
          <w:rPr>
            <w:noProof/>
            <w:webHidden/>
          </w:rPr>
          <w:instrText xml:space="preserve"> PAGEREF _Toc422672030 \h </w:instrText>
        </w:r>
        <w:r w:rsidRPr="006234AA">
          <w:rPr>
            <w:noProof/>
            <w:webHidden/>
          </w:rPr>
        </w:r>
        <w:r w:rsidRPr="006234AA">
          <w:rPr>
            <w:noProof/>
            <w:webHidden/>
          </w:rPr>
          <w:fldChar w:fldCharType="separate"/>
        </w:r>
        <w:r w:rsidR="00060F30">
          <w:rPr>
            <w:noProof/>
            <w:webHidden/>
          </w:rPr>
          <w:t>140</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31"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11: Khuy</w:t>
        </w:r>
        <w:r w:rsidR="00D92677" w:rsidRPr="006234AA">
          <w:rPr>
            <w:rStyle w:val="Hyperlink"/>
            <w:rFonts w:ascii="Times New Roman" w:hAnsi="Times New Roman" w:cs="Times New Roman"/>
            <w:noProof/>
            <w:color w:val="auto"/>
          </w:rPr>
          <w:t>ế</w:t>
        </w:r>
        <w:r w:rsidR="00D92677" w:rsidRPr="006234AA">
          <w:rPr>
            <w:rStyle w:val="Hyperlink"/>
            <w:noProof/>
            <w:color w:val="auto"/>
          </w:rPr>
          <w:t>n cáo và c</w:t>
        </w:r>
        <w:r w:rsidR="00D92677" w:rsidRPr="006234AA">
          <w:rPr>
            <w:rStyle w:val="Hyperlink"/>
            <w:rFonts w:ascii="Times New Roman" w:hAnsi="Times New Roman" w:cs="Times New Roman"/>
            <w:noProof/>
            <w:color w:val="auto"/>
          </w:rPr>
          <w:t>ả</w:t>
        </w:r>
        <w:r w:rsidR="00D92677" w:rsidRPr="006234AA">
          <w:rPr>
            <w:rStyle w:val="Hyperlink"/>
            <w:noProof/>
            <w:color w:val="auto"/>
          </w:rPr>
          <w:t>nh báo v</w:t>
        </w:r>
        <w:r w:rsidR="00D92677" w:rsidRPr="006234AA">
          <w:rPr>
            <w:rStyle w:val="Hyperlink"/>
            <w:rFonts w:ascii="Times New Roman" w:hAnsi="Times New Roman" w:cs="Times New Roman"/>
            <w:noProof/>
            <w:color w:val="auto"/>
          </w:rPr>
          <w:t>ề</w:t>
        </w:r>
        <w:r w:rsidR="00D92677" w:rsidRPr="006234AA">
          <w:rPr>
            <w:rStyle w:val="Hyperlink"/>
            <w:noProof/>
            <w:color w:val="auto"/>
          </w:rPr>
          <w:t xml:space="preserve"> r</w:t>
        </w:r>
        <w:r w:rsidR="00D92677" w:rsidRPr="006234AA">
          <w:rPr>
            <w:rStyle w:val="Hyperlink"/>
            <w:rFonts w:ascii="Times New Roman" w:hAnsi="Times New Roman" w:cs="Times New Roman"/>
            <w:noProof/>
            <w:color w:val="auto"/>
          </w:rPr>
          <w:t>ủ</w:t>
        </w:r>
        <w:r w:rsidR="00D92677" w:rsidRPr="006234AA">
          <w:rPr>
            <w:rStyle w:val="Hyperlink"/>
            <w:noProof/>
            <w:color w:val="auto"/>
          </w:rPr>
          <w:t>i ro</w:t>
        </w:r>
        <w:r w:rsidR="00D92677" w:rsidRPr="006234AA">
          <w:rPr>
            <w:noProof/>
            <w:webHidden/>
          </w:rPr>
          <w:tab/>
        </w:r>
        <w:r w:rsidRPr="006234AA">
          <w:rPr>
            <w:noProof/>
            <w:webHidden/>
          </w:rPr>
          <w:fldChar w:fldCharType="begin"/>
        </w:r>
        <w:r w:rsidR="00D92677" w:rsidRPr="006234AA">
          <w:rPr>
            <w:noProof/>
            <w:webHidden/>
          </w:rPr>
          <w:instrText xml:space="preserve"> PAGEREF _Toc422672031 \h </w:instrText>
        </w:r>
        <w:r w:rsidRPr="006234AA">
          <w:rPr>
            <w:noProof/>
            <w:webHidden/>
          </w:rPr>
        </w:r>
        <w:r w:rsidRPr="006234AA">
          <w:rPr>
            <w:noProof/>
            <w:webHidden/>
          </w:rPr>
          <w:fldChar w:fldCharType="separate"/>
        </w:r>
        <w:r w:rsidR="00060F30">
          <w:rPr>
            <w:noProof/>
            <w:webHidden/>
          </w:rPr>
          <w:t>142</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32"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12: Thông tin trên l</w:t>
        </w:r>
        <w:r w:rsidR="00D92677" w:rsidRPr="006234AA">
          <w:rPr>
            <w:rStyle w:val="Hyperlink"/>
            <w:rFonts w:ascii="Times New Roman" w:hAnsi="Times New Roman" w:cs="Times New Roman"/>
            <w:noProof/>
            <w:color w:val="auto"/>
          </w:rPr>
          <w:t>ệ</w:t>
        </w:r>
        <w:r w:rsidR="00D92677" w:rsidRPr="006234AA">
          <w:rPr>
            <w:rStyle w:val="Hyperlink"/>
            <w:noProof/>
            <w:color w:val="auto"/>
          </w:rPr>
          <w:t>nh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_Toc422672032 \h </w:instrText>
        </w:r>
        <w:r w:rsidRPr="006234AA">
          <w:rPr>
            <w:noProof/>
            <w:webHidden/>
          </w:rPr>
        </w:r>
        <w:r w:rsidRPr="006234AA">
          <w:rPr>
            <w:noProof/>
            <w:webHidden/>
          </w:rPr>
          <w:fldChar w:fldCharType="separate"/>
        </w:r>
        <w:r w:rsidR="00060F30">
          <w:rPr>
            <w:noProof/>
            <w:webHidden/>
          </w:rPr>
          <w:t>145</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33"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13: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ạ</w:t>
        </w:r>
        <w:r w:rsidR="00D92677" w:rsidRPr="006234AA">
          <w:rPr>
            <w:rStyle w:val="Hyperlink"/>
            <w:noProof/>
            <w:color w:val="auto"/>
          </w:rPr>
          <w:t>o l</w:t>
        </w:r>
        <w:r w:rsidR="00D92677" w:rsidRPr="006234AA">
          <w:rPr>
            <w:rStyle w:val="Hyperlink"/>
            <w:rFonts w:ascii="Times New Roman" w:hAnsi="Times New Roman" w:cs="Times New Roman"/>
            <w:noProof/>
            <w:color w:val="auto"/>
          </w:rPr>
          <w:t>ậ</w:t>
        </w:r>
        <w:r w:rsidR="00D92677" w:rsidRPr="006234AA">
          <w:rPr>
            <w:rStyle w:val="Hyperlink"/>
            <w:noProof/>
            <w:color w:val="auto"/>
          </w:rPr>
          <w:t>p th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tr</w:t>
        </w:r>
        <w:r w:rsidR="00D92677" w:rsidRPr="006234AA">
          <w:rPr>
            <w:rStyle w:val="Hyperlink"/>
            <w:rFonts w:ascii="Times New Roman" w:hAnsi="Times New Roman" w:cs="Times New Roman"/>
            <w:noProof/>
            <w:color w:val="auto"/>
          </w:rPr>
          <w:t>ườ</w:t>
        </w:r>
        <w:r w:rsidR="00D92677" w:rsidRPr="006234AA">
          <w:rPr>
            <w:rStyle w:val="Hyperlink"/>
            <w:noProof/>
            <w:color w:val="auto"/>
          </w:rPr>
          <w:t>ng</w:t>
        </w:r>
        <w:r w:rsidR="00D92677" w:rsidRPr="006234AA">
          <w:rPr>
            <w:noProof/>
            <w:webHidden/>
          </w:rPr>
          <w:tab/>
        </w:r>
        <w:r w:rsidRPr="006234AA">
          <w:rPr>
            <w:noProof/>
            <w:webHidden/>
          </w:rPr>
          <w:fldChar w:fldCharType="begin"/>
        </w:r>
        <w:r w:rsidR="00D92677" w:rsidRPr="006234AA">
          <w:rPr>
            <w:noProof/>
            <w:webHidden/>
          </w:rPr>
          <w:instrText xml:space="preserve"> PAGEREF _Toc422672033 \h </w:instrText>
        </w:r>
        <w:r w:rsidRPr="006234AA">
          <w:rPr>
            <w:noProof/>
            <w:webHidden/>
          </w:rPr>
        </w:r>
        <w:r w:rsidRPr="006234AA">
          <w:rPr>
            <w:noProof/>
            <w:webHidden/>
          </w:rPr>
          <w:fldChar w:fldCharType="separate"/>
        </w:r>
        <w:r w:rsidR="00060F30">
          <w:rPr>
            <w:noProof/>
            <w:webHidden/>
          </w:rPr>
          <w:t>148</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34"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14: Báo cáo v</w:t>
        </w:r>
        <w:r w:rsidR="00D92677" w:rsidRPr="006234AA">
          <w:rPr>
            <w:rStyle w:val="Hyperlink"/>
            <w:rFonts w:ascii="Times New Roman" w:hAnsi="Times New Roman" w:cs="Times New Roman"/>
            <w:noProof/>
            <w:color w:val="auto"/>
          </w:rPr>
          <w:t>ề</w:t>
        </w:r>
        <w:r w:rsidR="00D92677" w:rsidRPr="006234AA">
          <w:rPr>
            <w:rStyle w:val="Hyperlink"/>
            <w:noProof/>
            <w:color w:val="auto"/>
          </w:rPr>
          <w:t xml:space="preserve">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ượ</w:t>
        </w:r>
        <w:r w:rsidR="00D92677" w:rsidRPr="006234AA">
          <w:rPr>
            <w:rStyle w:val="Hyperlink"/>
            <w:noProof/>
            <w:color w:val="auto"/>
          </w:rPr>
          <w:t>ng thanh toán cu</w:t>
        </w:r>
        <w:r w:rsidR="00D92677" w:rsidRPr="006234AA">
          <w:rPr>
            <w:rStyle w:val="Hyperlink"/>
            <w:rFonts w:ascii="Times New Roman" w:hAnsi="Times New Roman" w:cs="Times New Roman"/>
            <w:noProof/>
            <w:color w:val="auto"/>
          </w:rPr>
          <w:t>ố</w:t>
        </w:r>
        <w:r w:rsidR="00D92677" w:rsidRPr="006234AA">
          <w:rPr>
            <w:rStyle w:val="Hyperlink"/>
            <w:noProof/>
            <w:color w:val="auto"/>
          </w:rPr>
          <w:t>i cùng c</w:t>
        </w:r>
        <w:r w:rsidR="00D92677" w:rsidRPr="006234AA">
          <w:rPr>
            <w:rStyle w:val="Hyperlink"/>
            <w:rFonts w:ascii="Times New Roman" w:hAnsi="Times New Roman" w:cs="Times New Roman"/>
            <w:noProof/>
            <w:color w:val="auto"/>
          </w:rPr>
          <w:t>ủ</w:t>
        </w:r>
        <w:r w:rsidR="00D92677" w:rsidRPr="006234AA">
          <w:rPr>
            <w:rStyle w:val="Hyperlink"/>
            <w:noProof/>
            <w:color w:val="auto"/>
          </w:rPr>
          <w:t>a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 trái phi</w:t>
        </w:r>
        <w:r w:rsidR="00D92677" w:rsidRPr="006234AA">
          <w:rPr>
            <w:rStyle w:val="Hyperlink"/>
            <w:rFonts w:ascii="Times New Roman" w:hAnsi="Times New Roman" w:cs="Times New Roman"/>
            <w:noProof/>
            <w:color w:val="auto"/>
          </w:rPr>
          <w:t>ế</w:t>
        </w:r>
        <w:r w:rsidR="00D92677" w:rsidRPr="006234AA">
          <w:rPr>
            <w:rStyle w:val="Hyperlink"/>
            <w:noProof/>
            <w:color w:val="auto"/>
          </w:rPr>
          <w:t>u chính ph</w:t>
        </w:r>
        <w:r w:rsidR="00D92677" w:rsidRPr="006234AA">
          <w:rPr>
            <w:rStyle w:val="Hyperlink"/>
            <w:rFonts w:ascii="Times New Roman" w:hAnsi="Times New Roman" w:cs="Times New Roman"/>
            <w:noProof/>
            <w:color w:val="auto"/>
          </w:rPr>
          <w:t>ủ</w:t>
        </w:r>
        <w:r w:rsidR="00D92677" w:rsidRPr="006234AA">
          <w:rPr>
            <w:rStyle w:val="Hyperlink"/>
            <w:noProof/>
            <w:color w:val="auto"/>
          </w:rPr>
          <w:t xml:space="preserve"> và các trái phi</w:t>
        </w:r>
        <w:r w:rsidR="00D92677" w:rsidRPr="006234AA">
          <w:rPr>
            <w:rStyle w:val="Hyperlink"/>
            <w:rFonts w:ascii="Times New Roman" w:hAnsi="Times New Roman" w:cs="Times New Roman"/>
            <w:noProof/>
            <w:color w:val="auto"/>
          </w:rPr>
          <w:t>ế</w:t>
        </w:r>
        <w:r w:rsidR="00D92677" w:rsidRPr="006234AA">
          <w:rPr>
            <w:rStyle w:val="Hyperlink"/>
            <w:noProof/>
            <w:color w:val="auto"/>
          </w:rPr>
          <w:t>u chuy</w:t>
        </w:r>
        <w:r w:rsidR="00D92677" w:rsidRPr="006234AA">
          <w:rPr>
            <w:rStyle w:val="Hyperlink"/>
            <w:rFonts w:ascii="Times New Roman" w:hAnsi="Times New Roman" w:cs="Times New Roman"/>
            <w:noProof/>
            <w:color w:val="auto"/>
          </w:rPr>
          <w:t>ể</w:t>
        </w:r>
        <w:r w:rsidR="00D92677" w:rsidRPr="006234AA">
          <w:rPr>
            <w:rStyle w:val="Hyperlink"/>
            <w:noProof/>
            <w:color w:val="auto"/>
          </w:rPr>
          <w:t>n giao</w:t>
        </w:r>
        <w:r w:rsidR="00D92677" w:rsidRPr="006234AA">
          <w:rPr>
            <w:noProof/>
            <w:webHidden/>
          </w:rPr>
          <w:tab/>
        </w:r>
        <w:r w:rsidRPr="006234AA">
          <w:rPr>
            <w:noProof/>
            <w:webHidden/>
          </w:rPr>
          <w:fldChar w:fldCharType="begin"/>
        </w:r>
        <w:r w:rsidR="00D92677" w:rsidRPr="006234AA">
          <w:rPr>
            <w:noProof/>
            <w:webHidden/>
          </w:rPr>
          <w:instrText xml:space="preserve"> PAGEREF _Toc422672034 \h </w:instrText>
        </w:r>
        <w:r w:rsidRPr="006234AA">
          <w:rPr>
            <w:noProof/>
            <w:webHidden/>
          </w:rPr>
        </w:r>
        <w:r w:rsidRPr="006234AA">
          <w:rPr>
            <w:noProof/>
            <w:webHidden/>
          </w:rPr>
          <w:fldChar w:fldCharType="separate"/>
        </w:r>
        <w:r w:rsidR="00060F30">
          <w:rPr>
            <w:noProof/>
            <w:webHidden/>
          </w:rPr>
          <w:t>150</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35"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15: Thông báo n</w:t>
        </w:r>
        <w:r w:rsidR="00D92677" w:rsidRPr="006234AA">
          <w:rPr>
            <w:rStyle w:val="Hyperlink"/>
            <w:rFonts w:ascii="Times New Roman" w:hAnsi="Times New Roman" w:cs="Times New Roman"/>
            <w:noProof/>
            <w:color w:val="auto"/>
          </w:rPr>
          <w:t>ộ</w:t>
        </w:r>
        <w:r w:rsidR="00D92677" w:rsidRPr="006234AA">
          <w:rPr>
            <w:rStyle w:val="Hyperlink"/>
            <w:noProof/>
            <w:color w:val="auto"/>
          </w:rPr>
          <w:t>p/yêu c</w:t>
        </w:r>
        <w:r w:rsidR="00D92677" w:rsidRPr="006234AA">
          <w:rPr>
            <w:rStyle w:val="Hyperlink"/>
            <w:rFonts w:ascii="Times New Roman" w:hAnsi="Times New Roman" w:cs="Times New Roman"/>
            <w:noProof/>
            <w:color w:val="auto"/>
          </w:rPr>
          <w:t>ầ</w:t>
        </w:r>
        <w:r w:rsidR="00D92677" w:rsidRPr="006234AA">
          <w:rPr>
            <w:rStyle w:val="Hyperlink"/>
            <w:noProof/>
            <w:color w:val="auto"/>
          </w:rPr>
          <w:t>u rút ti</w:t>
        </w:r>
        <w:r w:rsidR="00D92677" w:rsidRPr="006234AA">
          <w:rPr>
            <w:rStyle w:val="Hyperlink"/>
            <w:rFonts w:ascii="Times New Roman" w:hAnsi="Times New Roman" w:cs="Times New Roman"/>
            <w:noProof/>
            <w:color w:val="auto"/>
          </w:rPr>
          <w:t>ề</w:t>
        </w:r>
        <w:r w:rsidR="00D92677" w:rsidRPr="006234AA">
          <w:rPr>
            <w:rStyle w:val="Hyperlink"/>
            <w:noProof/>
            <w:color w:val="auto"/>
          </w:rPr>
          <w:t>n ký qu</w:t>
        </w:r>
        <w:r w:rsidR="00D92677" w:rsidRPr="006234AA">
          <w:rPr>
            <w:rStyle w:val="Hyperlink"/>
            <w:rFonts w:ascii="Times New Roman" w:hAnsi="Times New Roman" w:cs="Times New Roman"/>
            <w:noProof/>
            <w:color w:val="auto"/>
          </w:rPr>
          <w:t>ỹ</w:t>
        </w:r>
        <w:r w:rsidR="00D92677" w:rsidRPr="006234AA">
          <w:rPr>
            <w:rStyle w:val="Hyperlink"/>
            <w:noProof/>
            <w:color w:val="auto"/>
          </w:rPr>
          <w:t xml:space="preserve"> bù tr</w:t>
        </w:r>
        <w:r w:rsidR="00D92677" w:rsidRPr="006234AA">
          <w:rPr>
            <w:rStyle w:val="Hyperlink"/>
            <w:rFonts w:ascii="Times New Roman" w:hAnsi="Times New Roman" w:cs="Times New Roman"/>
            <w:noProof/>
            <w:color w:val="auto"/>
          </w:rPr>
          <w:t>ừ</w:t>
        </w:r>
        <w:r w:rsidR="00D92677" w:rsidRPr="006234AA">
          <w:rPr>
            <w:rStyle w:val="Hyperlink"/>
            <w:noProof/>
            <w:color w:val="auto"/>
          </w:rPr>
          <w:t>, thanh toán</w:t>
        </w:r>
        <w:r w:rsidR="00D92677" w:rsidRPr="006234AA">
          <w:rPr>
            <w:noProof/>
            <w:webHidden/>
          </w:rPr>
          <w:tab/>
        </w:r>
        <w:r w:rsidRPr="006234AA">
          <w:rPr>
            <w:noProof/>
            <w:webHidden/>
          </w:rPr>
          <w:fldChar w:fldCharType="begin"/>
        </w:r>
        <w:r w:rsidR="00D92677" w:rsidRPr="006234AA">
          <w:rPr>
            <w:noProof/>
            <w:webHidden/>
          </w:rPr>
          <w:instrText xml:space="preserve"> PAGEREF _Toc422672035 \h </w:instrText>
        </w:r>
        <w:r w:rsidRPr="006234AA">
          <w:rPr>
            <w:noProof/>
            <w:webHidden/>
          </w:rPr>
        </w:r>
        <w:r w:rsidRPr="006234AA">
          <w:rPr>
            <w:noProof/>
            <w:webHidden/>
          </w:rPr>
          <w:fldChar w:fldCharType="separate"/>
        </w:r>
        <w:r w:rsidR="00060F30">
          <w:rPr>
            <w:noProof/>
            <w:webHidden/>
          </w:rPr>
          <w:t>152</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36"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16: Thông báo n</w:t>
        </w:r>
        <w:r w:rsidR="00D92677" w:rsidRPr="006234AA">
          <w:rPr>
            <w:rStyle w:val="Hyperlink"/>
            <w:rFonts w:ascii="Times New Roman" w:hAnsi="Times New Roman" w:cs="Times New Roman"/>
            <w:noProof/>
            <w:color w:val="auto"/>
          </w:rPr>
          <w:t>ộ</w:t>
        </w:r>
        <w:r w:rsidR="00D92677" w:rsidRPr="006234AA">
          <w:rPr>
            <w:rStyle w:val="Hyperlink"/>
            <w:noProof/>
            <w:color w:val="auto"/>
          </w:rPr>
          <w:t>p/yêu c</w:t>
        </w:r>
        <w:r w:rsidR="00D92677" w:rsidRPr="006234AA">
          <w:rPr>
            <w:rStyle w:val="Hyperlink"/>
            <w:rFonts w:ascii="Times New Roman" w:hAnsi="Times New Roman" w:cs="Times New Roman"/>
            <w:noProof/>
            <w:color w:val="auto"/>
          </w:rPr>
          <w:t>ầ</w:t>
        </w:r>
        <w:r w:rsidR="00D92677" w:rsidRPr="006234AA">
          <w:rPr>
            <w:rStyle w:val="Hyperlink"/>
            <w:noProof/>
            <w:color w:val="auto"/>
          </w:rPr>
          <w:t>u rút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ký qu</w:t>
        </w:r>
        <w:r w:rsidR="00D92677" w:rsidRPr="006234AA">
          <w:rPr>
            <w:rStyle w:val="Hyperlink"/>
            <w:rFonts w:ascii="Times New Roman" w:hAnsi="Times New Roman" w:cs="Times New Roman"/>
            <w:noProof/>
            <w:color w:val="auto"/>
          </w:rPr>
          <w:t>ỹ</w:t>
        </w:r>
        <w:r w:rsidR="00D92677" w:rsidRPr="006234AA">
          <w:rPr>
            <w:rStyle w:val="Hyperlink"/>
            <w:noProof/>
            <w:color w:val="auto"/>
          </w:rPr>
          <w:t xml:space="preserve"> bù tr</w:t>
        </w:r>
        <w:r w:rsidR="00D92677" w:rsidRPr="006234AA">
          <w:rPr>
            <w:rStyle w:val="Hyperlink"/>
            <w:rFonts w:ascii="Times New Roman" w:hAnsi="Times New Roman" w:cs="Times New Roman"/>
            <w:noProof/>
            <w:color w:val="auto"/>
          </w:rPr>
          <w:t>ừ</w:t>
        </w:r>
        <w:r w:rsidR="00D92677" w:rsidRPr="006234AA">
          <w:rPr>
            <w:rStyle w:val="Hyperlink"/>
            <w:noProof/>
            <w:color w:val="auto"/>
          </w:rPr>
          <w:t>, thanh toán</w:t>
        </w:r>
        <w:r w:rsidR="00D92677" w:rsidRPr="006234AA">
          <w:rPr>
            <w:noProof/>
            <w:webHidden/>
          </w:rPr>
          <w:tab/>
        </w:r>
        <w:r w:rsidRPr="006234AA">
          <w:rPr>
            <w:noProof/>
            <w:webHidden/>
          </w:rPr>
          <w:fldChar w:fldCharType="begin"/>
        </w:r>
        <w:r w:rsidR="00D92677" w:rsidRPr="006234AA">
          <w:rPr>
            <w:noProof/>
            <w:webHidden/>
          </w:rPr>
          <w:instrText xml:space="preserve"> PAGEREF _Toc422672036 \h </w:instrText>
        </w:r>
        <w:r w:rsidRPr="006234AA">
          <w:rPr>
            <w:noProof/>
            <w:webHidden/>
          </w:rPr>
        </w:r>
        <w:r w:rsidRPr="006234AA">
          <w:rPr>
            <w:noProof/>
            <w:webHidden/>
          </w:rPr>
          <w:fldChar w:fldCharType="separate"/>
        </w:r>
        <w:r w:rsidR="00060F30">
          <w:rPr>
            <w:noProof/>
            <w:webHidden/>
          </w:rPr>
          <w:t>154</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37"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17: Gi</w:t>
        </w:r>
        <w:r w:rsidR="00D92677" w:rsidRPr="006234AA">
          <w:rPr>
            <w:rStyle w:val="Hyperlink"/>
            <w:rFonts w:ascii="Times New Roman" w:hAnsi="Times New Roman" w:cs="Times New Roman"/>
            <w:noProof/>
            <w:color w:val="auto"/>
          </w:rPr>
          <w:t>ớ</w:t>
        </w:r>
        <w:r w:rsidR="00D92677" w:rsidRPr="006234AA">
          <w:rPr>
            <w:rStyle w:val="Hyperlink"/>
            <w:noProof/>
            <w:color w:val="auto"/>
          </w:rPr>
          <w:t>i h</w:t>
        </w:r>
        <w:r w:rsidR="00D92677" w:rsidRPr="006234AA">
          <w:rPr>
            <w:rStyle w:val="Hyperlink"/>
            <w:rFonts w:ascii="Times New Roman" w:hAnsi="Times New Roman" w:cs="Times New Roman"/>
            <w:noProof/>
            <w:color w:val="auto"/>
          </w:rPr>
          <w:t>ạ</w:t>
        </w:r>
        <w:r w:rsidR="00D92677" w:rsidRPr="006234AA">
          <w:rPr>
            <w:rStyle w:val="Hyperlink"/>
            <w:noProof/>
            <w:color w:val="auto"/>
          </w:rPr>
          <w:t>n giá và gi</w:t>
        </w:r>
        <w:r w:rsidR="00D92677" w:rsidRPr="006234AA">
          <w:rPr>
            <w:rStyle w:val="Hyperlink"/>
            <w:rFonts w:ascii="Times New Roman" w:hAnsi="Times New Roman" w:cs="Times New Roman"/>
            <w:noProof/>
            <w:color w:val="auto"/>
          </w:rPr>
          <w:t>ớ</w:t>
        </w:r>
        <w:r w:rsidR="00D92677" w:rsidRPr="006234AA">
          <w:rPr>
            <w:rStyle w:val="Hyperlink"/>
            <w:noProof/>
            <w:color w:val="auto"/>
          </w:rPr>
          <w:t>i h</w:t>
        </w:r>
        <w:r w:rsidR="00D92677" w:rsidRPr="006234AA">
          <w:rPr>
            <w:rStyle w:val="Hyperlink"/>
            <w:rFonts w:ascii="Times New Roman" w:hAnsi="Times New Roman" w:cs="Times New Roman"/>
            <w:noProof/>
            <w:color w:val="auto"/>
          </w:rPr>
          <w:t>ạ</w:t>
        </w:r>
        <w:r w:rsidR="00D92677" w:rsidRPr="006234AA">
          <w:rPr>
            <w:rStyle w:val="Hyperlink"/>
            <w:noProof/>
            <w:color w:val="auto"/>
          </w:rPr>
          <w:t>n l</w:t>
        </w:r>
        <w:r w:rsidR="00D92677" w:rsidRPr="006234AA">
          <w:rPr>
            <w:rStyle w:val="Hyperlink"/>
            <w:rFonts w:ascii="Times New Roman" w:hAnsi="Times New Roman" w:cs="Times New Roman"/>
            <w:noProof/>
            <w:color w:val="auto"/>
          </w:rPr>
          <w:t>ệ</w:t>
        </w:r>
        <w:r w:rsidR="00D92677" w:rsidRPr="006234AA">
          <w:rPr>
            <w:rStyle w:val="Hyperlink"/>
            <w:noProof/>
            <w:color w:val="auto"/>
          </w:rPr>
          <w:t>nh</w:t>
        </w:r>
        <w:r w:rsidR="00D92677" w:rsidRPr="006234AA">
          <w:rPr>
            <w:noProof/>
            <w:webHidden/>
          </w:rPr>
          <w:tab/>
        </w:r>
        <w:r w:rsidRPr="006234AA">
          <w:rPr>
            <w:noProof/>
            <w:webHidden/>
          </w:rPr>
          <w:fldChar w:fldCharType="begin"/>
        </w:r>
        <w:r w:rsidR="00D92677" w:rsidRPr="006234AA">
          <w:rPr>
            <w:noProof/>
            <w:webHidden/>
          </w:rPr>
          <w:instrText xml:space="preserve"> PAGEREF _Toc422672037 \h </w:instrText>
        </w:r>
        <w:r w:rsidRPr="006234AA">
          <w:rPr>
            <w:noProof/>
            <w:webHidden/>
          </w:rPr>
        </w:r>
        <w:r w:rsidRPr="006234AA">
          <w:rPr>
            <w:noProof/>
            <w:webHidden/>
          </w:rPr>
          <w:fldChar w:fldCharType="separate"/>
        </w:r>
        <w:r w:rsidR="00060F30">
          <w:rPr>
            <w:noProof/>
            <w:webHidden/>
          </w:rPr>
          <w:t>156</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38"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18: T</w:t>
        </w:r>
        <w:r w:rsidR="00D92677" w:rsidRPr="006234AA">
          <w:rPr>
            <w:rStyle w:val="Hyperlink"/>
            <w:rFonts w:ascii="Times New Roman" w:hAnsi="Times New Roman" w:cs="Times New Roman"/>
            <w:noProof/>
            <w:color w:val="auto"/>
          </w:rPr>
          <w:t>ỷ</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ệ</w:t>
        </w:r>
        <w:r w:rsidR="00D92677" w:rsidRPr="006234AA">
          <w:rPr>
            <w:rStyle w:val="Hyperlink"/>
            <w:noProof/>
            <w:color w:val="auto"/>
          </w:rPr>
          <w:t xml:space="preserve"> kh</w:t>
        </w:r>
        <w:r w:rsidR="00D92677" w:rsidRPr="006234AA">
          <w:rPr>
            <w:rStyle w:val="Hyperlink"/>
            <w:rFonts w:ascii="Times New Roman" w:hAnsi="Times New Roman" w:cs="Times New Roman"/>
            <w:noProof/>
            <w:color w:val="auto"/>
          </w:rPr>
          <w:t>ấ</w:t>
        </w:r>
        <w:r w:rsidR="00D92677" w:rsidRPr="006234AA">
          <w:rPr>
            <w:rStyle w:val="Hyperlink"/>
            <w:noProof/>
            <w:color w:val="auto"/>
          </w:rPr>
          <w:t>u tr</w:t>
        </w:r>
        <w:r w:rsidR="00D92677" w:rsidRPr="006234AA">
          <w:rPr>
            <w:rStyle w:val="Hyperlink"/>
            <w:rFonts w:ascii="Times New Roman" w:hAnsi="Times New Roman" w:cs="Times New Roman"/>
            <w:noProof/>
            <w:color w:val="auto"/>
          </w:rPr>
          <w:t>ừ</w:t>
        </w:r>
        <w:r w:rsidR="00D92677" w:rsidRPr="006234AA">
          <w:rPr>
            <w:rStyle w:val="Hyperlink"/>
            <w:noProof/>
            <w:color w:val="auto"/>
          </w:rPr>
          <w:t xml:space="preserve"> r</w:t>
        </w:r>
        <w:r w:rsidR="00D92677" w:rsidRPr="006234AA">
          <w:rPr>
            <w:rStyle w:val="Hyperlink"/>
            <w:rFonts w:ascii="Times New Roman" w:hAnsi="Times New Roman" w:cs="Times New Roman"/>
            <w:noProof/>
            <w:color w:val="auto"/>
          </w:rPr>
          <w:t>ủ</w:t>
        </w:r>
        <w:r w:rsidR="00D92677" w:rsidRPr="006234AA">
          <w:rPr>
            <w:rStyle w:val="Hyperlink"/>
            <w:noProof/>
            <w:color w:val="auto"/>
          </w:rPr>
          <w:t>i ro th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tr</w:t>
        </w:r>
        <w:r w:rsidR="00D92677" w:rsidRPr="006234AA">
          <w:rPr>
            <w:rStyle w:val="Hyperlink"/>
            <w:rFonts w:ascii="Times New Roman" w:hAnsi="Times New Roman" w:cs="Times New Roman"/>
            <w:noProof/>
            <w:color w:val="auto"/>
          </w:rPr>
          <w:t>ườ</w:t>
        </w:r>
        <w:r w:rsidR="00D92677" w:rsidRPr="006234AA">
          <w:rPr>
            <w:rStyle w:val="Hyperlink"/>
            <w:noProof/>
            <w:color w:val="auto"/>
          </w:rPr>
          <w:t>ng đ</w:t>
        </w:r>
        <w:r w:rsidR="00D92677" w:rsidRPr="006234AA">
          <w:rPr>
            <w:rStyle w:val="Hyperlink"/>
            <w:rFonts w:ascii="Times New Roman" w:hAnsi="Times New Roman" w:cs="Times New Roman"/>
            <w:noProof/>
            <w:color w:val="auto"/>
          </w:rPr>
          <w:t>ố</w:t>
        </w:r>
        <w:r w:rsidR="00D92677" w:rsidRPr="006234AA">
          <w:rPr>
            <w:rStyle w:val="Hyperlink"/>
            <w:noProof/>
            <w:color w:val="auto"/>
          </w:rPr>
          <w:t>i v</w:t>
        </w:r>
        <w:r w:rsidR="00D92677" w:rsidRPr="006234AA">
          <w:rPr>
            <w:rStyle w:val="Hyperlink"/>
            <w:rFonts w:ascii="Times New Roman" w:hAnsi="Times New Roman" w:cs="Times New Roman"/>
            <w:noProof/>
            <w:color w:val="auto"/>
          </w:rPr>
          <w:t>ớ</w:t>
        </w:r>
        <w:r w:rsidR="00D92677" w:rsidRPr="006234AA">
          <w:rPr>
            <w:rStyle w:val="Hyperlink"/>
            <w:noProof/>
            <w:color w:val="auto"/>
          </w:rPr>
          <w:t>i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đ</w:t>
        </w:r>
        <w:r w:rsidR="00D92677" w:rsidRPr="006234AA">
          <w:rPr>
            <w:rStyle w:val="Hyperlink"/>
            <w:rFonts w:ascii="Times New Roman" w:hAnsi="Times New Roman" w:cs="Times New Roman"/>
            <w:noProof/>
            <w:color w:val="auto"/>
          </w:rPr>
          <w:t>ượ</w:t>
        </w:r>
        <w:r w:rsidR="00D92677" w:rsidRPr="006234AA">
          <w:rPr>
            <w:rStyle w:val="Hyperlink"/>
            <w:noProof/>
            <w:color w:val="auto"/>
          </w:rPr>
          <w:t>c ch</w:t>
        </w:r>
        <w:r w:rsidR="00D92677" w:rsidRPr="006234AA">
          <w:rPr>
            <w:rStyle w:val="Hyperlink"/>
            <w:rFonts w:ascii="Times New Roman" w:hAnsi="Times New Roman" w:cs="Times New Roman"/>
            <w:noProof/>
            <w:color w:val="auto"/>
          </w:rPr>
          <w:t>ấ</w:t>
        </w:r>
        <w:r w:rsidR="00D92677" w:rsidRPr="006234AA">
          <w:rPr>
            <w:rStyle w:val="Hyperlink"/>
            <w:noProof/>
            <w:color w:val="auto"/>
          </w:rPr>
          <w:t>p nh</w:t>
        </w:r>
        <w:r w:rsidR="00D92677" w:rsidRPr="006234AA">
          <w:rPr>
            <w:rStyle w:val="Hyperlink"/>
            <w:rFonts w:ascii="Times New Roman" w:hAnsi="Times New Roman" w:cs="Times New Roman"/>
            <w:noProof/>
            <w:color w:val="auto"/>
          </w:rPr>
          <w:t>ậ</w:t>
        </w:r>
        <w:r w:rsidR="00D92677" w:rsidRPr="006234AA">
          <w:rPr>
            <w:rStyle w:val="Hyperlink"/>
            <w:noProof/>
            <w:color w:val="auto"/>
          </w:rPr>
          <w:t>n ký qu</w:t>
        </w:r>
        <w:r w:rsidR="00D92677" w:rsidRPr="006234AA">
          <w:rPr>
            <w:rStyle w:val="Hyperlink"/>
            <w:rFonts w:ascii="Times New Roman" w:hAnsi="Times New Roman" w:cs="Times New Roman"/>
            <w:noProof/>
            <w:color w:val="auto"/>
          </w:rPr>
          <w:t>ỹ</w:t>
        </w:r>
        <w:r w:rsidR="00D92677" w:rsidRPr="006234AA">
          <w:rPr>
            <w:noProof/>
            <w:webHidden/>
          </w:rPr>
          <w:tab/>
        </w:r>
        <w:r w:rsidRPr="006234AA">
          <w:rPr>
            <w:noProof/>
            <w:webHidden/>
          </w:rPr>
          <w:fldChar w:fldCharType="begin"/>
        </w:r>
        <w:r w:rsidR="00D92677" w:rsidRPr="006234AA">
          <w:rPr>
            <w:noProof/>
            <w:webHidden/>
          </w:rPr>
          <w:instrText xml:space="preserve"> PAGEREF _Toc422672038 \h </w:instrText>
        </w:r>
        <w:r w:rsidRPr="006234AA">
          <w:rPr>
            <w:noProof/>
            <w:webHidden/>
          </w:rPr>
        </w:r>
        <w:r w:rsidRPr="006234AA">
          <w:rPr>
            <w:noProof/>
            <w:webHidden/>
          </w:rPr>
          <w:fldChar w:fldCharType="separate"/>
        </w:r>
        <w:r w:rsidR="00060F30">
          <w:rPr>
            <w:noProof/>
            <w:webHidden/>
          </w:rPr>
          <w:t>158</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39"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19: Báo cáo v</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th</w:t>
        </w:r>
        <w:r w:rsidR="00D92677" w:rsidRPr="006234AA">
          <w:rPr>
            <w:rStyle w:val="Hyperlink"/>
            <w:rFonts w:ascii="Times New Roman" w:hAnsi="Times New Roman" w:cs="Times New Roman"/>
            <w:noProof/>
            <w:color w:val="auto"/>
          </w:rPr>
          <w:t>ế</w:t>
        </w:r>
        <w:r w:rsidR="00D92677" w:rsidRPr="006234AA">
          <w:rPr>
            <w:rStyle w:val="Hyperlink"/>
            <w:noProof/>
            <w:color w:val="auto"/>
          </w:rPr>
          <w:t xml:space="preserve"> n</w:t>
        </w:r>
        <w:r w:rsidR="00D92677" w:rsidRPr="006234AA">
          <w:rPr>
            <w:rStyle w:val="Hyperlink"/>
            <w:rFonts w:ascii="Times New Roman" w:hAnsi="Times New Roman" w:cs="Times New Roman"/>
            <w:noProof/>
            <w:color w:val="auto"/>
          </w:rPr>
          <w:t>ắ</w:t>
        </w:r>
        <w:r w:rsidR="00D92677" w:rsidRPr="006234AA">
          <w:rPr>
            <w:rStyle w:val="Hyperlink"/>
            <w:noProof/>
            <w:color w:val="auto"/>
          </w:rPr>
          <w:t>m gi</w:t>
        </w:r>
        <w:r w:rsidR="00D92677" w:rsidRPr="006234AA">
          <w:rPr>
            <w:rStyle w:val="Hyperlink"/>
            <w:rFonts w:ascii="Times New Roman" w:hAnsi="Times New Roman" w:cs="Times New Roman"/>
            <w:noProof/>
            <w:color w:val="auto"/>
          </w:rPr>
          <w:t>ữ</w:t>
        </w:r>
        <w:r w:rsidR="00D92677" w:rsidRPr="006234AA">
          <w:rPr>
            <w:rStyle w:val="Hyperlink"/>
            <w:noProof/>
            <w:color w:val="auto"/>
          </w:rPr>
          <w:t xml:space="preserve"> cho m</w:t>
        </w:r>
        <w:r w:rsidR="00D92677" w:rsidRPr="006234AA">
          <w:rPr>
            <w:rStyle w:val="Hyperlink"/>
            <w:rFonts w:ascii="Times New Roman" w:hAnsi="Times New Roman" w:cs="Times New Roman"/>
            <w:noProof/>
            <w:color w:val="auto"/>
          </w:rPr>
          <w:t>ụ</w:t>
        </w:r>
        <w:r w:rsidR="00D92677" w:rsidRPr="006234AA">
          <w:rPr>
            <w:rStyle w:val="Hyperlink"/>
            <w:noProof/>
            <w:color w:val="auto"/>
          </w:rPr>
          <w:t>c đích phòng v</w:t>
        </w:r>
        <w:r w:rsidR="00D92677" w:rsidRPr="006234AA">
          <w:rPr>
            <w:rStyle w:val="Hyperlink"/>
            <w:rFonts w:ascii="Times New Roman" w:hAnsi="Times New Roman" w:cs="Times New Roman"/>
            <w:noProof/>
            <w:color w:val="auto"/>
          </w:rPr>
          <w:t>ệ</w:t>
        </w:r>
        <w:r w:rsidR="00D92677" w:rsidRPr="006234AA">
          <w:rPr>
            <w:rStyle w:val="Hyperlink"/>
            <w:noProof/>
            <w:color w:val="auto"/>
          </w:rPr>
          <w:t xml:space="preserve"> r</w:t>
        </w:r>
        <w:r w:rsidR="00D92677" w:rsidRPr="006234AA">
          <w:rPr>
            <w:rStyle w:val="Hyperlink"/>
            <w:rFonts w:ascii="Times New Roman" w:hAnsi="Times New Roman" w:cs="Times New Roman"/>
            <w:noProof/>
            <w:color w:val="auto"/>
          </w:rPr>
          <w:t>ủ</w:t>
        </w:r>
        <w:r w:rsidR="00D92677" w:rsidRPr="006234AA">
          <w:rPr>
            <w:rStyle w:val="Hyperlink"/>
            <w:noProof/>
            <w:color w:val="auto"/>
          </w:rPr>
          <w:t>i ro (hedging) ho</w:t>
        </w:r>
        <w:r w:rsidR="00D92677" w:rsidRPr="006234AA">
          <w:rPr>
            <w:rStyle w:val="Hyperlink"/>
            <w:rFonts w:ascii="Times New Roman" w:hAnsi="Times New Roman" w:cs="Times New Roman"/>
            <w:noProof/>
            <w:color w:val="auto"/>
          </w:rPr>
          <w:t>ặ</w:t>
        </w:r>
        <w:r w:rsidR="00D92677" w:rsidRPr="006234AA">
          <w:rPr>
            <w:rStyle w:val="Hyperlink"/>
            <w:noProof/>
            <w:color w:val="auto"/>
          </w:rPr>
          <w:t>c chênh l</w:t>
        </w:r>
        <w:r w:rsidR="00D92677" w:rsidRPr="006234AA">
          <w:rPr>
            <w:rStyle w:val="Hyperlink"/>
            <w:rFonts w:ascii="Times New Roman" w:hAnsi="Times New Roman" w:cs="Times New Roman"/>
            <w:noProof/>
            <w:color w:val="auto"/>
          </w:rPr>
          <w:t>ệ</w:t>
        </w:r>
        <w:r w:rsidR="00D92677" w:rsidRPr="006234AA">
          <w:rPr>
            <w:rStyle w:val="Hyperlink"/>
            <w:noProof/>
            <w:color w:val="auto"/>
          </w:rPr>
          <w:t>ch giá (arbitraging)</w:t>
        </w:r>
        <w:r w:rsidR="00D92677" w:rsidRPr="006234AA">
          <w:rPr>
            <w:noProof/>
            <w:webHidden/>
          </w:rPr>
          <w:tab/>
        </w:r>
        <w:r w:rsidRPr="006234AA">
          <w:rPr>
            <w:noProof/>
            <w:webHidden/>
          </w:rPr>
          <w:fldChar w:fldCharType="begin"/>
        </w:r>
        <w:r w:rsidR="00D92677" w:rsidRPr="006234AA">
          <w:rPr>
            <w:noProof/>
            <w:webHidden/>
          </w:rPr>
          <w:instrText xml:space="preserve"> PAGEREF _Toc422672039 \h </w:instrText>
        </w:r>
        <w:r w:rsidRPr="006234AA">
          <w:rPr>
            <w:noProof/>
            <w:webHidden/>
          </w:rPr>
        </w:r>
        <w:r w:rsidRPr="006234AA">
          <w:rPr>
            <w:noProof/>
            <w:webHidden/>
          </w:rPr>
          <w:fldChar w:fldCharType="separate"/>
        </w:r>
        <w:r w:rsidR="00060F30">
          <w:rPr>
            <w:noProof/>
            <w:webHidden/>
          </w:rPr>
          <w:t>160</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40"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20: Ph</w:t>
        </w:r>
        <w:r w:rsidR="00D92677" w:rsidRPr="006234AA">
          <w:rPr>
            <w:rStyle w:val="Hyperlink"/>
            <w:rFonts w:ascii="Times New Roman" w:hAnsi="Times New Roman" w:cs="Times New Roman"/>
            <w:noProof/>
            <w:color w:val="auto"/>
          </w:rPr>
          <w:t>ươ</w:t>
        </w:r>
        <w:r w:rsidR="00D92677" w:rsidRPr="006234AA">
          <w:rPr>
            <w:rStyle w:val="Hyperlink"/>
            <w:noProof/>
            <w:color w:val="auto"/>
          </w:rPr>
          <w:t>ng án nghi</w:t>
        </w:r>
        <w:r w:rsidR="00D92677" w:rsidRPr="006234AA">
          <w:rPr>
            <w:rStyle w:val="Hyperlink"/>
            <w:rFonts w:ascii="Times New Roman" w:hAnsi="Times New Roman" w:cs="Times New Roman"/>
            <w:noProof/>
            <w:color w:val="auto"/>
          </w:rPr>
          <w:t>ệ</w:t>
        </w:r>
        <w:r w:rsidR="00D92677" w:rsidRPr="006234AA">
          <w:rPr>
            <w:rStyle w:val="Hyperlink"/>
            <w:noProof/>
            <w:color w:val="auto"/>
          </w:rPr>
          <w:t>p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kinh doanh trong ba năm đ</w:t>
        </w:r>
        <w:r w:rsidR="00D92677" w:rsidRPr="006234AA">
          <w:rPr>
            <w:rStyle w:val="Hyperlink"/>
            <w:rFonts w:ascii="Times New Roman" w:hAnsi="Times New Roman" w:cs="Times New Roman"/>
            <w:noProof/>
            <w:color w:val="auto"/>
          </w:rPr>
          <w:t>ầ</w:t>
        </w:r>
        <w:r w:rsidR="00D92677" w:rsidRPr="006234AA">
          <w:rPr>
            <w:rStyle w:val="Hyperlink"/>
            <w:noProof/>
            <w:color w:val="auto"/>
          </w:rPr>
          <w:t>u đ</w:t>
        </w:r>
        <w:r w:rsidR="00D92677" w:rsidRPr="006234AA">
          <w:rPr>
            <w:rStyle w:val="Hyperlink"/>
            <w:rFonts w:ascii="Times New Roman" w:hAnsi="Times New Roman" w:cs="Times New Roman"/>
            <w:noProof/>
            <w:color w:val="auto"/>
          </w:rPr>
          <w:t>ố</w:t>
        </w:r>
        <w:r w:rsidR="00D92677" w:rsidRPr="006234AA">
          <w:rPr>
            <w:rStyle w:val="Hyperlink"/>
            <w:noProof/>
            <w:color w:val="auto"/>
          </w:rPr>
          <w:t>i v</w:t>
        </w:r>
        <w:r w:rsidR="00D92677" w:rsidRPr="006234AA">
          <w:rPr>
            <w:rStyle w:val="Hyperlink"/>
            <w:rFonts w:ascii="Times New Roman" w:hAnsi="Times New Roman" w:cs="Times New Roman"/>
            <w:noProof/>
            <w:color w:val="auto"/>
          </w:rPr>
          <w:t>ớ</w:t>
        </w:r>
        <w:r w:rsidR="00D92677" w:rsidRPr="006234AA">
          <w:rPr>
            <w:rStyle w:val="Hyperlink"/>
            <w:noProof/>
            <w:color w:val="auto"/>
          </w:rPr>
          <w:t>i nghi</w:t>
        </w:r>
        <w:r w:rsidR="00D92677" w:rsidRPr="006234AA">
          <w:rPr>
            <w:rStyle w:val="Hyperlink"/>
            <w:rFonts w:ascii="Times New Roman" w:hAnsi="Times New Roman" w:cs="Times New Roman"/>
            <w:noProof/>
            <w:color w:val="auto"/>
          </w:rPr>
          <w:t>ệ</w:t>
        </w:r>
        <w:r w:rsidR="00D92677" w:rsidRPr="006234AA">
          <w:rPr>
            <w:rStyle w:val="Hyperlink"/>
            <w:noProof/>
            <w:color w:val="auto"/>
          </w:rPr>
          <w:t>p v</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đ</w:t>
        </w:r>
        <w:r w:rsidR="00D92677" w:rsidRPr="006234AA">
          <w:rPr>
            <w:rStyle w:val="Hyperlink"/>
            <w:rFonts w:ascii="Times New Roman" w:hAnsi="Times New Roman" w:cs="Times New Roman"/>
            <w:noProof/>
            <w:color w:val="auto"/>
          </w:rPr>
          <w:t>ề</w:t>
        </w:r>
        <w:r w:rsidR="00D92677" w:rsidRPr="006234AA">
          <w:rPr>
            <w:rStyle w:val="Hyperlink"/>
            <w:noProof/>
            <w:color w:val="auto"/>
          </w:rPr>
          <w:t xml:space="preserve"> ngh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b</w:t>
        </w:r>
        <w:r w:rsidR="00D92677" w:rsidRPr="006234AA">
          <w:rPr>
            <w:rStyle w:val="Hyperlink"/>
            <w:rFonts w:ascii="Times New Roman" w:hAnsi="Times New Roman" w:cs="Times New Roman"/>
            <w:noProof/>
            <w:color w:val="auto"/>
          </w:rPr>
          <w:t>ổ</w:t>
        </w:r>
        <w:r w:rsidR="00D92677" w:rsidRPr="006234AA">
          <w:rPr>
            <w:rStyle w:val="Hyperlink"/>
            <w:noProof/>
            <w:color w:val="auto"/>
          </w:rPr>
          <w:t xml:space="preserve"> sung</w:t>
        </w:r>
        <w:r w:rsidR="00D92677" w:rsidRPr="006234AA">
          <w:rPr>
            <w:noProof/>
            <w:webHidden/>
          </w:rPr>
          <w:tab/>
        </w:r>
        <w:r w:rsidRPr="006234AA">
          <w:rPr>
            <w:noProof/>
            <w:webHidden/>
          </w:rPr>
          <w:fldChar w:fldCharType="begin"/>
        </w:r>
        <w:r w:rsidR="00D92677" w:rsidRPr="006234AA">
          <w:rPr>
            <w:noProof/>
            <w:webHidden/>
          </w:rPr>
          <w:instrText xml:space="preserve"> PAGEREF _Toc422672040 \h </w:instrText>
        </w:r>
        <w:r w:rsidRPr="006234AA">
          <w:rPr>
            <w:noProof/>
            <w:webHidden/>
          </w:rPr>
        </w:r>
        <w:r w:rsidRPr="006234AA">
          <w:rPr>
            <w:noProof/>
            <w:webHidden/>
          </w:rPr>
          <w:fldChar w:fldCharType="separate"/>
        </w:r>
        <w:r w:rsidR="00060F30">
          <w:rPr>
            <w:noProof/>
            <w:webHidden/>
          </w:rPr>
          <w:t>163</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41"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21: Gi</w:t>
        </w:r>
        <w:r w:rsidR="00D92677" w:rsidRPr="006234AA">
          <w:rPr>
            <w:rStyle w:val="Hyperlink"/>
            <w:rFonts w:ascii="Times New Roman" w:hAnsi="Times New Roman" w:cs="Times New Roman"/>
            <w:noProof/>
            <w:color w:val="auto"/>
          </w:rPr>
          <w:t>ấ</w:t>
        </w:r>
        <w:r w:rsidR="00D92677" w:rsidRPr="006234AA">
          <w:rPr>
            <w:rStyle w:val="Hyperlink"/>
            <w:noProof/>
            <w:color w:val="auto"/>
          </w:rPr>
          <w:t>y đ</w:t>
        </w:r>
        <w:r w:rsidR="00D92677" w:rsidRPr="006234AA">
          <w:rPr>
            <w:rStyle w:val="Hyperlink"/>
            <w:rFonts w:ascii="Times New Roman" w:hAnsi="Times New Roman" w:cs="Times New Roman"/>
            <w:noProof/>
            <w:color w:val="auto"/>
          </w:rPr>
          <w:t>ề</w:t>
        </w:r>
        <w:r w:rsidR="00D92677" w:rsidRPr="006234AA">
          <w:rPr>
            <w:rStyle w:val="Hyperlink"/>
            <w:noProof/>
            <w:color w:val="auto"/>
          </w:rPr>
          <w:t xml:space="preserve"> ngh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m</w:t>
        </w:r>
        <w:r w:rsidR="00D92677" w:rsidRPr="006234AA">
          <w:rPr>
            <w:rStyle w:val="Hyperlink"/>
            <w:rFonts w:ascii="Times New Roman" w:hAnsi="Times New Roman" w:cs="Times New Roman"/>
            <w:noProof/>
            <w:color w:val="auto"/>
          </w:rPr>
          <w:t>ở</w:t>
        </w:r>
        <w:r w:rsidR="00D92677" w:rsidRPr="006234AA">
          <w:rPr>
            <w:rStyle w:val="Hyperlink"/>
            <w:noProof/>
            <w:color w:val="auto"/>
          </w:rPr>
          <w:t xml:space="preserve"> tài kho</w:t>
        </w:r>
        <w:r w:rsidR="00D92677" w:rsidRPr="006234AA">
          <w:rPr>
            <w:rStyle w:val="Hyperlink"/>
            <w:rFonts w:ascii="Times New Roman" w:hAnsi="Times New Roman" w:cs="Times New Roman"/>
            <w:noProof/>
            <w:color w:val="auto"/>
          </w:rPr>
          <w:t>ả</w:t>
        </w:r>
        <w:r w:rsidR="00D92677" w:rsidRPr="006234AA">
          <w:rPr>
            <w:rStyle w:val="Hyperlink"/>
            <w:noProof/>
            <w:color w:val="auto"/>
          </w:rPr>
          <w:t>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phái sinh</w:t>
        </w:r>
        <w:r w:rsidR="00D92677" w:rsidRPr="006234AA">
          <w:rPr>
            <w:noProof/>
            <w:webHidden/>
          </w:rPr>
          <w:tab/>
        </w:r>
        <w:r w:rsidRPr="006234AA">
          <w:rPr>
            <w:noProof/>
            <w:webHidden/>
          </w:rPr>
          <w:fldChar w:fldCharType="begin"/>
        </w:r>
        <w:r w:rsidR="00D92677" w:rsidRPr="006234AA">
          <w:rPr>
            <w:noProof/>
            <w:webHidden/>
          </w:rPr>
          <w:instrText xml:space="preserve"> PAGEREF _Toc422672041 \h </w:instrText>
        </w:r>
        <w:r w:rsidRPr="006234AA">
          <w:rPr>
            <w:noProof/>
            <w:webHidden/>
          </w:rPr>
        </w:r>
        <w:r w:rsidRPr="006234AA">
          <w:rPr>
            <w:noProof/>
            <w:webHidden/>
          </w:rPr>
          <w:fldChar w:fldCharType="separate"/>
        </w:r>
        <w:r w:rsidR="00060F30">
          <w:rPr>
            <w:noProof/>
            <w:webHidden/>
          </w:rPr>
          <w:t>165</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42"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22: Báo cáo tình hình ho</w:t>
        </w:r>
        <w:r w:rsidR="00D92677" w:rsidRPr="006234AA">
          <w:rPr>
            <w:rStyle w:val="Hyperlink"/>
            <w:rFonts w:ascii="Times New Roman" w:hAnsi="Times New Roman" w:cs="Times New Roman"/>
            <w:noProof/>
            <w:color w:val="auto"/>
          </w:rPr>
          <w:t>ạ</w:t>
        </w:r>
        <w:r w:rsidR="00D92677" w:rsidRPr="006234AA">
          <w:rPr>
            <w:rStyle w:val="Hyperlink"/>
            <w:noProof/>
            <w:color w:val="auto"/>
          </w:rPr>
          <w:t>t đ</w:t>
        </w:r>
        <w:r w:rsidR="00D92677" w:rsidRPr="006234AA">
          <w:rPr>
            <w:rStyle w:val="Hyperlink"/>
            <w:rFonts w:ascii="Times New Roman" w:hAnsi="Times New Roman" w:cs="Times New Roman"/>
            <w:noProof/>
            <w:color w:val="auto"/>
          </w:rPr>
          <w:t>ộ</w:t>
        </w:r>
        <w:r w:rsidR="00D92677" w:rsidRPr="006234AA">
          <w:rPr>
            <w:rStyle w:val="Hyperlink"/>
            <w:noProof/>
            <w:color w:val="auto"/>
          </w:rPr>
          <w:t>ng hàng tháng c</w:t>
        </w:r>
        <w:r w:rsidR="00D92677" w:rsidRPr="006234AA">
          <w:rPr>
            <w:rStyle w:val="Hyperlink"/>
            <w:rFonts w:ascii="Times New Roman" w:hAnsi="Times New Roman" w:cs="Times New Roman"/>
            <w:noProof/>
            <w:color w:val="auto"/>
          </w:rPr>
          <w:t>ủ</w:t>
        </w:r>
        <w:r w:rsidR="00D92677" w:rsidRPr="006234AA">
          <w:rPr>
            <w:rStyle w:val="Hyperlink"/>
            <w:noProof/>
            <w:color w:val="auto"/>
          </w:rPr>
          <w:t>a Trung tâm l</w:t>
        </w:r>
        <w:r w:rsidR="00D92677" w:rsidRPr="006234AA">
          <w:rPr>
            <w:rStyle w:val="Hyperlink"/>
            <w:rFonts w:ascii="Times New Roman" w:hAnsi="Times New Roman" w:cs="Times New Roman"/>
            <w:noProof/>
            <w:color w:val="auto"/>
          </w:rPr>
          <w:t>ư</w:t>
        </w:r>
        <w:r w:rsidR="00D92677" w:rsidRPr="006234AA">
          <w:rPr>
            <w:rStyle w:val="Hyperlink"/>
            <w:noProof/>
            <w:color w:val="auto"/>
          </w:rPr>
          <w:t>u ký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w:t>
        </w:r>
        <w:r w:rsidR="00D92677" w:rsidRPr="006234AA">
          <w:rPr>
            <w:noProof/>
            <w:webHidden/>
          </w:rPr>
          <w:tab/>
        </w:r>
        <w:r w:rsidRPr="006234AA">
          <w:rPr>
            <w:noProof/>
            <w:webHidden/>
          </w:rPr>
          <w:fldChar w:fldCharType="begin"/>
        </w:r>
        <w:r w:rsidR="00D92677" w:rsidRPr="006234AA">
          <w:rPr>
            <w:noProof/>
            <w:webHidden/>
          </w:rPr>
          <w:instrText xml:space="preserve"> PAGEREF _Toc422672042 \h </w:instrText>
        </w:r>
        <w:r w:rsidRPr="006234AA">
          <w:rPr>
            <w:noProof/>
            <w:webHidden/>
          </w:rPr>
        </w:r>
        <w:r w:rsidRPr="006234AA">
          <w:rPr>
            <w:noProof/>
            <w:webHidden/>
          </w:rPr>
          <w:fldChar w:fldCharType="separate"/>
        </w:r>
        <w:r w:rsidR="00060F30">
          <w:rPr>
            <w:noProof/>
            <w:webHidden/>
          </w:rPr>
          <w:t>167</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43"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23: Cách xác đ</w:t>
        </w:r>
        <w:r w:rsidR="00D92677" w:rsidRPr="006234AA">
          <w:rPr>
            <w:rStyle w:val="Hyperlink"/>
            <w:rFonts w:ascii="Times New Roman" w:hAnsi="Times New Roman" w:cs="Times New Roman"/>
            <w:noProof/>
            <w:color w:val="auto"/>
          </w:rPr>
          <w:t>ị</w:t>
        </w:r>
        <w:r w:rsidR="00D92677" w:rsidRPr="006234AA">
          <w:rPr>
            <w:rStyle w:val="Hyperlink"/>
            <w:noProof/>
            <w:color w:val="auto"/>
          </w:rPr>
          <w:t>nh kh</w:t>
        </w:r>
        <w:r w:rsidR="00D92677" w:rsidRPr="006234AA">
          <w:rPr>
            <w:rStyle w:val="Hyperlink"/>
            <w:rFonts w:ascii="Times New Roman" w:hAnsi="Times New Roman" w:cs="Times New Roman"/>
            <w:noProof/>
            <w:color w:val="auto"/>
          </w:rPr>
          <w:t>ố</w:t>
        </w:r>
        <w:r w:rsidR="00D92677" w:rsidRPr="006234AA">
          <w:rPr>
            <w:rStyle w:val="Hyperlink"/>
            <w:noProof/>
            <w:color w:val="auto"/>
          </w:rPr>
          <w:t>i l</w:t>
        </w:r>
        <w:r w:rsidR="00D92677" w:rsidRPr="006234AA">
          <w:rPr>
            <w:rStyle w:val="Hyperlink"/>
            <w:rFonts w:ascii="Times New Roman" w:hAnsi="Times New Roman" w:cs="Times New Roman"/>
            <w:noProof/>
            <w:color w:val="auto"/>
          </w:rPr>
          <w:t>ượ</w:t>
        </w:r>
        <w:r w:rsidR="00D92677" w:rsidRPr="006234AA">
          <w:rPr>
            <w:rStyle w:val="Hyperlink"/>
            <w:noProof/>
            <w:color w:val="auto"/>
          </w:rPr>
          <w:t>ng h</w:t>
        </w:r>
        <w:r w:rsidR="00D92677" w:rsidRPr="006234AA">
          <w:rPr>
            <w:rStyle w:val="Hyperlink"/>
            <w:rFonts w:ascii="Times New Roman" w:hAnsi="Times New Roman" w:cs="Times New Roman"/>
            <w:noProof/>
            <w:color w:val="auto"/>
          </w:rPr>
          <w:t>ợ</w:t>
        </w:r>
        <w:r w:rsidR="00D92677" w:rsidRPr="006234AA">
          <w:rPr>
            <w:rStyle w:val="Hyperlink"/>
            <w:noProof/>
            <w:color w:val="auto"/>
          </w:rPr>
          <w:t>p đ</w:t>
        </w:r>
        <w:r w:rsidR="00D92677" w:rsidRPr="006234AA">
          <w:rPr>
            <w:rStyle w:val="Hyperlink"/>
            <w:rFonts w:ascii="Times New Roman" w:hAnsi="Times New Roman" w:cs="Times New Roman"/>
            <w:noProof/>
            <w:color w:val="auto"/>
          </w:rPr>
          <w:t>ồ</w:t>
        </w:r>
        <w:r w:rsidR="00D92677" w:rsidRPr="006234AA">
          <w:rPr>
            <w:rStyle w:val="Hyperlink"/>
            <w:noProof/>
            <w:color w:val="auto"/>
          </w:rPr>
          <w:t>ng t</w:t>
        </w:r>
        <w:r w:rsidR="00D92677" w:rsidRPr="006234AA">
          <w:rPr>
            <w:rStyle w:val="Hyperlink"/>
            <w:rFonts w:ascii="Times New Roman" w:hAnsi="Times New Roman" w:cs="Times New Roman"/>
            <w:noProof/>
            <w:color w:val="auto"/>
          </w:rPr>
          <w:t>ươ</w:t>
        </w:r>
        <w:r w:rsidR="00D92677" w:rsidRPr="006234AA">
          <w:rPr>
            <w:rStyle w:val="Hyperlink"/>
            <w:noProof/>
            <w:color w:val="auto"/>
          </w:rPr>
          <w:t>ng lai trong phòng ng</w:t>
        </w:r>
        <w:r w:rsidR="00D92677" w:rsidRPr="006234AA">
          <w:rPr>
            <w:rStyle w:val="Hyperlink"/>
            <w:rFonts w:ascii="Times New Roman" w:hAnsi="Times New Roman" w:cs="Times New Roman"/>
            <w:noProof/>
            <w:color w:val="auto"/>
          </w:rPr>
          <w:t>ừ</w:t>
        </w:r>
        <w:r w:rsidR="00D92677" w:rsidRPr="006234AA">
          <w:rPr>
            <w:rStyle w:val="Hyperlink"/>
            <w:noProof/>
            <w:color w:val="auto"/>
          </w:rPr>
          <w:t>a r</w:t>
        </w:r>
        <w:r w:rsidR="00D92677" w:rsidRPr="006234AA">
          <w:rPr>
            <w:rStyle w:val="Hyperlink"/>
            <w:rFonts w:ascii="Times New Roman" w:hAnsi="Times New Roman" w:cs="Times New Roman"/>
            <w:noProof/>
            <w:color w:val="auto"/>
          </w:rPr>
          <w:t>ủ</w:t>
        </w:r>
        <w:r w:rsidR="00D92677" w:rsidRPr="006234AA">
          <w:rPr>
            <w:rStyle w:val="Hyperlink"/>
            <w:noProof/>
            <w:color w:val="auto"/>
          </w:rPr>
          <w:t>i ro</w:t>
        </w:r>
        <w:r w:rsidR="00D92677" w:rsidRPr="006234AA">
          <w:rPr>
            <w:noProof/>
            <w:webHidden/>
          </w:rPr>
          <w:tab/>
        </w:r>
        <w:r w:rsidRPr="006234AA">
          <w:rPr>
            <w:noProof/>
            <w:webHidden/>
          </w:rPr>
          <w:fldChar w:fldCharType="begin"/>
        </w:r>
        <w:r w:rsidR="00D92677" w:rsidRPr="006234AA">
          <w:rPr>
            <w:noProof/>
            <w:webHidden/>
          </w:rPr>
          <w:instrText xml:space="preserve"> PAGEREF _Toc422672043 \h </w:instrText>
        </w:r>
        <w:r w:rsidRPr="006234AA">
          <w:rPr>
            <w:noProof/>
            <w:webHidden/>
          </w:rPr>
        </w:r>
        <w:r w:rsidRPr="006234AA">
          <w:rPr>
            <w:noProof/>
            <w:webHidden/>
          </w:rPr>
          <w:fldChar w:fldCharType="separate"/>
        </w:r>
        <w:r w:rsidR="00060F30">
          <w:rPr>
            <w:noProof/>
            <w:webHidden/>
          </w:rPr>
          <w:t>168</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44"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24: Đánh giá kh</w:t>
        </w:r>
        <w:r w:rsidR="00D92677" w:rsidRPr="006234AA">
          <w:rPr>
            <w:rStyle w:val="Hyperlink"/>
            <w:rFonts w:ascii="Times New Roman" w:hAnsi="Times New Roman" w:cs="Times New Roman"/>
            <w:noProof/>
            <w:color w:val="auto"/>
          </w:rPr>
          <w:t>ả</w:t>
        </w:r>
        <w:r w:rsidR="00D92677" w:rsidRPr="006234AA">
          <w:rPr>
            <w:rStyle w:val="Hyperlink"/>
            <w:noProof/>
            <w:color w:val="auto"/>
          </w:rPr>
          <w:t xml:space="preserve"> năng khách hàng đ</w:t>
        </w:r>
        <w:r w:rsidR="00D92677" w:rsidRPr="006234AA">
          <w:rPr>
            <w:rStyle w:val="Hyperlink"/>
            <w:rFonts w:ascii="Times New Roman" w:hAnsi="Times New Roman" w:cs="Times New Roman"/>
            <w:noProof/>
            <w:color w:val="auto"/>
          </w:rPr>
          <w:t>ể</w:t>
        </w:r>
        <w:r w:rsidR="00D92677" w:rsidRPr="006234AA">
          <w:rPr>
            <w:rStyle w:val="Hyperlink"/>
            <w:noProof/>
            <w:color w:val="auto"/>
          </w:rPr>
          <w:t xml:space="preserve">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 các s</w:t>
        </w:r>
        <w:r w:rsidR="00D92677" w:rsidRPr="006234AA">
          <w:rPr>
            <w:rStyle w:val="Hyperlink"/>
            <w:rFonts w:ascii="Times New Roman" w:hAnsi="Times New Roman" w:cs="Times New Roman"/>
            <w:noProof/>
            <w:color w:val="auto"/>
          </w:rPr>
          <w:t>ả</w:t>
        </w:r>
        <w:r w:rsidR="00D92677" w:rsidRPr="006234AA">
          <w:rPr>
            <w:rStyle w:val="Hyperlink"/>
            <w:noProof/>
            <w:color w:val="auto"/>
          </w:rPr>
          <w:t>n ph</w:t>
        </w:r>
        <w:r w:rsidR="00D92677" w:rsidRPr="006234AA">
          <w:rPr>
            <w:rStyle w:val="Hyperlink"/>
            <w:rFonts w:ascii="Times New Roman" w:hAnsi="Times New Roman" w:cs="Times New Roman"/>
            <w:noProof/>
            <w:color w:val="auto"/>
          </w:rPr>
          <w:t>ẩ</w:t>
        </w:r>
        <w:r w:rsidR="00D92677" w:rsidRPr="006234AA">
          <w:rPr>
            <w:rStyle w:val="Hyperlink"/>
            <w:noProof/>
            <w:color w:val="auto"/>
          </w:rPr>
          <w:t>m ch</w:t>
        </w:r>
        <w:r w:rsidR="00D92677" w:rsidRPr="006234AA">
          <w:rPr>
            <w:rStyle w:val="Hyperlink"/>
            <w:rFonts w:ascii="Times New Roman" w:hAnsi="Times New Roman" w:cs="Times New Roman"/>
            <w:noProof/>
            <w:color w:val="auto"/>
          </w:rPr>
          <w:t>ứ</w:t>
        </w:r>
        <w:r w:rsidR="00D92677" w:rsidRPr="006234AA">
          <w:rPr>
            <w:rStyle w:val="Hyperlink"/>
            <w:noProof/>
            <w:color w:val="auto"/>
          </w:rPr>
          <w:t>ng khoán phái sinh</w:t>
        </w:r>
        <w:r w:rsidR="00D92677" w:rsidRPr="006234AA">
          <w:rPr>
            <w:noProof/>
            <w:webHidden/>
          </w:rPr>
          <w:tab/>
        </w:r>
        <w:r w:rsidRPr="006234AA">
          <w:rPr>
            <w:noProof/>
            <w:webHidden/>
          </w:rPr>
          <w:fldChar w:fldCharType="begin"/>
        </w:r>
        <w:r w:rsidR="00D92677" w:rsidRPr="006234AA">
          <w:rPr>
            <w:noProof/>
            <w:webHidden/>
          </w:rPr>
          <w:instrText xml:space="preserve"> PAGEREF _Toc422672044 \h </w:instrText>
        </w:r>
        <w:r w:rsidRPr="006234AA">
          <w:rPr>
            <w:noProof/>
            <w:webHidden/>
          </w:rPr>
        </w:r>
        <w:r w:rsidRPr="006234AA">
          <w:rPr>
            <w:noProof/>
            <w:webHidden/>
          </w:rPr>
          <w:fldChar w:fldCharType="separate"/>
        </w:r>
        <w:r w:rsidR="00060F30">
          <w:rPr>
            <w:noProof/>
            <w:webHidden/>
          </w:rPr>
          <w:t>170</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45"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25: B</w:t>
        </w:r>
        <w:r w:rsidR="00D92677" w:rsidRPr="006234AA">
          <w:rPr>
            <w:rStyle w:val="Hyperlink"/>
            <w:rFonts w:ascii="Times New Roman" w:hAnsi="Times New Roman" w:cs="Times New Roman"/>
            <w:noProof/>
            <w:color w:val="auto"/>
          </w:rPr>
          <w:t>ả</w:t>
        </w:r>
        <w:r w:rsidR="00D92677" w:rsidRPr="006234AA">
          <w:rPr>
            <w:rStyle w:val="Hyperlink"/>
            <w:noProof/>
            <w:color w:val="auto"/>
          </w:rPr>
          <w:t>n tuyên b</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r</w:t>
        </w:r>
        <w:r w:rsidR="00D92677" w:rsidRPr="006234AA">
          <w:rPr>
            <w:rStyle w:val="Hyperlink"/>
            <w:rFonts w:ascii="Times New Roman" w:hAnsi="Times New Roman" w:cs="Times New Roman"/>
            <w:noProof/>
            <w:color w:val="auto"/>
          </w:rPr>
          <w:t>ủ</w:t>
        </w:r>
        <w:r w:rsidR="00D92677" w:rsidRPr="006234AA">
          <w:rPr>
            <w:rStyle w:val="Hyperlink"/>
            <w:noProof/>
            <w:color w:val="auto"/>
          </w:rPr>
          <w:t>i ro</w:t>
        </w:r>
        <w:r w:rsidR="00D92677" w:rsidRPr="006234AA">
          <w:rPr>
            <w:noProof/>
            <w:webHidden/>
          </w:rPr>
          <w:tab/>
        </w:r>
        <w:r w:rsidRPr="006234AA">
          <w:rPr>
            <w:noProof/>
            <w:webHidden/>
          </w:rPr>
          <w:fldChar w:fldCharType="begin"/>
        </w:r>
        <w:r w:rsidR="00D92677" w:rsidRPr="006234AA">
          <w:rPr>
            <w:noProof/>
            <w:webHidden/>
          </w:rPr>
          <w:instrText xml:space="preserve"> PAGEREF _Toc422672045 \h </w:instrText>
        </w:r>
        <w:r w:rsidRPr="006234AA">
          <w:rPr>
            <w:noProof/>
            <w:webHidden/>
          </w:rPr>
        </w:r>
        <w:r w:rsidRPr="006234AA">
          <w:rPr>
            <w:noProof/>
            <w:webHidden/>
          </w:rPr>
          <w:fldChar w:fldCharType="separate"/>
        </w:r>
        <w:r w:rsidR="00060F30">
          <w:rPr>
            <w:noProof/>
            <w:webHidden/>
          </w:rPr>
          <w:t>175</w:t>
        </w:r>
        <w:r w:rsidRPr="006234AA">
          <w:rPr>
            <w:noProof/>
            <w:webHidden/>
          </w:rPr>
          <w:fldChar w:fldCharType="end"/>
        </w:r>
      </w:hyperlink>
    </w:p>
    <w:p w:rsidR="00D92677" w:rsidRPr="006234AA" w:rsidRDefault="007965E6">
      <w:pPr>
        <w:pStyle w:val="TOC5"/>
        <w:tabs>
          <w:tab w:val="right" w:leader="dot" w:pos="9064"/>
        </w:tabs>
        <w:rPr>
          <w:rFonts w:asciiTheme="minorHAnsi" w:eastAsiaTheme="minorEastAsia" w:hAnsiTheme="minorHAnsi" w:cstheme="minorBidi"/>
          <w:noProof/>
          <w:sz w:val="22"/>
          <w:szCs w:val="22"/>
        </w:rPr>
      </w:pPr>
      <w:hyperlink w:anchor="_Toc422672046" w:history="1">
        <w:r w:rsidR="00D92677" w:rsidRPr="006234AA">
          <w:rPr>
            <w:rStyle w:val="Hyperlink"/>
            <w:noProof/>
            <w:color w:val="auto"/>
          </w:rPr>
          <w:t>Ph</w:t>
        </w:r>
        <w:r w:rsidR="00D92677" w:rsidRPr="006234AA">
          <w:rPr>
            <w:rStyle w:val="Hyperlink"/>
            <w:rFonts w:ascii="Times New Roman" w:hAnsi="Times New Roman" w:cs="Times New Roman"/>
            <w:noProof/>
            <w:color w:val="auto"/>
          </w:rPr>
          <w:t>ụ</w:t>
        </w:r>
        <w:r w:rsidR="00D92677" w:rsidRPr="006234AA">
          <w:rPr>
            <w:rStyle w:val="Hyperlink"/>
            <w:noProof/>
            <w:color w:val="auto"/>
          </w:rPr>
          <w:t xml:space="preserve"> l</w:t>
        </w:r>
        <w:r w:rsidR="00D92677" w:rsidRPr="006234AA">
          <w:rPr>
            <w:rStyle w:val="Hyperlink"/>
            <w:rFonts w:ascii="Times New Roman" w:hAnsi="Times New Roman" w:cs="Times New Roman"/>
            <w:noProof/>
            <w:color w:val="auto"/>
          </w:rPr>
          <w:t>ụ</w:t>
        </w:r>
        <w:r w:rsidR="00D92677" w:rsidRPr="006234AA">
          <w:rPr>
            <w:rStyle w:val="Hyperlink"/>
            <w:noProof/>
            <w:color w:val="auto"/>
          </w:rPr>
          <w:t>c s</w:t>
        </w:r>
        <w:r w:rsidR="00D92677" w:rsidRPr="006234AA">
          <w:rPr>
            <w:rStyle w:val="Hyperlink"/>
            <w:rFonts w:ascii="Times New Roman" w:hAnsi="Times New Roman" w:cs="Times New Roman"/>
            <w:noProof/>
            <w:color w:val="auto"/>
          </w:rPr>
          <w:t>ố</w:t>
        </w:r>
        <w:r w:rsidR="00D92677" w:rsidRPr="006234AA">
          <w:rPr>
            <w:rStyle w:val="Hyperlink"/>
            <w:noProof/>
            <w:color w:val="auto"/>
          </w:rPr>
          <w:t xml:space="preserve"> 26: Đ</w:t>
        </w:r>
        <w:r w:rsidR="00D92677" w:rsidRPr="006234AA">
          <w:rPr>
            <w:rStyle w:val="Hyperlink"/>
            <w:rFonts w:ascii="Times New Roman" w:hAnsi="Times New Roman" w:cs="Times New Roman"/>
            <w:noProof/>
            <w:color w:val="auto"/>
          </w:rPr>
          <w:t>ơ</w:t>
        </w:r>
        <w:r w:rsidR="00D92677" w:rsidRPr="006234AA">
          <w:rPr>
            <w:rStyle w:val="Hyperlink"/>
            <w:noProof/>
            <w:color w:val="auto"/>
          </w:rPr>
          <w:t>n đ</w:t>
        </w:r>
        <w:r w:rsidR="00D92677" w:rsidRPr="006234AA">
          <w:rPr>
            <w:rStyle w:val="Hyperlink"/>
            <w:rFonts w:ascii="Times New Roman" w:hAnsi="Times New Roman" w:cs="Times New Roman"/>
            <w:noProof/>
            <w:color w:val="auto"/>
          </w:rPr>
          <w:t>ề</w:t>
        </w:r>
        <w:r w:rsidR="00D92677" w:rsidRPr="006234AA">
          <w:rPr>
            <w:rStyle w:val="Hyperlink"/>
            <w:noProof/>
            <w:color w:val="auto"/>
          </w:rPr>
          <w:t xml:space="preserve"> ngh</w:t>
        </w:r>
        <w:r w:rsidR="00D92677" w:rsidRPr="006234AA">
          <w:rPr>
            <w:rStyle w:val="Hyperlink"/>
            <w:rFonts w:ascii="Times New Roman" w:hAnsi="Times New Roman" w:cs="Times New Roman"/>
            <w:noProof/>
            <w:color w:val="auto"/>
          </w:rPr>
          <w:t>ị</w:t>
        </w:r>
        <w:r w:rsidR="00D92677" w:rsidRPr="006234AA">
          <w:rPr>
            <w:rStyle w:val="Hyperlink"/>
            <w:noProof/>
            <w:color w:val="auto"/>
          </w:rPr>
          <w:t xml:space="preserve"> m</w:t>
        </w:r>
        <w:r w:rsidR="00D92677" w:rsidRPr="006234AA">
          <w:rPr>
            <w:rStyle w:val="Hyperlink"/>
            <w:rFonts w:ascii="Times New Roman" w:hAnsi="Times New Roman" w:cs="Times New Roman"/>
            <w:noProof/>
            <w:color w:val="auto"/>
          </w:rPr>
          <w:t>ở</w:t>
        </w:r>
        <w:r w:rsidR="00D92677" w:rsidRPr="006234AA">
          <w:rPr>
            <w:rStyle w:val="Hyperlink"/>
            <w:noProof/>
            <w:color w:val="auto"/>
          </w:rPr>
          <w:t xml:space="preserve"> tài kho</w:t>
        </w:r>
        <w:r w:rsidR="00D92677" w:rsidRPr="006234AA">
          <w:rPr>
            <w:rStyle w:val="Hyperlink"/>
            <w:rFonts w:ascii="Times New Roman" w:hAnsi="Times New Roman" w:cs="Times New Roman"/>
            <w:noProof/>
            <w:color w:val="auto"/>
          </w:rPr>
          <w:t>ả</w:t>
        </w:r>
        <w:r w:rsidR="00D92677" w:rsidRPr="006234AA">
          <w:rPr>
            <w:rStyle w:val="Hyperlink"/>
            <w:noProof/>
            <w:color w:val="auto"/>
          </w:rPr>
          <w:t>n giao d</w:t>
        </w:r>
        <w:r w:rsidR="00D92677" w:rsidRPr="006234AA">
          <w:rPr>
            <w:rStyle w:val="Hyperlink"/>
            <w:rFonts w:ascii="Times New Roman" w:hAnsi="Times New Roman" w:cs="Times New Roman"/>
            <w:noProof/>
            <w:color w:val="auto"/>
          </w:rPr>
          <w:t>ị</w:t>
        </w:r>
        <w:r w:rsidR="00D92677" w:rsidRPr="006234AA">
          <w:rPr>
            <w:rStyle w:val="Hyperlink"/>
            <w:noProof/>
            <w:color w:val="auto"/>
          </w:rPr>
          <w:t>ch</w:t>
        </w:r>
        <w:r w:rsidR="00D92677" w:rsidRPr="006234AA">
          <w:rPr>
            <w:noProof/>
            <w:webHidden/>
          </w:rPr>
          <w:tab/>
        </w:r>
        <w:r w:rsidRPr="006234AA">
          <w:rPr>
            <w:noProof/>
            <w:webHidden/>
          </w:rPr>
          <w:fldChar w:fldCharType="begin"/>
        </w:r>
        <w:r w:rsidR="00D92677" w:rsidRPr="006234AA">
          <w:rPr>
            <w:noProof/>
            <w:webHidden/>
          </w:rPr>
          <w:instrText xml:space="preserve"> PAGEREF _Toc422672046 \h </w:instrText>
        </w:r>
        <w:r w:rsidRPr="006234AA">
          <w:rPr>
            <w:noProof/>
            <w:webHidden/>
          </w:rPr>
        </w:r>
        <w:r w:rsidRPr="006234AA">
          <w:rPr>
            <w:noProof/>
            <w:webHidden/>
          </w:rPr>
          <w:fldChar w:fldCharType="separate"/>
        </w:r>
        <w:r w:rsidR="00060F30">
          <w:rPr>
            <w:noProof/>
            <w:webHidden/>
          </w:rPr>
          <w:t>177</w:t>
        </w:r>
        <w:r w:rsidRPr="006234AA">
          <w:rPr>
            <w:noProof/>
            <w:webHidden/>
          </w:rPr>
          <w:fldChar w:fldCharType="end"/>
        </w:r>
      </w:hyperlink>
    </w:p>
    <w:p w:rsidR="00627372" w:rsidRPr="006234AA" w:rsidRDefault="007965E6" w:rsidP="003C0546">
      <w:pPr>
        <w:spacing w:after="120"/>
      </w:pPr>
      <w:r w:rsidRPr="006234AA">
        <w:rPr>
          <w:caps/>
        </w:rPr>
        <w:fldChar w:fldCharType="end"/>
      </w:r>
    </w:p>
    <w:p w:rsidR="00627372" w:rsidRPr="006234AA" w:rsidRDefault="00627372" w:rsidP="003C0546">
      <w:pPr>
        <w:spacing w:after="120"/>
        <w:ind w:firstLine="0"/>
        <w:jc w:val="left"/>
        <w:sectPr w:rsidR="00627372" w:rsidRPr="006234AA" w:rsidSect="00594373">
          <w:footerReference w:type="default" r:id="rId11"/>
          <w:type w:val="continuous"/>
          <w:pgSz w:w="11909" w:h="16834" w:code="9"/>
          <w:pgMar w:top="1134" w:right="1134" w:bottom="1134" w:left="1701" w:header="544" w:footer="720" w:gutter="0"/>
          <w:cols w:space="720"/>
          <w:docGrid w:linePitch="360"/>
        </w:sectPr>
      </w:pPr>
      <w:r w:rsidRPr="006234AA">
        <w:br w:type="page"/>
      </w:r>
    </w:p>
    <w:tbl>
      <w:tblPr>
        <w:tblW w:w="9640" w:type="dxa"/>
        <w:tblInd w:w="-106" w:type="dxa"/>
        <w:tblLayout w:type="fixed"/>
        <w:tblLook w:val="0000"/>
      </w:tblPr>
      <w:tblGrid>
        <w:gridCol w:w="3396"/>
        <w:gridCol w:w="6244"/>
      </w:tblGrid>
      <w:tr w:rsidR="00627372" w:rsidRPr="006234AA">
        <w:tc>
          <w:tcPr>
            <w:tcW w:w="3396" w:type="dxa"/>
          </w:tcPr>
          <w:p w:rsidR="00627372" w:rsidRPr="006234AA" w:rsidRDefault="00627372" w:rsidP="003C0546">
            <w:pPr>
              <w:tabs>
                <w:tab w:val="left" w:pos="720"/>
              </w:tabs>
              <w:spacing w:after="120"/>
              <w:ind w:firstLine="0"/>
              <w:jc w:val="center"/>
              <w:rPr>
                <w:b/>
                <w:bCs/>
              </w:rPr>
            </w:pPr>
            <w:r w:rsidRPr="006234AA">
              <w:rPr>
                <w:b/>
                <w:bCs/>
              </w:rPr>
              <w:lastRenderedPageBreak/>
              <w:t>BỘ TÀI CHÍNH</w:t>
            </w:r>
          </w:p>
          <w:p w:rsidR="00627372" w:rsidRPr="006234AA" w:rsidRDefault="007965E6" w:rsidP="003C0546">
            <w:pPr>
              <w:tabs>
                <w:tab w:val="left" w:pos="720"/>
              </w:tabs>
              <w:spacing w:after="120"/>
              <w:jc w:val="center"/>
              <w:rPr>
                <w:b/>
                <w:bCs/>
              </w:rPr>
            </w:pPr>
            <w:r w:rsidRPr="007965E6">
              <w:rPr>
                <w:noProof/>
              </w:rPr>
              <w:pict>
                <v:line id="Line 3" o:spid="_x0000_s1026" style="position:absolute;left:0;text-align:left;z-index:251656192;visibility:visible;mso-wrap-distance-top:-3e-5mm;mso-wrap-distance-bottom:-3e-5mm" from="44.4pt,3.05pt" to="119.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SEQIAACgEAAAOAAAAZHJzL2Uyb0RvYy54bWysU8GO2jAQvVfqP1i5hyRsoBARVlUCvdAW&#10;abcfYGyHWHVsyzYkqOq/d2wIYttLVTUHZ+yZeX4zb7x6HjqBzsxYrmQZZZM0QkwSRbk8ltG31228&#10;iJB1WFIslGRldGE2el6/f7fqdcGmqlWCMoMARNqi12XUOqeLJLGkZR22E6WZBGejTIcdbM0xoQb3&#10;gN6JZJqm86RXhmqjCLMWTuurM1oH/KZhxH1tGsscEmUE3FxYTVgPfk3WK1wcDdYtJzca+B9YdJhL&#10;uPQOVWOH0cnwP6A6ToyyqnETorpENQ0nLNQA1WTpb9W8tFizUAs0x+p7m+z/gyVfznuDOAXtoD0S&#10;d6DRjkuGnnxrem0LiKjk3vjiyCBf9E6R7xZJVbVYHlmg+HrRkJb5jORNit9YDRcc+s+KQgw+ORX6&#10;NDSm85DQATQEOS53OdjgEIHDZb6YL4EVGV0JLsY8baz7xFSHvFFGAigHXHzeWed54GIM8ddIteVC&#10;BLGFRD1gz6azkGCV4NQ7fZg1x0MlDDpjPy7hC0WB5zHMqJOkAaxlmG5utsNcXG24XEiPB5UAnZt1&#10;nYcfy3S5WWwWeZxP55s4T+s6/rit8ni+zT7M6qe6qursp6eW5UXLKWXSsxtnM8v/TvvbK7lO1X06&#10;721I3qKHfgHZ8R9IBym9etc5OCh62ZtRYhjHEHx7On7eH/dgPz7w9S8AAAD//wMAUEsDBBQABgAI&#10;AAAAIQAL8R9q2gAAAAYBAAAPAAAAZHJzL2Rvd25yZXYueG1sTM5BS8NAEAXgu+B/WEbwUuymKZQQ&#10;symi5ubFWvE6zU6T0Oxsmt220V/v6EWPjze8+Yr15Hp1pjF0ng0s5gko4trbjhsD27fqLgMVIrLF&#10;3jMZ+KQA6/L6qsDc+gu/0nkTGyUjHHI00MY45FqHuiWHYe4HYun2fnQYJY6NtiNeZNz1Ok2SlXbY&#10;sXxocaDHlurD5uQMhOqdjtXXrJ4lH8vGU3p8enlGY25vpod7UJGm+HcMP3yhQymmnT+xDao3kGUi&#10;jwZWC1BSp8ssBbX7zbos9H9++Q0AAP//AwBQSwECLQAUAAYACAAAACEAtoM4kv4AAADhAQAAEwAA&#10;AAAAAAAAAAAAAAAAAAAAW0NvbnRlbnRfVHlwZXNdLnhtbFBLAQItABQABgAIAAAAIQA4/SH/1gAA&#10;AJQBAAALAAAAAAAAAAAAAAAAAC8BAABfcmVscy8ucmVsc1BLAQItABQABgAIAAAAIQA+dlQSEQIA&#10;ACgEAAAOAAAAAAAAAAAAAAAAAC4CAABkcnMvZTJvRG9jLnhtbFBLAQItABQABgAIAAAAIQAL8R9q&#10;2gAAAAYBAAAPAAAAAAAAAAAAAAAAAGsEAABkcnMvZG93bnJldi54bWxQSwUGAAAAAAQABADzAAAA&#10;cgUAAAAA&#10;"/>
              </w:pict>
            </w:r>
          </w:p>
          <w:p w:rsidR="00627372" w:rsidRPr="006234AA" w:rsidRDefault="007965E6" w:rsidP="003C0546">
            <w:pPr>
              <w:tabs>
                <w:tab w:val="left" w:pos="720"/>
              </w:tabs>
              <w:spacing w:after="120"/>
              <w:ind w:firstLine="0"/>
              <w:jc w:val="center"/>
              <w:rPr>
                <w:b/>
                <w:bCs/>
              </w:rPr>
            </w:pPr>
            <w:r w:rsidRPr="007965E6">
              <w:rPr>
                <w:noProof/>
              </w:rPr>
              <w:pict>
                <v:shapetype id="_x0000_t202" coordsize="21600,21600" o:spt="202" path="m,l,21600r21600,l21600,xe">
                  <v:stroke joinstyle="miter"/>
                  <v:path gradientshapeok="t" o:connecttype="rect"/>
                </v:shapetype>
                <v:shape id="Text Box 6" o:spid="_x0000_s1039" type="#_x0000_t202" style="position:absolute;left:0;text-align:left;margin-left:-54.55pt;margin-top:28.5pt;width:189.2pt;height:3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ESKAIAAFAEAAAOAAAAZHJzL2Uyb0RvYy54bWysVM1u2zAMvg/YOwi6L3aMpEuNOEWXLsOA&#10;rhvQ7gEUWbaFSaImKbGzpx8lu1n2dxnmg0CK1EfyI+n1zaAVOQrnJZiKzmc5JcJwqKVpK/r5afdq&#10;RYkPzNRMgREVPQlPbzYvX6x7W4oCOlC1cARBjC97W9EuBFtmmeed0MzPwAqDxgacZgFV12a1Yz2i&#10;a5UVeX6V9eBq64AL7/H2bjTSTcJvGsHDx6bxIhBVUcwtpNOlcx/PbLNmZeuY7SSf0mD/kIVm0mDQ&#10;M9QdC4wcnPwNSkvuwEMTZhx0Bk0juUg1YDXz/JdqHjtmRaoFyfH2TJP/f7D84fjJEVlX9JoSwzS2&#10;6EkMgbyBgVxFdnrrS3R6tOgWBrzGLqdKvb0H/sUTA9uOmVbcOgd9J1iN2c3jy+zi6YjjI8i+/wA1&#10;hmGHAAloaJyO1CEZBNGxS6dzZ2IqHC+LRV6sFmjiaFss8ny5TCFY+fzaOh/eCdAkChV12PmEzo73&#10;PsRsWPnsEoN5ULLeSaWS4tr9VjlyZDglu/RN6D+5KUN65GlZLEcC/gqRp+9PEFoGHHcldUVXZydW&#10;RtremjoNY2BSjTKmrMzEY6RuJDEM+2Hqyx7qEzLqYBxrXEMUOnDfKOlxpCvqvx6YE5So9wa7cj1H&#10;5nAHkrJYvi5QcZeW/aWFGY5QFQ2UjOI2jHtzsE62HUYa58DALXaykYnk2PIxqylvHNvE/bRicS8u&#10;9eT140ew+Q4AAP//AwBQSwMEFAAGAAgAAAAhAFFP/fzhAAAACwEAAA8AAABkcnMvZG93bnJldi54&#10;bWxMj8tOwzAQRfdI/IM1SGxQ6zwgbUKcCiGB6A4Kgq0bu0mEPQ62m4a/Z1jBcjRH955bb2Zr2KR9&#10;GBwKSJcJMI2tUwN2At5eHxZrYCFKVNI41AK+dYBNc35Wy0q5E77oaRc7RiEYKimgj3GsOA9tr60M&#10;SzdqpN/BeSsjnb7jyssThVvDsyQpuJUDUkMvR33f6/Zzd7QC1tdP00fY5s/vbXEwZbxaTY9fXojL&#10;i/nuFljUc/yD4Vef1KEhp707ogrMCFikSZkSK+BmRaOIyIoyB7YnNCty4E3N/29ofgAAAP//AwBQ&#10;SwECLQAUAAYACAAAACEAtoM4kv4AAADhAQAAEwAAAAAAAAAAAAAAAAAAAAAAW0NvbnRlbnRfVHlw&#10;ZXNdLnhtbFBLAQItABQABgAIAAAAIQA4/SH/1gAAAJQBAAALAAAAAAAAAAAAAAAAAC8BAABfcmVs&#10;cy8ucmVsc1BLAQItABQABgAIAAAAIQANazESKAIAAFAEAAAOAAAAAAAAAAAAAAAAAC4CAABkcnMv&#10;ZTJvRG9jLnhtbFBLAQItABQABgAIAAAAIQBRT/384QAAAAsBAAAPAAAAAAAAAAAAAAAAAIIEAABk&#10;cnMvZG93bnJldi54bWxQSwUGAAAAAAQABADzAAAAkAUAAAAA&#10;">
                  <v:textbox>
                    <w:txbxContent>
                      <w:p w:rsidR="00904409" w:rsidRPr="000C6C6A" w:rsidRDefault="00904409" w:rsidP="00317B59">
                        <w:pPr>
                          <w:ind w:right="-14" w:firstLine="0"/>
                          <w:jc w:val="left"/>
                          <w:rPr>
                            <w:b/>
                            <w:bCs/>
                          </w:rPr>
                        </w:pPr>
                        <w:r>
                          <w:rPr>
                            <w:b/>
                            <w:bCs/>
                          </w:rPr>
                          <w:t xml:space="preserve">DỰ THẢO </w:t>
                        </w:r>
                        <w:r w:rsidR="006F73E9">
                          <w:rPr>
                            <w:b/>
                            <w:bCs/>
                          </w:rPr>
                          <w:t>Lần 2</w:t>
                        </w:r>
                      </w:p>
                    </w:txbxContent>
                  </v:textbox>
                </v:shape>
              </w:pict>
            </w:r>
            <w:r w:rsidR="00627372" w:rsidRPr="006234AA">
              <w:t>Số:</w:t>
            </w:r>
            <w:r w:rsidR="00784FF7" w:rsidRPr="006234AA">
              <w:t xml:space="preserve"> </w:t>
            </w:r>
            <w:r w:rsidR="00627372" w:rsidRPr="006234AA">
              <w:t>/2014/TT-BTC</w:t>
            </w:r>
          </w:p>
        </w:tc>
        <w:tc>
          <w:tcPr>
            <w:tcW w:w="6244" w:type="dxa"/>
          </w:tcPr>
          <w:p w:rsidR="00627372" w:rsidRPr="006234AA" w:rsidRDefault="00627372" w:rsidP="003C0546">
            <w:pPr>
              <w:tabs>
                <w:tab w:val="left" w:pos="720"/>
              </w:tabs>
              <w:spacing w:after="120"/>
              <w:jc w:val="center"/>
              <w:rPr>
                <w:b/>
                <w:bCs/>
                <w:sz w:val="24"/>
                <w:szCs w:val="24"/>
              </w:rPr>
            </w:pPr>
            <w:r w:rsidRPr="006234AA">
              <w:rPr>
                <w:b/>
                <w:bCs/>
                <w:sz w:val="24"/>
                <w:szCs w:val="24"/>
              </w:rPr>
              <w:t>CỘNG HÒA XÃ HỘI CHỦ NGHĨA VIỆT NAM</w:t>
            </w:r>
          </w:p>
          <w:p w:rsidR="00627372" w:rsidRPr="006234AA" w:rsidRDefault="00627372" w:rsidP="003C0546">
            <w:pPr>
              <w:tabs>
                <w:tab w:val="left" w:pos="720"/>
              </w:tabs>
              <w:spacing w:after="120"/>
              <w:jc w:val="center"/>
              <w:rPr>
                <w:b/>
                <w:bCs/>
              </w:rPr>
            </w:pPr>
            <w:r w:rsidRPr="006234AA">
              <w:rPr>
                <w:b/>
                <w:bCs/>
              </w:rPr>
              <w:t>Độc lập - Tự do - Hạnh phúc</w:t>
            </w:r>
          </w:p>
          <w:p w:rsidR="00627372" w:rsidRPr="006234AA" w:rsidRDefault="007965E6" w:rsidP="003C0546">
            <w:pPr>
              <w:tabs>
                <w:tab w:val="left" w:pos="720"/>
              </w:tabs>
              <w:spacing w:after="120"/>
              <w:jc w:val="center"/>
              <w:rPr>
                <w:b/>
                <w:bCs/>
                <w:i/>
                <w:iCs/>
              </w:rPr>
            </w:pPr>
            <w:r w:rsidRPr="007965E6">
              <w:rPr>
                <w:noProof/>
              </w:rPr>
              <w:pict>
                <v:line id="Line 2" o:spid="_x0000_s1038" style="position:absolute;left:0;text-align:left;z-index:251655168;visibility:visible;mso-wrap-distance-top:-3e-5mm;mso-wrap-distance-bottom:-3e-5mm" from="80.1pt,3.9pt" to="25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Ek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ObZU/aUgmh08CWkGBKNdf4T1x0KRoklcI7A5LR1PhAhxRAS7lF6I6SM&#10;YkuF+hIvpvk0JjgtBQvOEObsYV9Ji04kjEv8YlXgeQyz+qhYBGs5Yeub7YmQVxsulyrgQSlA52Zd&#10;5+HHIl2s5+v5ZDTJZ+vRJK3r0cdNNRnNNtnTtP5QV1Wd/QzUsknRCsa4CuyG2cwmf6f97ZVcp+o+&#10;nfc2JG/RY7+A7PCPpKOWQb7rIOw1u+zsoDGMYwy+PZ0w7497sB8f+OoXAAAA//8DAFBLAwQUAAYA&#10;CAAAACEASg04itkAAAAHAQAADwAAAGRycy9kb3ducmV2LnhtbEyPwU7DMBBE70j8g7VIXKrWJoiC&#10;QpwKAblxoYB63cZLEhGv09htA1/PwgWOTzOafVusJt+rA42xC2zhYmFAEdfBddxYeH2p5jegYkJ2&#10;2AcmC58UYVWenhSYu3DkZzqsU6NkhGOOFtqUhlzrWLfkMS7CQCzZexg9JsGx0W7Eo4z7XmfGLLXH&#10;juVCiwPdt1R/rPfeQqzeaFd9zeqZ2Vw2gbLdw9MjWnt+Nt3dgko0pb8y/OiLOpTitA17dlH1wkuT&#10;SdXCtXwg+ZXJhLe/rMtC//cvvwEAAP//AwBQSwECLQAUAAYACAAAACEAtoM4kv4AAADhAQAAEwAA&#10;AAAAAAAAAAAAAAAAAAAAW0NvbnRlbnRfVHlwZXNdLnhtbFBLAQItABQABgAIAAAAIQA4/SH/1gAA&#10;AJQBAAALAAAAAAAAAAAAAAAAAC8BAABfcmVscy8ucmVsc1BLAQItABQABgAIAAAAIQCRMyEkEgIA&#10;ACgEAAAOAAAAAAAAAAAAAAAAAC4CAABkcnMvZTJvRG9jLnhtbFBLAQItABQABgAIAAAAIQBKDTiK&#10;2QAAAAcBAAAPAAAAAAAAAAAAAAAAAGwEAABkcnMvZG93bnJldi54bWxQSwUGAAAAAAQABADzAAAA&#10;cgUAAAAA&#10;"/>
              </w:pict>
            </w:r>
          </w:p>
          <w:p w:rsidR="00627372" w:rsidRPr="006234AA" w:rsidRDefault="00627372" w:rsidP="003C0546">
            <w:pPr>
              <w:tabs>
                <w:tab w:val="left" w:pos="720"/>
              </w:tabs>
              <w:spacing w:after="120"/>
              <w:jc w:val="right"/>
              <w:rPr>
                <w:b/>
                <w:bCs/>
                <w:i/>
                <w:iCs/>
              </w:rPr>
            </w:pPr>
            <w:r w:rsidRPr="006234AA">
              <w:rPr>
                <w:i/>
                <w:iCs/>
              </w:rPr>
              <w:t>Hà Nội, ngày</w:t>
            </w:r>
            <w:r w:rsidR="00060F30">
              <w:rPr>
                <w:i/>
                <w:iCs/>
              </w:rPr>
              <w:t xml:space="preserve">   </w:t>
            </w:r>
            <w:r w:rsidR="00784FF7" w:rsidRPr="006234AA">
              <w:rPr>
                <w:i/>
                <w:iCs/>
              </w:rPr>
              <w:t xml:space="preserve"> </w:t>
            </w:r>
            <w:r w:rsidRPr="006234AA">
              <w:rPr>
                <w:i/>
                <w:iCs/>
              </w:rPr>
              <w:t>tháng</w:t>
            </w:r>
            <w:r w:rsidR="00784FF7" w:rsidRPr="006234AA">
              <w:rPr>
                <w:i/>
                <w:iCs/>
              </w:rPr>
              <w:t xml:space="preserve"> </w:t>
            </w:r>
            <w:r w:rsidR="00060F30">
              <w:rPr>
                <w:i/>
                <w:iCs/>
              </w:rPr>
              <w:t xml:space="preserve">    </w:t>
            </w:r>
            <w:r w:rsidRPr="006234AA">
              <w:rPr>
                <w:i/>
                <w:iCs/>
              </w:rPr>
              <w:t>năm 2014</w:t>
            </w:r>
          </w:p>
        </w:tc>
      </w:tr>
    </w:tbl>
    <w:p w:rsidR="00627372" w:rsidRPr="006234AA" w:rsidRDefault="00627372" w:rsidP="003C0546">
      <w:pPr>
        <w:pStyle w:val="BodyText"/>
        <w:rPr>
          <w:sz w:val="18"/>
          <w:szCs w:val="18"/>
        </w:rPr>
      </w:pPr>
    </w:p>
    <w:p w:rsidR="00627372" w:rsidRPr="006234AA" w:rsidRDefault="00627372" w:rsidP="003C0546">
      <w:pPr>
        <w:pStyle w:val="BodyText"/>
        <w:jc w:val="center"/>
        <w:rPr>
          <w:b/>
          <w:bCs/>
        </w:rPr>
      </w:pPr>
      <w:r w:rsidRPr="006234AA">
        <w:rPr>
          <w:b/>
          <w:bCs/>
        </w:rPr>
        <w:t>THÔNG TƯ</w:t>
      </w:r>
    </w:p>
    <w:p w:rsidR="00627372" w:rsidRPr="006234AA" w:rsidRDefault="00627372" w:rsidP="003C0546">
      <w:pPr>
        <w:pStyle w:val="BodyText"/>
        <w:jc w:val="center"/>
        <w:rPr>
          <w:b/>
          <w:bCs/>
        </w:rPr>
      </w:pPr>
      <w:r w:rsidRPr="006234AA">
        <w:rPr>
          <w:b/>
          <w:bCs/>
        </w:rPr>
        <w:t>Hướng dẫn tổ chức và hoạt động trên thị trường chứng</w:t>
      </w:r>
    </w:p>
    <w:p w:rsidR="00627372" w:rsidRPr="006234AA" w:rsidRDefault="00627372" w:rsidP="003C0546">
      <w:pPr>
        <w:pStyle w:val="BodyText"/>
        <w:jc w:val="center"/>
        <w:rPr>
          <w:b/>
          <w:bCs/>
        </w:rPr>
      </w:pPr>
      <w:r w:rsidRPr="006234AA">
        <w:rPr>
          <w:b/>
          <w:bCs/>
        </w:rPr>
        <w:t xml:space="preserve"> khoán phái sinh Việt Nam</w:t>
      </w:r>
    </w:p>
    <w:p w:rsidR="00627372" w:rsidRPr="006234AA" w:rsidRDefault="007965E6" w:rsidP="003C0546">
      <w:pPr>
        <w:pStyle w:val="BodyText"/>
        <w:rPr>
          <w:b/>
          <w:bCs/>
        </w:rPr>
      </w:pPr>
      <w:r w:rsidRPr="007965E6">
        <w:rPr>
          <w:noProof/>
        </w:rPr>
        <w:pict>
          <v:line id="Line 4" o:spid="_x0000_s1037" style="position:absolute;left:0;text-align:left;z-index:251657216;visibility:visible;mso-wrap-distance-top:-3e-5mm;mso-wrap-distance-bottom:-3e-5mm" from="161.25pt,-.85pt" to="30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v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z/M0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CbKav53gAAAAkBAAAPAAAAZHJzL2Rvd25yZXYueG1sTI/BTsMwDIbvSLxDZCQu05Y2EwNK&#10;0wkBvXFhA3H1GtNWNE7XZFvZ0y+Iwzja/vT7+/PlaDuxp8G3jjWkswQEceVMy7WG93U5vQPhA7LB&#10;zjFp+CEPy+LyIsfMuAO/0X4VahFD2GeooQmhz6T0VUMW/cz1xPH25QaLIY5DLc2AhxhuO6mSZCEt&#10;thw/NNjTU0PV92pnNfjyg7blcVJNks957Uhtn19fUOvrq/HxAUSgMZxh+NWP6lBEp43bsfGi0zBX&#10;6iaiGqbpLYgILFJ1D2Lzt5BFLv83KE4AAAD//wMAUEsBAi0AFAAGAAgAAAAhALaDOJL+AAAA4QEA&#10;ABMAAAAAAAAAAAAAAAAAAAAAAFtDb250ZW50X1R5cGVzXS54bWxQSwECLQAUAAYACAAAACEAOP0h&#10;/9YAAACUAQAACwAAAAAAAAAAAAAAAAAvAQAAX3JlbHMvLnJlbHNQSwECLQAUAAYACAAAACEAWGg7&#10;wRECAAAoBAAADgAAAAAAAAAAAAAAAAAuAgAAZHJzL2Uyb0RvYy54bWxQSwECLQAUAAYACAAAACEA&#10;mymr+d4AAAAJAQAADwAAAAAAAAAAAAAAAABrBAAAZHJzL2Rvd25yZXYueG1sUEsFBgAAAAAEAAQA&#10;8wAAAHYFAAAAAA==&#10;"/>
        </w:pict>
      </w:r>
    </w:p>
    <w:p w:rsidR="00627372" w:rsidRPr="006234AA" w:rsidRDefault="00627372" w:rsidP="003C0546">
      <w:pPr>
        <w:pStyle w:val="BodyText"/>
        <w:rPr>
          <w:b/>
          <w:bCs/>
          <w:i/>
          <w:iCs/>
        </w:rPr>
      </w:pPr>
      <w:r w:rsidRPr="006234AA">
        <w:rPr>
          <w:i/>
          <w:iCs/>
        </w:rPr>
        <w:t>Căn cứ Luật Chứng khoán ngày 29 tháng 6 năm 2006;</w:t>
      </w:r>
    </w:p>
    <w:p w:rsidR="00627372" w:rsidRPr="006234AA" w:rsidRDefault="00627372" w:rsidP="003C0546">
      <w:pPr>
        <w:pStyle w:val="BodyText"/>
        <w:rPr>
          <w:i/>
          <w:iCs/>
        </w:rPr>
      </w:pPr>
      <w:r w:rsidRPr="006234AA">
        <w:rPr>
          <w:i/>
          <w:iCs/>
        </w:rPr>
        <w:t>Căn cứ Luật sửa đổi,bổ sung một số điều của Luật Chứng khoán ngày 24 tháng 11 năm 2010;</w:t>
      </w:r>
    </w:p>
    <w:p w:rsidR="00627372" w:rsidRPr="006234AA" w:rsidRDefault="00627372" w:rsidP="003C0546">
      <w:pPr>
        <w:pStyle w:val="BodyText"/>
        <w:rPr>
          <w:i/>
          <w:iCs/>
        </w:rPr>
      </w:pPr>
      <w:r w:rsidRPr="006234AA">
        <w:rPr>
          <w:i/>
          <w:iCs/>
          <w:spacing w:val="2"/>
        </w:rPr>
        <w:t>Căn cứ Nghị định số 58/2012/NĐ-CP ngày 20 tháng 7 năm 2012 của Chính phủ quy định chi tiết và hướng dẫn thi hành một số điều của Luật Chứng khoán và Luật sửa đổi, bổ sung một số điều của Luật Chứng khoán;</w:t>
      </w:r>
    </w:p>
    <w:p w:rsidR="00627372" w:rsidRPr="006234AA" w:rsidRDefault="00627372" w:rsidP="003C0546">
      <w:pPr>
        <w:pStyle w:val="BodyText"/>
        <w:rPr>
          <w:i/>
          <w:iCs/>
        </w:rPr>
      </w:pPr>
      <w:r w:rsidRPr="006234AA">
        <w:rPr>
          <w:i/>
          <w:iCs/>
          <w:spacing w:val="2"/>
        </w:rPr>
        <w:t xml:space="preserve">Căn cứ Nghị định </w:t>
      </w:r>
      <w:r w:rsidR="00013704" w:rsidRPr="006234AA">
        <w:rPr>
          <w:i/>
          <w:iCs/>
          <w:spacing w:val="2"/>
        </w:rPr>
        <w:t>số 42/2015/NĐ-CP ngày 5 tháng 5 năm 2015 của Chính phủ quy định về chứng khoán phái sinh và thị trường chứng khoán phái sinh;</w:t>
      </w:r>
    </w:p>
    <w:p w:rsidR="00627372" w:rsidRPr="006234AA" w:rsidRDefault="00627372" w:rsidP="003C0546">
      <w:pPr>
        <w:pStyle w:val="BodyText"/>
        <w:rPr>
          <w:i/>
          <w:iCs/>
        </w:rPr>
      </w:pPr>
      <w:r w:rsidRPr="006234AA">
        <w:rPr>
          <w:i/>
          <w:iCs/>
        </w:rPr>
        <w:t>Căn cứ Nghị định số 215/2013/NĐ-CP ngày 23 tháng 12 năm 2013 của Chính phủ quy định chức năng, nhiệm vụ, quyền hạn và cơ cấu tổ chức của Bộ Tài chính;</w:t>
      </w:r>
    </w:p>
    <w:p w:rsidR="00627372" w:rsidRPr="006234AA" w:rsidRDefault="00627372" w:rsidP="003C0546">
      <w:pPr>
        <w:pStyle w:val="BodyText"/>
        <w:rPr>
          <w:i/>
          <w:iCs/>
        </w:rPr>
      </w:pPr>
      <w:r w:rsidRPr="006234AA">
        <w:rPr>
          <w:i/>
          <w:iCs/>
        </w:rPr>
        <w:t xml:space="preserve">Theo đề nghị của Chủ tịch Ủy ban Chứng khoán Nhà nước; </w:t>
      </w:r>
    </w:p>
    <w:p w:rsidR="00627372" w:rsidRPr="006234AA" w:rsidRDefault="00627372" w:rsidP="003C0546">
      <w:pPr>
        <w:pStyle w:val="BodyText"/>
        <w:rPr>
          <w:i/>
          <w:iCs/>
        </w:rPr>
      </w:pPr>
      <w:r w:rsidRPr="006234AA">
        <w:rPr>
          <w:i/>
          <w:iCs/>
        </w:rPr>
        <w:t>Bộ trưởng Bộ Tài chính ban hành Thông tư hướng dẫn tổ chức và hoạt động trên thị trường chứng khoán phái sinh tại Việt Nam.</w:t>
      </w:r>
    </w:p>
    <w:p w:rsidR="00627372" w:rsidRPr="006234AA" w:rsidRDefault="00627372" w:rsidP="003C0546">
      <w:pPr>
        <w:pStyle w:val="BodyText"/>
        <w:ind w:firstLine="720"/>
        <w:rPr>
          <w:b/>
          <w:bCs/>
          <w:i/>
          <w:iCs/>
          <w:sz w:val="2"/>
          <w:szCs w:val="2"/>
        </w:rPr>
      </w:pPr>
    </w:p>
    <w:p w:rsidR="00627372" w:rsidRPr="006234AA" w:rsidRDefault="00225F49" w:rsidP="003C0546">
      <w:pPr>
        <w:pStyle w:val="Heading1"/>
        <w:spacing w:after="120"/>
      </w:pPr>
      <w:bookmarkStart w:id="1" w:name="_Toc397003285"/>
      <w:bookmarkStart w:id="2" w:name="_Toc422671930"/>
      <w:r w:rsidRPr="006234AA">
        <w:t>Chương</w:t>
      </w:r>
      <w:r w:rsidR="00627372" w:rsidRPr="006234AA">
        <w:t xml:space="preserve"> I</w:t>
      </w:r>
      <w:bookmarkEnd w:id="1"/>
      <w:bookmarkEnd w:id="2"/>
    </w:p>
    <w:p w:rsidR="00627372" w:rsidRPr="006234AA" w:rsidRDefault="00627372" w:rsidP="003C0546">
      <w:pPr>
        <w:pStyle w:val="Heading1"/>
        <w:spacing w:after="120"/>
      </w:pPr>
      <w:bookmarkStart w:id="3" w:name="_Toc397003286"/>
      <w:bookmarkStart w:id="4" w:name="_Toc422671931"/>
      <w:r w:rsidRPr="006234AA">
        <w:t>QUY ĐỊNH CHUNG</w:t>
      </w:r>
      <w:bookmarkEnd w:id="3"/>
      <w:bookmarkEnd w:id="4"/>
    </w:p>
    <w:p w:rsidR="00627372" w:rsidRPr="006234AA" w:rsidRDefault="00627372" w:rsidP="003C0546">
      <w:pPr>
        <w:pStyle w:val="Heading4"/>
        <w:spacing w:after="120"/>
      </w:pPr>
      <w:bookmarkStart w:id="5" w:name="_Toc397003287"/>
      <w:bookmarkStart w:id="6" w:name="_Toc422671932"/>
      <w:r w:rsidRPr="006234AA">
        <w:t>Phạm vi điều chỉnh, đối tượng áp dụng</w:t>
      </w:r>
      <w:bookmarkEnd w:id="5"/>
      <w:bookmarkEnd w:id="6"/>
    </w:p>
    <w:p w:rsidR="00CC04C8" w:rsidRPr="006234AA" w:rsidRDefault="00507D41" w:rsidP="003C0546">
      <w:pPr>
        <w:spacing w:after="120"/>
        <w:rPr>
          <w:lang w:val="nl-NL"/>
        </w:rPr>
      </w:pPr>
      <w:r w:rsidRPr="006234AA">
        <w:rPr>
          <w:lang w:val="nl-NL"/>
        </w:rPr>
        <w:t xml:space="preserve">1. Thông tư này hướng dẫn tổ chức và hoạt động trên thị trường chứng khoán phái sinh tại Việt Nam, bao gồm: </w:t>
      </w:r>
    </w:p>
    <w:p w:rsidR="00507D41" w:rsidRPr="006234AA" w:rsidRDefault="00CC04C8" w:rsidP="003C0546">
      <w:pPr>
        <w:spacing w:after="120"/>
        <w:rPr>
          <w:lang w:val="nl-NL"/>
        </w:rPr>
      </w:pPr>
      <w:r w:rsidRPr="006234AA">
        <w:rPr>
          <w:lang w:val="nl-NL"/>
        </w:rPr>
        <w:t>a) Tổ chức thị trường chứng khoán phái sinh</w:t>
      </w:r>
      <w:r w:rsidR="00A90786" w:rsidRPr="006234AA">
        <w:rPr>
          <w:lang w:val="nl-NL"/>
        </w:rPr>
        <w:t>,</w:t>
      </w:r>
      <w:r w:rsidRPr="006234AA">
        <w:rPr>
          <w:lang w:val="nl-NL"/>
        </w:rPr>
        <w:t xml:space="preserve"> hoạt động của thành viên giao dịch, thành viên tạo lập thị trường; tổ chức, hoạt động </w:t>
      </w:r>
      <w:r w:rsidR="00666F37" w:rsidRPr="006234AA">
        <w:rPr>
          <w:lang w:val="nl-NL"/>
        </w:rPr>
        <w:t>bù trừ, thanh toán</w:t>
      </w:r>
      <w:r w:rsidR="00A90786" w:rsidRPr="006234AA">
        <w:rPr>
          <w:lang w:val="nl-NL"/>
        </w:rPr>
        <w:t xml:space="preserve">, hoạt động </w:t>
      </w:r>
      <w:r w:rsidRPr="006234AA">
        <w:rPr>
          <w:lang w:val="nl-NL"/>
        </w:rPr>
        <w:t xml:space="preserve">của </w:t>
      </w:r>
      <w:r w:rsidR="008573AD" w:rsidRPr="006234AA">
        <w:rPr>
          <w:lang w:val="nl-NL"/>
        </w:rPr>
        <w:t>Trung tâm lưu ký chứng khoán</w:t>
      </w:r>
      <w:r w:rsidR="00A90786" w:rsidRPr="006234AA">
        <w:rPr>
          <w:lang w:val="nl-NL"/>
        </w:rPr>
        <w:t xml:space="preserve"> và của thành viên bù trừ; hoạt động </w:t>
      </w:r>
      <w:r w:rsidR="00B36DD8" w:rsidRPr="006234AA">
        <w:rPr>
          <w:lang w:val="nl-NL"/>
        </w:rPr>
        <w:t>kinh doanh</w:t>
      </w:r>
      <w:r w:rsidR="00507D41" w:rsidRPr="006234AA">
        <w:rPr>
          <w:lang w:val="nl-NL"/>
        </w:rPr>
        <w:t xml:space="preserve"> chứng khoán phái sinh</w:t>
      </w:r>
      <w:r w:rsidRPr="006234AA">
        <w:rPr>
          <w:lang w:val="nl-NL"/>
        </w:rPr>
        <w:t xml:space="preserve"> của tổ chức </w:t>
      </w:r>
      <w:r w:rsidR="00A90786" w:rsidRPr="006234AA">
        <w:rPr>
          <w:lang w:val="nl-NL"/>
        </w:rPr>
        <w:t>kinh doanh chứng khoán phái sinh</w:t>
      </w:r>
      <w:r w:rsidRPr="006234AA">
        <w:rPr>
          <w:lang w:val="nl-NL"/>
        </w:rPr>
        <w:t xml:space="preserve">; </w:t>
      </w:r>
    </w:p>
    <w:p w:rsidR="00CC04C8" w:rsidRPr="006234AA" w:rsidRDefault="00CC04C8" w:rsidP="003C0546">
      <w:pPr>
        <w:spacing w:after="120"/>
        <w:rPr>
          <w:lang w:val="nl-NL"/>
        </w:rPr>
      </w:pPr>
      <w:r w:rsidRPr="006234AA">
        <w:rPr>
          <w:lang w:val="nl-NL"/>
        </w:rPr>
        <w:lastRenderedPageBreak/>
        <w:t xml:space="preserve">b) </w:t>
      </w:r>
      <w:r w:rsidR="00A90786" w:rsidRPr="006234AA">
        <w:rPr>
          <w:lang w:val="nl-NL"/>
        </w:rPr>
        <w:t>G</w:t>
      </w:r>
      <w:r w:rsidRPr="006234AA">
        <w:rPr>
          <w:lang w:val="nl-NL"/>
        </w:rPr>
        <w:t>iao dịch hợp đồng tương lai chỉ số</w:t>
      </w:r>
      <w:r w:rsidR="00A90786" w:rsidRPr="006234AA">
        <w:rPr>
          <w:lang w:val="nl-NL"/>
        </w:rPr>
        <w:t>,</w:t>
      </w:r>
      <w:r w:rsidRPr="006234AA">
        <w:rPr>
          <w:lang w:val="nl-NL"/>
        </w:rPr>
        <w:t xml:space="preserve"> hợp đồng tương lai trái phiếu</w:t>
      </w:r>
      <w:r w:rsidR="007F2AA1" w:rsidRPr="006234AA">
        <w:rPr>
          <w:lang w:val="nl-NL"/>
        </w:rPr>
        <w:t xml:space="preserve"> Chính phủ</w:t>
      </w:r>
      <w:r w:rsidRPr="006234AA">
        <w:rPr>
          <w:lang w:val="nl-NL"/>
        </w:rPr>
        <w:t>.</w:t>
      </w:r>
    </w:p>
    <w:p w:rsidR="00507D41" w:rsidRPr="006234AA" w:rsidRDefault="00A90786" w:rsidP="003C0546">
      <w:pPr>
        <w:spacing w:after="120"/>
        <w:rPr>
          <w:lang w:val="nl-NL"/>
        </w:rPr>
      </w:pPr>
      <w:r w:rsidRPr="006234AA">
        <w:rPr>
          <w:lang w:val="nl-NL"/>
        </w:rPr>
        <w:t>2</w:t>
      </w:r>
      <w:r w:rsidR="00507D41" w:rsidRPr="006234AA">
        <w:rPr>
          <w:lang w:val="nl-NL"/>
        </w:rPr>
        <w:t>. Đối tượng áp dụng của Thông tư này bao gồm:</w:t>
      </w:r>
    </w:p>
    <w:p w:rsidR="00507D41" w:rsidRPr="006234AA" w:rsidRDefault="00507D41" w:rsidP="003C0546">
      <w:pPr>
        <w:spacing w:after="120"/>
        <w:rPr>
          <w:lang w:val="nl-NL"/>
        </w:rPr>
      </w:pPr>
      <w:r w:rsidRPr="006234AA">
        <w:rPr>
          <w:lang w:val="nl-NL"/>
        </w:rPr>
        <w:t xml:space="preserve">a) Sở giao dịch chứng khoán </w:t>
      </w:r>
      <w:r w:rsidR="008573AD" w:rsidRPr="006234AA">
        <w:rPr>
          <w:lang w:val="nl-NL"/>
        </w:rPr>
        <w:t xml:space="preserve">tại </w:t>
      </w:r>
      <w:r w:rsidRPr="006234AA">
        <w:rPr>
          <w:lang w:val="nl-NL"/>
        </w:rPr>
        <w:t>Việt Nam</w:t>
      </w:r>
      <w:r w:rsidR="008573AD" w:rsidRPr="006234AA">
        <w:rPr>
          <w:lang w:val="nl-NL"/>
        </w:rPr>
        <w:t xml:space="preserve"> (Sở giao dịch chứng khoán)</w:t>
      </w:r>
      <w:r w:rsidRPr="006234AA">
        <w:rPr>
          <w:lang w:val="nl-NL"/>
        </w:rPr>
        <w:t>;</w:t>
      </w:r>
    </w:p>
    <w:p w:rsidR="003E2C16" w:rsidRPr="006234AA" w:rsidRDefault="00507D41" w:rsidP="003C0546">
      <w:pPr>
        <w:spacing w:after="120"/>
        <w:rPr>
          <w:lang w:val="nl-NL"/>
        </w:rPr>
      </w:pPr>
      <w:r w:rsidRPr="006234AA">
        <w:rPr>
          <w:lang w:val="nl-NL"/>
        </w:rPr>
        <w:t>b) Trung tâm lưu ký chứng khoán Việt Nam</w:t>
      </w:r>
      <w:r w:rsidR="008573AD" w:rsidRPr="006234AA">
        <w:rPr>
          <w:lang w:val="nl-NL"/>
        </w:rPr>
        <w:t xml:space="preserve"> (Trung tâm lưu ký chứng khoán)</w:t>
      </w:r>
    </w:p>
    <w:p w:rsidR="00507D41" w:rsidRPr="006234AA" w:rsidRDefault="00507D41" w:rsidP="003C0546">
      <w:pPr>
        <w:spacing w:after="120"/>
        <w:rPr>
          <w:lang w:val="nl-NL"/>
        </w:rPr>
      </w:pPr>
      <w:r w:rsidRPr="006234AA">
        <w:rPr>
          <w:lang w:val="nl-NL"/>
        </w:rPr>
        <w:t>c) Tổ chức kinh doanh chứng khoán phái sinh, thành viên giao dịch, thành viên bù trừ;</w:t>
      </w:r>
    </w:p>
    <w:p w:rsidR="00507D41" w:rsidRPr="006234AA" w:rsidRDefault="00507D41" w:rsidP="003C0546">
      <w:pPr>
        <w:spacing w:after="120"/>
        <w:rPr>
          <w:lang w:val="nl-NL"/>
        </w:rPr>
      </w:pPr>
      <w:r w:rsidRPr="006234AA">
        <w:rPr>
          <w:lang w:val="nl-NL"/>
        </w:rPr>
        <w:t xml:space="preserve">d) Các </w:t>
      </w:r>
      <w:r w:rsidR="00EC10C9" w:rsidRPr="006234AA">
        <w:rPr>
          <w:lang w:val="nl-NL"/>
        </w:rPr>
        <w:t>tổ chức và cá nhân</w:t>
      </w:r>
      <w:r w:rsidR="00D67B2F" w:rsidRPr="006234AA">
        <w:rPr>
          <w:lang w:val="nl-NL"/>
        </w:rPr>
        <w:t xml:space="preserve"> </w:t>
      </w:r>
      <w:r w:rsidR="003E2C16" w:rsidRPr="006234AA">
        <w:rPr>
          <w:lang w:val="nl-NL"/>
        </w:rPr>
        <w:t xml:space="preserve">tham gia </w:t>
      </w:r>
      <w:r w:rsidR="00D67B2F" w:rsidRPr="006234AA">
        <w:rPr>
          <w:lang w:val="nl-NL"/>
        </w:rPr>
        <w:t>thị trường chứng khoán phái sinh</w:t>
      </w:r>
      <w:r w:rsidR="003E68FD" w:rsidRPr="006234AA">
        <w:rPr>
          <w:lang w:val="nl-NL"/>
        </w:rPr>
        <w:t>.</w:t>
      </w:r>
    </w:p>
    <w:p w:rsidR="00627372" w:rsidRPr="006234AA" w:rsidRDefault="00627372" w:rsidP="003C0546">
      <w:pPr>
        <w:pStyle w:val="Heading4"/>
        <w:spacing w:after="120"/>
      </w:pPr>
      <w:bookmarkStart w:id="7" w:name="_Toc397003288"/>
      <w:bookmarkStart w:id="8" w:name="_Toc422671933"/>
      <w:r w:rsidRPr="006234AA">
        <w:t>Giải thích từ ngữ</w:t>
      </w:r>
      <w:bookmarkEnd w:id="7"/>
      <w:bookmarkEnd w:id="8"/>
    </w:p>
    <w:p w:rsidR="00627372" w:rsidRPr="006234AA" w:rsidRDefault="00627372" w:rsidP="003C0546">
      <w:pPr>
        <w:spacing w:after="120"/>
        <w:rPr>
          <w:lang w:val="nl-NL"/>
        </w:rPr>
      </w:pPr>
      <w:r w:rsidRPr="006234AA">
        <w:rPr>
          <w:lang w:val="nl-NL"/>
        </w:rPr>
        <w:t xml:space="preserve">Ngoài các từ ngữ đã được giải thích trong Nghị định số /2014/NĐ-CP ngày tháng năm 2014 của Chính phủ quy định về chứng khoán phái sinh và thị trường chứng khoán phái sinh, trong Thông tư này, các từ ngữ dưới đây được hiểu như sau: </w:t>
      </w:r>
    </w:p>
    <w:p w:rsidR="00056AB7" w:rsidRPr="006234AA" w:rsidRDefault="004B2934" w:rsidP="003C0546">
      <w:pPr>
        <w:pStyle w:val="ListParagraph"/>
        <w:spacing w:after="120"/>
        <w:rPr>
          <w:iCs/>
        </w:rPr>
      </w:pPr>
      <w:r w:rsidRPr="006234AA">
        <w:rPr>
          <w:i/>
          <w:iCs/>
        </w:rPr>
        <w:t>Người</w:t>
      </w:r>
      <w:r w:rsidR="00056AB7" w:rsidRPr="006234AA">
        <w:rPr>
          <w:i/>
          <w:iCs/>
        </w:rPr>
        <w:t xml:space="preserve"> </w:t>
      </w:r>
      <w:r w:rsidRPr="006234AA">
        <w:rPr>
          <w:i/>
          <w:iCs/>
        </w:rPr>
        <w:t>b</w:t>
      </w:r>
      <w:r w:rsidR="00056AB7" w:rsidRPr="006234AA">
        <w:rPr>
          <w:i/>
          <w:iCs/>
        </w:rPr>
        <w:t>án</w:t>
      </w:r>
      <w:r w:rsidR="00056AB7" w:rsidRPr="006234AA">
        <w:rPr>
          <w:iCs/>
        </w:rPr>
        <w:t xml:space="preserve"> là bên nắm giữ vị thế bán chứng khoán phái sinh.</w:t>
      </w:r>
    </w:p>
    <w:p w:rsidR="00056AB7" w:rsidRPr="006234AA" w:rsidRDefault="004B2934" w:rsidP="003C0546">
      <w:pPr>
        <w:pStyle w:val="ListParagraph"/>
        <w:spacing w:after="120"/>
        <w:rPr>
          <w:iCs/>
        </w:rPr>
      </w:pPr>
      <w:r w:rsidRPr="006234AA">
        <w:rPr>
          <w:i/>
          <w:iCs/>
        </w:rPr>
        <w:t>Người</w:t>
      </w:r>
      <w:r w:rsidR="00056AB7" w:rsidRPr="006234AA">
        <w:rPr>
          <w:i/>
          <w:iCs/>
        </w:rPr>
        <w:t xml:space="preserve"> </w:t>
      </w:r>
      <w:r w:rsidRPr="006234AA">
        <w:rPr>
          <w:i/>
          <w:iCs/>
        </w:rPr>
        <w:t>m</w:t>
      </w:r>
      <w:r w:rsidR="00056AB7" w:rsidRPr="006234AA">
        <w:rPr>
          <w:i/>
          <w:iCs/>
        </w:rPr>
        <w:t>ua</w:t>
      </w:r>
      <w:r w:rsidR="00056AB7" w:rsidRPr="006234AA">
        <w:rPr>
          <w:iCs/>
        </w:rPr>
        <w:t xml:space="preserve"> là bên nắm giữ vị thế mua chứng khoán phái sinh</w:t>
      </w:r>
      <w:r w:rsidR="00F9203B" w:rsidRPr="006234AA">
        <w:rPr>
          <w:iCs/>
        </w:rPr>
        <w:t>.</w:t>
      </w:r>
    </w:p>
    <w:p w:rsidR="00F9203B" w:rsidRPr="006234AA" w:rsidRDefault="004B2934" w:rsidP="003C0546">
      <w:pPr>
        <w:pStyle w:val="ListParagraph"/>
        <w:spacing w:after="120"/>
        <w:rPr>
          <w:iCs/>
        </w:rPr>
      </w:pPr>
      <w:r w:rsidRPr="006234AA">
        <w:rPr>
          <w:i/>
          <w:iCs/>
        </w:rPr>
        <w:t>Người</w:t>
      </w:r>
      <w:r w:rsidR="00F9203B" w:rsidRPr="006234AA">
        <w:rPr>
          <w:i/>
          <w:iCs/>
        </w:rPr>
        <w:t xml:space="preserve"> đứng tên giao dịch </w:t>
      </w:r>
      <w:r w:rsidR="00F9203B" w:rsidRPr="006234AA">
        <w:rPr>
          <w:iCs/>
        </w:rPr>
        <w:t>là thành viên bù trừ</w:t>
      </w:r>
      <w:r w:rsidR="005C7C5D" w:rsidRPr="006234AA">
        <w:rPr>
          <w:iCs/>
        </w:rPr>
        <w:t xml:space="preserve">, thay mặt </w:t>
      </w:r>
      <w:r w:rsidRPr="006234AA">
        <w:rPr>
          <w:iCs/>
        </w:rPr>
        <w:t>nhà đầu tư</w:t>
      </w:r>
      <w:r w:rsidR="005C7C5D" w:rsidRPr="006234AA">
        <w:rPr>
          <w:iCs/>
        </w:rPr>
        <w:t xml:space="preserve">, đóng vai trò là </w:t>
      </w:r>
      <w:r w:rsidRPr="006234AA">
        <w:rPr>
          <w:iCs/>
        </w:rPr>
        <w:t>người</w:t>
      </w:r>
      <w:r w:rsidR="005C7C5D" w:rsidRPr="006234AA">
        <w:rPr>
          <w:iCs/>
        </w:rPr>
        <w:t xml:space="preserve"> mua hoặc </w:t>
      </w:r>
      <w:r w:rsidRPr="006234AA">
        <w:rPr>
          <w:iCs/>
        </w:rPr>
        <w:t>người</w:t>
      </w:r>
      <w:r w:rsidR="005C7C5D" w:rsidRPr="006234AA">
        <w:rPr>
          <w:iCs/>
        </w:rPr>
        <w:t xml:space="preserve"> bán cho đối tác bên kia của giao dịch là Trung tâm lưu ký chứng khoán.</w:t>
      </w:r>
    </w:p>
    <w:p w:rsidR="00F952CC" w:rsidRPr="006234AA" w:rsidRDefault="00F952CC" w:rsidP="003C0546">
      <w:pPr>
        <w:pStyle w:val="ListParagraph"/>
        <w:spacing w:after="120"/>
        <w:rPr>
          <w:iCs/>
        </w:rPr>
      </w:pPr>
      <w:r w:rsidRPr="006234AA">
        <w:rPr>
          <w:i/>
          <w:iCs/>
        </w:rPr>
        <w:t xml:space="preserve">Bù trừ </w:t>
      </w:r>
      <w:r w:rsidRPr="006234AA">
        <w:rPr>
          <w:iCs/>
        </w:rPr>
        <w:t xml:space="preserve">là quá trình </w:t>
      </w:r>
      <w:r w:rsidR="00630F50" w:rsidRPr="006234AA">
        <w:rPr>
          <w:iCs/>
        </w:rPr>
        <w:t>xác định</w:t>
      </w:r>
      <w:r w:rsidRPr="006234AA">
        <w:rPr>
          <w:iCs/>
        </w:rPr>
        <w:t xml:space="preserve"> vị thế</w:t>
      </w:r>
      <w:r w:rsidR="00813DBA" w:rsidRPr="006234AA">
        <w:rPr>
          <w:iCs/>
        </w:rPr>
        <w:t xml:space="preserve"> ròng</w:t>
      </w:r>
      <w:r w:rsidR="00630F50" w:rsidRPr="006234AA">
        <w:rPr>
          <w:iCs/>
        </w:rPr>
        <w:t xml:space="preserve"> để tính toán </w:t>
      </w:r>
      <w:r w:rsidRPr="006234AA">
        <w:rPr>
          <w:iCs/>
        </w:rPr>
        <w:t xml:space="preserve">nghĩa vụ tài chính </w:t>
      </w:r>
      <w:r w:rsidR="00630F50" w:rsidRPr="006234AA">
        <w:rPr>
          <w:iCs/>
        </w:rPr>
        <w:t>của các bên tham gia giao dịch</w:t>
      </w:r>
      <w:r w:rsidRPr="006234AA">
        <w:rPr>
          <w:iCs/>
        </w:rPr>
        <w:t>.</w:t>
      </w:r>
    </w:p>
    <w:p w:rsidR="00F91B46" w:rsidRPr="006234AA" w:rsidRDefault="00F91B46" w:rsidP="003C0546">
      <w:pPr>
        <w:pStyle w:val="ListParagraph"/>
        <w:spacing w:after="120"/>
      </w:pPr>
      <w:r w:rsidRPr="006234AA">
        <w:rPr>
          <w:i/>
        </w:rPr>
        <w:t>Danh mục cổ phiếu cơ cấu</w:t>
      </w:r>
      <w:r w:rsidRPr="006234AA">
        <w:t xml:space="preserve"> của một chỉ số thị trường cổ phiếu (sau đây gọi là chỉ số tham chiếu) là danh mục bao gồm các cổ phiếu cấu thành chỉ số và đáp ứng đầy đủ các điều kiện sau:</w:t>
      </w:r>
    </w:p>
    <w:p w:rsidR="00507D41" w:rsidRPr="006234AA" w:rsidRDefault="00507D41" w:rsidP="003C0546">
      <w:pPr>
        <w:spacing w:after="120"/>
        <w:rPr>
          <w:lang w:val="nl-NL"/>
        </w:rPr>
      </w:pPr>
      <w:r w:rsidRPr="006234AA">
        <w:rPr>
          <w:lang w:val="nl-NL"/>
        </w:rPr>
        <w:t>a) Bao gồm tối thiểu 50% số chứng khoán cấu thành chỉ số tham chiếu;</w:t>
      </w:r>
    </w:p>
    <w:p w:rsidR="00880654" w:rsidRPr="006234AA" w:rsidRDefault="00507D41" w:rsidP="003C0546">
      <w:pPr>
        <w:spacing w:after="120"/>
        <w:rPr>
          <w:lang w:val="nl-NL"/>
        </w:rPr>
      </w:pPr>
      <w:r w:rsidRPr="006234AA">
        <w:rPr>
          <w:lang w:val="nl-NL"/>
        </w:rPr>
        <w:t xml:space="preserve">b) Giá trị của danh mục </w:t>
      </w:r>
      <w:r w:rsidR="00880654" w:rsidRPr="006234AA">
        <w:rPr>
          <w:lang w:val="nl-NL"/>
        </w:rPr>
        <w:t xml:space="preserve">không </w:t>
      </w:r>
      <w:r w:rsidRPr="006234AA">
        <w:rPr>
          <w:lang w:val="nl-NL"/>
        </w:rPr>
        <w:t>thấp hơn 95% giá trị của danh mục của chỉ số tham chiếu.</w:t>
      </w:r>
    </w:p>
    <w:p w:rsidR="00463FFE" w:rsidRPr="006234AA" w:rsidRDefault="00E14643" w:rsidP="003C0546">
      <w:pPr>
        <w:spacing w:after="120"/>
        <w:rPr>
          <w:lang w:val="nl-NL"/>
        </w:rPr>
      </w:pPr>
      <w:r w:rsidRPr="006234AA">
        <w:rPr>
          <w:i/>
          <w:lang w:val="nl-NL"/>
        </w:rPr>
        <w:t xml:space="preserve">5. </w:t>
      </w:r>
      <w:r w:rsidR="00463FFE" w:rsidRPr="006234AA">
        <w:rPr>
          <w:i/>
          <w:lang w:val="nl-NL"/>
        </w:rPr>
        <w:t xml:space="preserve">Đóng vị thế </w:t>
      </w:r>
      <w:r w:rsidR="00463FFE" w:rsidRPr="006234AA">
        <w:rPr>
          <w:lang w:val="nl-NL"/>
        </w:rPr>
        <w:t xml:space="preserve">là việc mở một vị thế </w:t>
      </w:r>
      <w:r w:rsidR="00FE14FB" w:rsidRPr="006234AA">
        <w:rPr>
          <w:lang w:val="nl-NL"/>
        </w:rPr>
        <w:t xml:space="preserve">mua (hoặc bán) nhằm làm giảm vị thế bán (hoặc mua) cùng chứng khoán phái sinh </w:t>
      </w:r>
      <w:r w:rsidR="00463FFE" w:rsidRPr="006234AA">
        <w:rPr>
          <w:lang w:val="nl-NL"/>
        </w:rPr>
        <w:t xml:space="preserve">đã mở trước đó. </w:t>
      </w:r>
    </w:p>
    <w:p w:rsidR="0081097B" w:rsidRPr="006234AA" w:rsidRDefault="00880654" w:rsidP="003C0546">
      <w:pPr>
        <w:spacing w:after="120"/>
        <w:rPr>
          <w:iCs/>
          <w:lang w:val="nl-NL"/>
        </w:rPr>
      </w:pPr>
      <w:r w:rsidRPr="006234AA">
        <w:rPr>
          <w:i/>
          <w:iCs/>
          <w:lang w:val="nl-NL"/>
        </w:rPr>
        <w:t xml:space="preserve">6. </w:t>
      </w:r>
      <w:r w:rsidR="00AC780F" w:rsidRPr="006234AA">
        <w:rPr>
          <w:i/>
          <w:iCs/>
          <w:lang w:val="nl-NL"/>
        </w:rPr>
        <w:t>Giá thanh toán cuối ngày</w:t>
      </w:r>
      <w:r w:rsidR="00E76CEB" w:rsidRPr="006234AA">
        <w:rPr>
          <w:i/>
          <w:iCs/>
          <w:lang w:val="nl-NL"/>
        </w:rPr>
        <w:t xml:space="preserve"> </w:t>
      </w:r>
      <w:r w:rsidR="0081097B" w:rsidRPr="006234AA">
        <w:rPr>
          <w:i/>
          <w:iCs/>
          <w:lang w:val="nl-NL"/>
        </w:rPr>
        <w:t>(daily settlement price)</w:t>
      </w:r>
      <w:r w:rsidR="0081097B" w:rsidRPr="006234AA">
        <w:rPr>
          <w:iCs/>
          <w:lang w:val="nl-NL"/>
        </w:rPr>
        <w:t xml:space="preserve"> là mức giá</w:t>
      </w:r>
      <w:r w:rsidR="00C17185" w:rsidRPr="006234AA">
        <w:rPr>
          <w:iCs/>
          <w:lang w:val="nl-NL"/>
        </w:rPr>
        <w:t xml:space="preserve"> do Sở giao dịch chứng khoán xác định</w:t>
      </w:r>
      <w:r w:rsidR="009F3DE8" w:rsidRPr="006234AA">
        <w:rPr>
          <w:iCs/>
          <w:lang w:val="nl-NL"/>
        </w:rPr>
        <w:t xml:space="preserve"> cuối ngày giao dịch. Mức giá này được Trung tâm Lưu ký chứng khoán sử dụng</w:t>
      </w:r>
      <w:r w:rsidR="0081097B" w:rsidRPr="006234AA">
        <w:rPr>
          <w:iCs/>
          <w:lang w:val="nl-NL"/>
        </w:rPr>
        <w:t xml:space="preserve"> để tính toán </w:t>
      </w:r>
      <w:r w:rsidR="00B95C1A" w:rsidRPr="006234AA">
        <w:rPr>
          <w:iCs/>
          <w:lang w:val="nl-NL"/>
        </w:rPr>
        <w:t xml:space="preserve">kết quả kinh doanh </w:t>
      </w:r>
      <w:r w:rsidR="009F3DE8" w:rsidRPr="006234AA">
        <w:rPr>
          <w:iCs/>
          <w:lang w:val="nl-NL"/>
        </w:rPr>
        <w:t xml:space="preserve">các vị thế mở </w:t>
      </w:r>
      <w:r w:rsidR="00B95C1A" w:rsidRPr="006234AA">
        <w:rPr>
          <w:iCs/>
          <w:lang w:val="nl-NL"/>
        </w:rPr>
        <w:t>(</w:t>
      </w:r>
      <w:r w:rsidR="00C17185" w:rsidRPr="006234AA">
        <w:rPr>
          <w:iCs/>
          <w:lang w:val="nl-NL"/>
        </w:rPr>
        <w:t>lãi lỗ</w:t>
      </w:r>
      <w:r w:rsidR="009F3DE8" w:rsidRPr="006234AA">
        <w:rPr>
          <w:iCs/>
          <w:lang w:val="nl-NL"/>
        </w:rPr>
        <w:t xml:space="preserve"> vị thế</w:t>
      </w:r>
      <w:r w:rsidR="00B95C1A" w:rsidRPr="006234AA">
        <w:rPr>
          <w:iCs/>
          <w:lang w:val="nl-NL"/>
        </w:rPr>
        <w:t>)</w:t>
      </w:r>
      <w:r w:rsidR="0081097B" w:rsidRPr="006234AA">
        <w:rPr>
          <w:iCs/>
          <w:lang w:val="nl-NL"/>
        </w:rPr>
        <w:t xml:space="preserve"> </w:t>
      </w:r>
      <w:r w:rsidR="00DE3DD0" w:rsidRPr="006234AA">
        <w:rPr>
          <w:iCs/>
          <w:lang w:val="nl-NL"/>
        </w:rPr>
        <w:t>phát sinh trong ngày</w:t>
      </w:r>
      <w:r w:rsidR="0081097B" w:rsidRPr="006234AA">
        <w:rPr>
          <w:iCs/>
          <w:lang w:val="nl-NL"/>
        </w:rPr>
        <w:t>.</w:t>
      </w:r>
      <w:r w:rsidR="00B15C45" w:rsidRPr="006234AA">
        <w:rPr>
          <w:iCs/>
          <w:lang w:val="nl-NL"/>
        </w:rPr>
        <w:t xml:space="preserve"> </w:t>
      </w:r>
    </w:p>
    <w:p w:rsidR="00880654" w:rsidRPr="006234AA" w:rsidRDefault="00C17185" w:rsidP="003C0546">
      <w:pPr>
        <w:spacing w:after="120"/>
        <w:rPr>
          <w:iCs/>
          <w:lang w:val="nl-NL"/>
        </w:rPr>
      </w:pPr>
      <w:r w:rsidRPr="006234AA">
        <w:rPr>
          <w:i/>
          <w:iCs/>
          <w:lang w:val="nl-NL"/>
        </w:rPr>
        <w:t>7</w:t>
      </w:r>
      <w:r w:rsidR="004E033C" w:rsidRPr="006234AA">
        <w:rPr>
          <w:i/>
          <w:iCs/>
          <w:lang w:val="nl-NL"/>
        </w:rPr>
        <w:t xml:space="preserve">. </w:t>
      </w:r>
      <w:r w:rsidR="00232F27" w:rsidRPr="006234AA">
        <w:rPr>
          <w:i/>
          <w:iCs/>
          <w:lang w:val="nl-NL"/>
        </w:rPr>
        <w:t xml:space="preserve">Giá thanh toán cuối cùng (final settlement price) </w:t>
      </w:r>
      <w:r w:rsidR="00232F27" w:rsidRPr="006234AA">
        <w:rPr>
          <w:iCs/>
          <w:lang w:val="nl-NL"/>
        </w:rPr>
        <w:t>là mức giá</w:t>
      </w:r>
      <w:r w:rsidR="009F3DE8" w:rsidRPr="006234AA">
        <w:rPr>
          <w:iCs/>
          <w:lang w:val="nl-NL"/>
        </w:rPr>
        <w:t xml:space="preserve"> do Sở giao dịch chứng khoán xác định tại ngày giao dịch cuối cùng của một chứng khoán phái sinh trước khi đáo hạn. </w:t>
      </w:r>
    </w:p>
    <w:p w:rsidR="00C17185" w:rsidRPr="006234AA" w:rsidRDefault="00C17185" w:rsidP="00C17185">
      <w:pPr>
        <w:spacing w:after="120"/>
        <w:rPr>
          <w:iCs/>
          <w:lang w:val="nl-NL"/>
        </w:rPr>
      </w:pPr>
      <w:r w:rsidRPr="006234AA">
        <w:rPr>
          <w:iCs/>
          <w:lang w:val="nl-NL"/>
        </w:rPr>
        <w:t xml:space="preserve">8. </w:t>
      </w:r>
      <w:r w:rsidRPr="006234AA">
        <w:rPr>
          <w:i/>
          <w:iCs/>
          <w:lang w:val="nl-NL"/>
        </w:rPr>
        <w:t>Giá tham chiếu</w:t>
      </w:r>
      <w:r w:rsidRPr="006234AA">
        <w:rPr>
          <w:iCs/>
          <w:lang w:val="nl-NL"/>
        </w:rPr>
        <w:t xml:space="preserve"> là giá thanh toán cuối ngày của ngày giao dịch trước đó.</w:t>
      </w:r>
    </w:p>
    <w:p w:rsidR="00C17185" w:rsidRPr="006234AA" w:rsidRDefault="00C17185" w:rsidP="003C0546">
      <w:pPr>
        <w:spacing w:after="120"/>
        <w:rPr>
          <w:iCs/>
          <w:lang w:val="nl-NL"/>
        </w:rPr>
      </w:pPr>
    </w:p>
    <w:p w:rsidR="0015613C" w:rsidRPr="006234AA" w:rsidRDefault="004E033C" w:rsidP="003C0546">
      <w:pPr>
        <w:spacing w:after="120"/>
        <w:rPr>
          <w:iCs/>
          <w:lang w:val="nl-NL"/>
        </w:rPr>
      </w:pPr>
      <w:r w:rsidRPr="006234AA">
        <w:rPr>
          <w:i/>
          <w:iCs/>
          <w:lang w:val="nl-NL"/>
        </w:rPr>
        <w:t xml:space="preserve">9. </w:t>
      </w:r>
      <w:r w:rsidR="0081097B" w:rsidRPr="006234AA">
        <w:rPr>
          <w:i/>
          <w:iCs/>
          <w:lang w:val="nl-NL"/>
        </w:rPr>
        <w:t xml:space="preserve">Giá </w:t>
      </w:r>
      <w:r w:rsidR="000A65D9" w:rsidRPr="006234AA">
        <w:rPr>
          <w:i/>
          <w:iCs/>
          <w:lang w:val="nl-NL"/>
        </w:rPr>
        <w:t>thanh toán</w:t>
      </w:r>
      <w:r w:rsidR="0081097B" w:rsidRPr="006234AA">
        <w:rPr>
          <w:i/>
          <w:iCs/>
          <w:lang w:val="nl-NL"/>
        </w:rPr>
        <w:t xml:space="preserve"> (settlement price)</w:t>
      </w:r>
      <w:r w:rsidR="00DE3DD0" w:rsidRPr="006234AA">
        <w:rPr>
          <w:i/>
          <w:iCs/>
          <w:lang w:val="nl-NL"/>
        </w:rPr>
        <w:t xml:space="preserve"> </w:t>
      </w:r>
      <w:r w:rsidR="00DE3DD0" w:rsidRPr="006234AA">
        <w:rPr>
          <w:iCs/>
          <w:lang w:val="nl-NL"/>
        </w:rPr>
        <w:t xml:space="preserve">là </w:t>
      </w:r>
      <w:r w:rsidR="00435732" w:rsidRPr="006234AA">
        <w:rPr>
          <w:iCs/>
          <w:lang w:val="nl-NL"/>
        </w:rPr>
        <w:t xml:space="preserve">giá khớp các lệnh </w:t>
      </w:r>
      <w:r w:rsidR="000A65D9" w:rsidRPr="006234AA">
        <w:rPr>
          <w:iCs/>
          <w:lang w:val="nl-NL"/>
        </w:rPr>
        <w:t>giao dịch hợp đồng tương lai giữa các</w:t>
      </w:r>
      <w:r w:rsidR="00435732" w:rsidRPr="006234AA">
        <w:rPr>
          <w:iCs/>
          <w:lang w:val="nl-NL"/>
        </w:rPr>
        <w:t xml:space="preserve"> nhà đầu tư thông qua hệ thống giao dịch của Sở giao dịch chứng khoán</w:t>
      </w:r>
      <w:r w:rsidR="000A1AA6" w:rsidRPr="006234AA">
        <w:rPr>
          <w:iCs/>
          <w:lang w:val="nl-NL"/>
        </w:rPr>
        <w:t xml:space="preserve"> và là mức giá </w:t>
      </w:r>
      <w:r w:rsidR="000A65D9" w:rsidRPr="006234AA">
        <w:rPr>
          <w:iCs/>
          <w:lang w:val="nl-NL"/>
        </w:rPr>
        <w:t xml:space="preserve">thực hiện </w:t>
      </w:r>
      <w:r w:rsidR="000A1AA6" w:rsidRPr="006234AA">
        <w:rPr>
          <w:iCs/>
          <w:lang w:val="nl-NL"/>
        </w:rPr>
        <w:t>giao dịch của hợp đồng</w:t>
      </w:r>
      <w:r w:rsidR="000A65D9" w:rsidRPr="006234AA">
        <w:rPr>
          <w:iCs/>
          <w:lang w:val="nl-NL"/>
        </w:rPr>
        <w:t xml:space="preserve"> tương lai</w:t>
      </w:r>
      <w:r w:rsidR="000A1AA6" w:rsidRPr="006234AA">
        <w:rPr>
          <w:iCs/>
          <w:lang w:val="nl-NL"/>
        </w:rPr>
        <w:t>.</w:t>
      </w:r>
    </w:p>
    <w:p w:rsidR="000A65D9" w:rsidRPr="006234AA" w:rsidRDefault="000A65D9" w:rsidP="00D36937">
      <w:pPr>
        <w:pStyle w:val="ListParagraph"/>
        <w:numPr>
          <w:ilvl w:val="0"/>
          <w:numId w:val="47"/>
        </w:numPr>
        <w:spacing w:after="120"/>
        <w:rPr>
          <w:iCs/>
        </w:rPr>
      </w:pPr>
      <w:r w:rsidRPr="006234AA">
        <w:rPr>
          <w:i/>
          <w:iCs/>
        </w:rPr>
        <w:t>Giá thực hiện (strike/exercise price)</w:t>
      </w:r>
      <w:r w:rsidRPr="006234AA">
        <w:rPr>
          <w:iCs/>
        </w:rPr>
        <w:t xml:space="preserve"> là giá khớp các lệnh giao dịch hợp đồng quyền chọn giữa các nhà đầu tư thông qua hệ thống giao dịch của Sở giao dịch chứng khoán và là mức giá thực hiện giao dịch của quyền chọn.</w:t>
      </w:r>
    </w:p>
    <w:p w:rsidR="004746E3" w:rsidRPr="006234AA" w:rsidRDefault="0015613C" w:rsidP="00D36937">
      <w:pPr>
        <w:pStyle w:val="ListParagraph"/>
        <w:numPr>
          <w:ilvl w:val="0"/>
          <w:numId w:val="47"/>
        </w:numPr>
        <w:spacing w:after="120"/>
        <w:rPr>
          <w:i/>
          <w:iCs/>
        </w:rPr>
      </w:pPr>
      <w:r w:rsidRPr="006234AA">
        <w:rPr>
          <w:i/>
          <w:iCs/>
        </w:rPr>
        <w:t>Giá trị</w:t>
      </w:r>
      <w:r w:rsidR="00F74CBC" w:rsidRPr="006234AA">
        <w:rPr>
          <w:i/>
          <w:iCs/>
        </w:rPr>
        <w:t xml:space="preserve"> </w:t>
      </w:r>
      <w:r w:rsidR="00B95C1A" w:rsidRPr="006234AA">
        <w:rPr>
          <w:i/>
          <w:iCs/>
        </w:rPr>
        <w:t xml:space="preserve">của </w:t>
      </w:r>
      <w:r w:rsidR="004746E3" w:rsidRPr="006234AA">
        <w:rPr>
          <w:i/>
          <w:iCs/>
        </w:rPr>
        <w:t>lệnh</w:t>
      </w:r>
      <w:r w:rsidR="00F74CBC" w:rsidRPr="006234AA">
        <w:rPr>
          <w:i/>
          <w:iCs/>
        </w:rPr>
        <w:t xml:space="preserve"> </w:t>
      </w:r>
      <w:r w:rsidR="00B95C1A" w:rsidRPr="006234AA">
        <w:rPr>
          <w:iCs/>
        </w:rPr>
        <w:t xml:space="preserve">được xác định </w:t>
      </w:r>
      <w:r w:rsidRPr="006234AA">
        <w:rPr>
          <w:iCs/>
        </w:rPr>
        <w:t>bằng số</w:t>
      </w:r>
      <w:r w:rsidR="00DE3DD0" w:rsidRPr="006234AA">
        <w:rPr>
          <w:iCs/>
        </w:rPr>
        <w:t xml:space="preserve"> </w:t>
      </w:r>
      <w:r w:rsidRPr="006234AA">
        <w:rPr>
          <w:iCs/>
        </w:rPr>
        <w:t xml:space="preserve">lượng </w:t>
      </w:r>
      <w:r w:rsidR="00AE6A5E" w:rsidRPr="006234AA">
        <w:rPr>
          <w:iCs/>
        </w:rPr>
        <w:t xml:space="preserve">hợp đồng </w:t>
      </w:r>
      <w:r w:rsidR="00B95C1A" w:rsidRPr="006234AA">
        <w:rPr>
          <w:iCs/>
        </w:rPr>
        <w:t>chứng khoán phái sinh</w:t>
      </w:r>
      <w:r w:rsidRPr="006234AA">
        <w:rPr>
          <w:iCs/>
        </w:rPr>
        <w:t xml:space="preserve"> </w:t>
      </w:r>
      <w:r w:rsidR="00AE6A5E" w:rsidRPr="006234AA">
        <w:rPr>
          <w:iCs/>
        </w:rPr>
        <w:t xml:space="preserve">dự kiến giao dịch </w:t>
      </w:r>
      <w:r w:rsidRPr="006234AA">
        <w:rPr>
          <w:iCs/>
        </w:rPr>
        <w:t xml:space="preserve">nhân với </w:t>
      </w:r>
      <w:r w:rsidR="00F74CBC" w:rsidRPr="006234AA">
        <w:rPr>
          <w:iCs/>
        </w:rPr>
        <w:t>giá trị của một hợp đồng tính theo mức</w:t>
      </w:r>
      <w:r w:rsidRPr="006234AA">
        <w:rPr>
          <w:iCs/>
        </w:rPr>
        <w:t xml:space="preserve"> giá </w:t>
      </w:r>
      <w:r w:rsidR="004746E3" w:rsidRPr="006234AA">
        <w:rPr>
          <w:iCs/>
        </w:rPr>
        <w:t>trần</w:t>
      </w:r>
      <w:r w:rsidR="00F74CBC" w:rsidRPr="006234AA">
        <w:rPr>
          <w:iCs/>
        </w:rPr>
        <w:t xml:space="preserve"> </w:t>
      </w:r>
      <w:r w:rsidR="00AE6A5E" w:rsidRPr="006234AA">
        <w:rPr>
          <w:iCs/>
        </w:rPr>
        <w:t>vào</w:t>
      </w:r>
      <w:r w:rsidR="00F74CBC" w:rsidRPr="006234AA">
        <w:rPr>
          <w:iCs/>
        </w:rPr>
        <w:t xml:space="preserve"> ngày đặt lệnh giao dịch</w:t>
      </w:r>
      <w:r w:rsidR="004746E3" w:rsidRPr="006234AA">
        <w:rPr>
          <w:iCs/>
        </w:rPr>
        <w:t>.</w:t>
      </w:r>
      <w:r w:rsidR="00BE63CA" w:rsidRPr="006234AA">
        <w:rPr>
          <w:iCs/>
        </w:rPr>
        <w:t xml:space="preserve"> </w:t>
      </w:r>
    </w:p>
    <w:p w:rsidR="0081097B" w:rsidRPr="006234AA" w:rsidRDefault="004746E3" w:rsidP="003C0546">
      <w:pPr>
        <w:pStyle w:val="ListParagraph"/>
        <w:spacing w:after="120"/>
        <w:rPr>
          <w:i/>
          <w:iCs/>
        </w:rPr>
      </w:pPr>
      <w:r w:rsidRPr="006234AA">
        <w:rPr>
          <w:i/>
          <w:iCs/>
        </w:rPr>
        <w:t xml:space="preserve">Giá trị </w:t>
      </w:r>
      <w:r w:rsidR="00F74CBC" w:rsidRPr="006234AA">
        <w:rPr>
          <w:i/>
          <w:iCs/>
        </w:rPr>
        <w:t>thực hiện</w:t>
      </w:r>
      <w:r w:rsidR="00AE6A5E" w:rsidRPr="006234AA">
        <w:rPr>
          <w:i/>
          <w:iCs/>
        </w:rPr>
        <w:t xml:space="preserve"> của lệnh</w:t>
      </w:r>
      <w:r w:rsidRPr="006234AA">
        <w:rPr>
          <w:iCs/>
        </w:rPr>
        <w:t xml:space="preserve"> </w:t>
      </w:r>
      <w:r w:rsidR="00AE6A5E" w:rsidRPr="006234AA">
        <w:rPr>
          <w:iCs/>
        </w:rPr>
        <w:t xml:space="preserve">được xác định </w:t>
      </w:r>
      <w:r w:rsidRPr="006234AA">
        <w:rPr>
          <w:iCs/>
        </w:rPr>
        <w:t xml:space="preserve">bằng số </w:t>
      </w:r>
      <w:r w:rsidR="007E7732" w:rsidRPr="006234AA">
        <w:rPr>
          <w:iCs/>
        </w:rPr>
        <w:t>nhân của</w:t>
      </w:r>
      <w:r w:rsidRPr="006234AA">
        <w:rPr>
          <w:iCs/>
        </w:rPr>
        <w:t xml:space="preserve"> hợp đồng nhân </w:t>
      </w:r>
      <w:r w:rsidR="00304539" w:rsidRPr="006234AA">
        <w:rPr>
          <w:iCs/>
        </w:rPr>
        <w:t>với</w:t>
      </w:r>
      <w:r w:rsidRPr="006234AA">
        <w:rPr>
          <w:iCs/>
        </w:rPr>
        <w:t xml:space="preserve"> </w:t>
      </w:r>
      <w:r w:rsidR="00F74CBC" w:rsidRPr="006234AA">
        <w:rPr>
          <w:iCs/>
        </w:rPr>
        <w:t>giá trị một hợp đồng tính theo</w:t>
      </w:r>
      <w:r w:rsidRPr="006234AA">
        <w:rPr>
          <w:iCs/>
        </w:rPr>
        <w:t xml:space="preserve"> </w:t>
      </w:r>
      <w:r w:rsidR="000A65D9" w:rsidRPr="006234AA">
        <w:rPr>
          <w:iCs/>
        </w:rPr>
        <w:t>giá thanh toán</w:t>
      </w:r>
      <w:r w:rsidRPr="006234AA">
        <w:rPr>
          <w:iCs/>
        </w:rPr>
        <w:t>.</w:t>
      </w:r>
    </w:p>
    <w:p w:rsidR="006A6F36" w:rsidRPr="006234AA" w:rsidRDefault="006A6F36" w:rsidP="003C0546">
      <w:pPr>
        <w:pStyle w:val="ListParagraph"/>
        <w:spacing w:after="120"/>
        <w:rPr>
          <w:i/>
          <w:iCs/>
        </w:rPr>
      </w:pPr>
      <w:r w:rsidRPr="006234AA">
        <w:rPr>
          <w:i/>
          <w:iCs/>
        </w:rPr>
        <w:t xml:space="preserve">Giá trị tài sản ký quỹ  </w:t>
      </w:r>
      <w:r w:rsidRPr="006234AA">
        <w:rPr>
          <w:iCs/>
        </w:rPr>
        <w:t>bao gồm số dư tài khoản tiền gửi ký quỹ và giá trị danh mục chứng khoán ký quỹ được định giá theo quy định tại Phụ lục số 09 ban hành kèm theo Thông tư này.</w:t>
      </w:r>
    </w:p>
    <w:p w:rsidR="00784FF7" w:rsidRPr="006234AA" w:rsidRDefault="00784FF7" w:rsidP="003C0546">
      <w:pPr>
        <w:pStyle w:val="ListParagraph"/>
        <w:spacing w:after="120"/>
      </w:pPr>
      <w:r w:rsidRPr="006234AA">
        <w:rPr>
          <w:i/>
        </w:rPr>
        <w:t xml:space="preserve">Giao dịch </w:t>
      </w:r>
      <w:r w:rsidR="007E7732" w:rsidRPr="006234AA">
        <w:rPr>
          <w:i/>
        </w:rPr>
        <w:t xml:space="preserve">hạn chế </w:t>
      </w:r>
      <w:r w:rsidRPr="006234AA">
        <w:rPr>
          <w:i/>
        </w:rPr>
        <w:t>chênh lệch giá (arbitrage trade)</w:t>
      </w:r>
      <w:r w:rsidRPr="006234AA">
        <w:t xml:space="preserve"> </w:t>
      </w:r>
      <w:r w:rsidR="00FB143E" w:rsidRPr="006234AA">
        <w:t>l</w:t>
      </w:r>
      <w:r w:rsidRPr="006234AA">
        <w:t xml:space="preserve">à việc </w:t>
      </w:r>
      <w:r w:rsidR="00F662A7" w:rsidRPr="006234AA">
        <w:t xml:space="preserve">đồng thời </w:t>
      </w:r>
      <w:r w:rsidRPr="006234AA">
        <w:t xml:space="preserve">mua và bán </w:t>
      </w:r>
      <w:r w:rsidR="009D586E" w:rsidRPr="006234AA">
        <w:t xml:space="preserve">cùng một loại chứng khoán hoặc các chứng khoán </w:t>
      </w:r>
      <w:r w:rsidR="00F63251" w:rsidRPr="006234AA">
        <w:t>tương tự và có thể thay thế nhau</w:t>
      </w:r>
      <w:r w:rsidR="009536B2" w:rsidRPr="006234AA">
        <w:t>, trên các</w:t>
      </w:r>
      <w:r w:rsidR="00F63251" w:rsidRPr="006234AA">
        <w:t xml:space="preserve"> </w:t>
      </w:r>
      <w:r w:rsidR="009D586E" w:rsidRPr="006234AA">
        <w:t xml:space="preserve">thị trường khác nhau hoặc dưới các hình thức khác nhau, tại cùng một thời điểm, với mục đích kiếm lợi nhuận từ sự chênh lệch giá. </w:t>
      </w:r>
    </w:p>
    <w:p w:rsidR="003F4405" w:rsidRPr="006234AA" w:rsidRDefault="00784FF7" w:rsidP="003C0546">
      <w:pPr>
        <w:pStyle w:val="ListParagraph"/>
        <w:spacing w:after="120"/>
      </w:pPr>
      <w:r w:rsidRPr="006234AA">
        <w:rPr>
          <w:i/>
        </w:rPr>
        <w:t>Giao dịch phòng ngừa rủi ro (hedge trade)</w:t>
      </w:r>
      <w:r w:rsidRPr="006234AA">
        <w:t xml:space="preserve"> </w:t>
      </w:r>
      <w:r w:rsidR="001F32DC" w:rsidRPr="006234AA">
        <w:t>l</w:t>
      </w:r>
      <w:r w:rsidRPr="006234AA">
        <w:t xml:space="preserve">à </w:t>
      </w:r>
      <w:r w:rsidR="001620E4" w:rsidRPr="006234AA">
        <w:t xml:space="preserve">việc mở một vị thế chứng khoán phái sinh </w:t>
      </w:r>
      <w:r w:rsidRPr="006234AA">
        <w:t xml:space="preserve">nhằm bù đắp tổn thất có thể xảy ra cho danh mục đầu tư </w:t>
      </w:r>
      <w:r w:rsidR="009D586E" w:rsidRPr="006234AA">
        <w:t>mà</w:t>
      </w:r>
      <w:r w:rsidRPr="006234AA">
        <w:t xml:space="preserve"> nhà đầu tư</w:t>
      </w:r>
      <w:r w:rsidR="009D586E" w:rsidRPr="006234AA">
        <w:t xml:space="preserve"> đang nắm giữ</w:t>
      </w:r>
      <w:r w:rsidR="001620E4" w:rsidRPr="006234AA">
        <w:t xml:space="preserve"> hoặc dự kiến nắm giữ</w:t>
      </w:r>
      <w:r w:rsidRPr="006234AA">
        <w:t>.</w:t>
      </w:r>
      <w:r w:rsidR="00693381" w:rsidRPr="006234AA">
        <w:t xml:space="preserve"> </w:t>
      </w:r>
    </w:p>
    <w:p w:rsidR="00F91B46" w:rsidRPr="006234AA" w:rsidRDefault="00BA783A" w:rsidP="003C0546">
      <w:pPr>
        <w:pStyle w:val="ListParagraph"/>
        <w:spacing w:after="120"/>
        <w:rPr>
          <w:b/>
        </w:rPr>
      </w:pPr>
      <w:r w:rsidRPr="006234AA">
        <w:rPr>
          <w:i/>
        </w:rPr>
        <w:t xml:space="preserve">Giao dịch </w:t>
      </w:r>
      <w:r w:rsidR="00C64FE0" w:rsidRPr="006234AA">
        <w:rPr>
          <w:i/>
        </w:rPr>
        <w:t>danh mục</w:t>
      </w:r>
      <w:r w:rsidRPr="006234AA">
        <w:rPr>
          <w:i/>
        </w:rPr>
        <w:t xml:space="preserve"> chỉ số</w:t>
      </w:r>
      <w:r w:rsidRPr="006234AA">
        <w:t xml:space="preserve"> là </w:t>
      </w:r>
      <w:r w:rsidR="001620E4" w:rsidRPr="006234AA">
        <w:t>việc</w:t>
      </w:r>
      <w:r w:rsidRPr="006234AA">
        <w:t xml:space="preserve"> mua hoặc bán </w:t>
      </w:r>
      <w:r w:rsidR="00F91B46" w:rsidRPr="006234AA">
        <w:t xml:space="preserve">danh mục </w:t>
      </w:r>
      <w:r w:rsidR="001620E4" w:rsidRPr="006234AA">
        <w:t xml:space="preserve">cổ phiếu </w:t>
      </w:r>
      <w:r w:rsidR="00F91B46" w:rsidRPr="006234AA">
        <w:t>cơ cấu</w:t>
      </w:r>
      <w:r w:rsidR="001620E4" w:rsidRPr="006234AA">
        <w:t xml:space="preserve"> của</w:t>
      </w:r>
      <w:r w:rsidR="00F91B46" w:rsidRPr="006234AA">
        <w:t xml:space="preserve"> một chỉ số thị trường</w:t>
      </w:r>
      <w:r w:rsidR="00814863" w:rsidRPr="006234AA">
        <w:t>.</w:t>
      </w:r>
    </w:p>
    <w:p w:rsidR="00BA783A" w:rsidRPr="006234AA" w:rsidRDefault="00BA783A" w:rsidP="003C0546">
      <w:pPr>
        <w:pStyle w:val="ListParagraph"/>
        <w:spacing w:after="120"/>
      </w:pPr>
      <w:r w:rsidRPr="006234AA">
        <w:rPr>
          <w:i/>
        </w:rPr>
        <w:t xml:space="preserve">Giới hạn lệnh </w:t>
      </w:r>
      <w:r w:rsidR="0047546F" w:rsidRPr="006234AA">
        <w:rPr>
          <w:i/>
        </w:rPr>
        <w:t xml:space="preserve">một chứng khoán phái sinh </w:t>
      </w:r>
      <w:r w:rsidR="00EB67B7" w:rsidRPr="006234AA">
        <w:t>là</w:t>
      </w:r>
      <w:r w:rsidR="00EB67B7" w:rsidRPr="006234AA">
        <w:rPr>
          <w:b/>
        </w:rPr>
        <w:t xml:space="preserve"> </w:t>
      </w:r>
      <w:r w:rsidR="00EB67B7" w:rsidRPr="006234AA">
        <w:t>số lượng chứng khoán phái sinh tối đa có thể đặt</w:t>
      </w:r>
      <w:r w:rsidR="00666F37" w:rsidRPr="006234AA">
        <w:t xml:space="preserve"> </w:t>
      </w:r>
      <w:r w:rsidR="00EB67B7" w:rsidRPr="006234AA">
        <w:t>trên một lệnh giao dịch</w:t>
      </w:r>
      <w:r w:rsidRPr="006234AA">
        <w:t>.</w:t>
      </w:r>
    </w:p>
    <w:p w:rsidR="00BA783A" w:rsidRPr="006234AA" w:rsidRDefault="00BA783A" w:rsidP="003C0546">
      <w:pPr>
        <w:pStyle w:val="ListParagraph"/>
        <w:spacing w:after="120"/>
      </w:pPr>
      <w:r w:rsidRPr="006234AA">
        <w:rPr>
          <w:i/>
        </w:rPr>
        <w:t>Giới hạn lệnh tích lũy</w:t>
      </w:r>
      <w:r w:rsidR="0047546F" w:rsidRPr="006234AA">
        <w:rPr>
          <w:i/>
        </w:rPr>
        <w:t xml:space="preserve"> một chứng khoán phái sinh</w:t>
      </w:r>
      <w:r w:rsidRPr="006234AA">
        <w:rPr>
          <w:i/>
        </w:rPr>
        <w:t xml:space="preserve"> </w:t>
      </w:r>
      <w:r w:rsidR="001620E4" w:rsidRPr="006234AA">
        <w:t>là số lượng chứng khoán phái sinh tối đa trên các lệnh giao dịch đang chờ thực hiện có thể đặt từ một tài khoản giao dịch</w:t>
      </w:r>
      <w:r w:rsidR="00165A2B" w:rsidRPr="006234AA">
        <w:t>.</w:t>
      </w:r>
    </w:p>
    <w:p w:rsidR="001A6F03" w:rsidRPr="006234AA" w:rsidRDefault="001620E4" w:rsidP="003C0546">
      <w:pPr>
        <w:pStyle w:val="ListParagraph"/>
        <w:spacing w:after="120"/>
      </w:pPr>
      <w:r w:rsidRPr="006234AA">
        <w:rPr>
          <w:i/>
        </w:rPr>
        <w:t xml:space="preserve">Giới hạn vị thế </w:t>
      </w:r>
      <w:r w:rsidRPr="006234AA">
        <w:t>một chứng khoán phái sinh là vị thế ròng tối đa của chứng khoán phái sinh đó, hoặc của chứng khoán phái sinh đó và các chứng khoán phái sinh khác dựa trên cùng một tài sản cơ sở, mà nhà đầu tư được quyền nắm giữ tại một thời điểm.</w:t>
      </w:r>
    </w:p>
    <w:p w:rsidR="00CB182C" w:rsidRPr="006234AA" w:rsidRDefault="004C5E2F" w:rsidP="003C0546">
      <w:pPr>
        <w:pStyle w:val="ListParagraph"/>
        <w:spacing w:after="120"/>
        <w:rPr>
          <w:bCs/>
          <w:i/>
        </w:rPr>
      </w:pPr>
      <w:r w:rsidRPr="006234AA">
        <w:rPr>
          <w:bCs/>
          <w:i/>
        </w:rPr>
        <w:t>Khách hàng</w:t>
      </w:r>
      <w:r w:rsidR="005F0A6E" w:rsidRPr="006234AA">
        <w:rPr>
          <w:bCs/>
          <w:i/>
        </w:rPr>
        <w:t xml:space="preserve"> môi giới</w:t>
      </w:r>
      <w:r w:rsidRPr="006234AA">
        <w:rPr>
          <w:bCs/>
          <w:i/>
        </w:rPr>
        <w:t xml:space="preserve"> </w:t>
      </w:r>
      <w:r w:rsidRPr="006234AA">
        <w:rPr>
          <w:bCs/>
        </w:rPr>
        <w:t xml:space="preserve">là </w:t>
      </w:r>
      <w:r w:rsidR="00CB182C" w:rsidRPr="006234AA">
        <w:rPr>
          <w:bCs/>
        </w:rPr>
        <w:t xml:space="preserve">nhà đầu tư, cá nhân hoặc tổ chức, thực hiện giao dịch chứng khoán phái sinh thông qua sự môi giới của thành viên </w:t>
      </w:r>
      <w:r w:rsidR="001016A1" w:rsidRPr="006234AA">
        <w:rPr>
          <w:bCs/>
        </w:rPr>
        <w:t>giao dịch</w:t>
      </w:r>
      <w:r w:rsidR="00CB182C" w:rsidRPr="006234AA">
        <w:rPr>
          <w:bCs/>
        </w:rPr>
        <w:t>.</w:t>
      </w:r>
    </w:p>
    <w:p w:rsidR="004C5E2F" w:rsidRPr="006234AA" w:rsidRDefault="00CB182C" w:rsidP="003C0546">
      <w:pPr>
        <w:pStyle w:val="ListParagraph"/>
        <w:spacing w:after="120"/>
        <w:rPr>
          <w:bCs/>
          <w:i/>
        </w:rPr>
      </w:pPr>
      <w:r w:rsidRPr="006234AA">
        <w:rPr>
          <w:bCs/>
          <w:i/>
        </w:rPr>
        <w:t xml:space="preserve">Khách hàng </w:t>
      </w:r>
      <w:r w:rsidR="00666F37" w:rsidRPr="006234AA">
        <w:rPr>
          <w:bCs/>
          <w:i/>
        </w:rPr>
        <w:t>bù trừ, thanh toán</w:t>
      </w:r>
      <w:r w:rsidRPr="006234AA">
        <w:rPr>
          <w:bCs/>
          <w:i/>
        </w:rPr>
        <w:t xml:space="preserve"> </w:t>
      </w:r>
      <w:r w:rsidRPr="006234AA">
        <w:rPr>
          <w:bCs/>
        </w:rPr>
        <w:t xml:space="preserve">là </w:t>
      </w:r>
      <w:r w:rsidR="001016A1" w:rsidRPr="006234AA">
        <w:rPr>
          <w:bCs/>
        </w:rPr>
        <w:t xml:space="preserve">thành viên giao dịch không bù trừ và các </w:t>
      </w:r>
      <w:r w:rsidR="0017364B" w:rsidRPr="006234AA">
        <w:rPr>
          <w:bCs/>
        </w:rPr>
        <w:t>khách hàng môi giới của thành viên này đã</w:t>
      </w:r>
      <w:r w:rsidR="00E14643" w:rsidRPr="006234AA">
        <w:rPr>
          <w:bCs/>
        </w:rPr>
        <w:t xml:space="preserve"> </w:t>
      </w:r>
      <w:r w:rsidRPr="006234AA">
        <w:rPr>
          <w:bCs/>
        </w:rPr>
        <w:t xml:space="preserve">ủy thác hoạt động </w:t>
      </w:r>
      <w:r w:rsidR="00666F37" w:rsidRPr="006234AA">
        <w:rPr>
          <w:bCs/>
        </w:rPr>
        <w:t>bù trừ, thanh toán</w:t>
      </w:r>
      <w:r w:rsidRPr="006234AA">
        <w:rPr>
          <w:bCs/>
        </w:rPr>
        <w:t xml:space="preserve"> </w:t>
      </w:r>
      <w:r w:rsidR="001016A1" w:rsidRPr="006234AA">
        <w:rPr>
          <w:bCs/>
        </w:rPr>
        <w:t xml:space="preserve">giao dịch chứng khoán phái sinh </w:t>
      </w:r>
      <w:r w:rsidRPr="006234AA">
        <w:rPr>
          <w:bCs/>
        </w:rPr>
        <w:t>cho thành viên bù trừ được chỉ định.</w:t>
      </w:r>
    </w:p>
    <w:p w:rsidR="00E14643" w:rsidRPr="006234AA" w:rsidRDefault="00E14643" w:rsidP="003C0546">
      <w:pPr>
        <w:pStyle w:val="ListParagraph"/>
        <w:spacing w:after="120"/>
        <w:rPr>
          <w:b/>
          <w:bCs/>
        </w:rPr>
      </w:pPr>
      <w:r w:rsidRPr="006234AA">
        <w:rPr>
          <w:i/>
        </w:rPr>
        <w:lastRenderedPageBreak/>
        <w:t>Khối lượng mở (Open Interests)</w:t>
      </w:r>
      <w:r w:rsidR="008446DA" w:rsidRPr="006234AA">
        <w:rPr>
          <w:i/>
        </w:rPr>
        <w:t xml:space="preserve"> </w:t>
      </w:r>
      <w:r w:rsidR="000A65D9" w:rsidRPr="006234AA">
        <w:t>của</w:t>
      </w:r>
      <w:r w:rsidR="000A65D9" w:rsidRPr="006234AA">
        <w:rPr>
          <w:i/>
        </w:rPr>
        <w:t xml:space="preserve"> </w:t>
      </w:r>
      <w:r w:rsidR="008446DA" w:rsidRPr="006234AA">
        <w:t>một chứng khoán phái sinh tại một thời điểm</w:t>
      </w:r>
      <w:r w:rsidRPr="006234AA">
        <w:rPr>
          <w:i/>
        </w:rPr>
        <w:t xml:space="preserve"> </w:t>
      </w:r>
      <w:r w:rsidRPr="006234AA">
        <w:t xml:space="preserve">là khối lượng </w:t>
      </w:r>
      <w:r w:rsidR="0017364B" w:rsidRPr="006234AA">
        <w:t>chứng khoán phái sinh</w:t>
      </w:r>
      <w:r w:rsidR="000A65D9" w:rsidRPr="006234AA">
        <w:t xml:space="preserve"> </w:t>
      </w:r>
      <w:r w:rsidR="0017364B" w:rsidRPr="006234AA">
        <w:t xml:space="preserve">đang </w:t>
      </w:r>
      <w:r w:rsidR="000A65D9" w:rsidRPr="006234AA">
        <w:t xml:space="preserve">còn </w:t>
      </w:r>
      <w:r w:rsidR="008446DA" w:rsidRPr="006234AA">
        <w:t>lưu hành</w:t>
      </w:r>
      <w:r w:rsidR="000A65D9" w:rsidRPr="006234AA">
        <w:t xml:space="preserve"> tại thời điểm đó</w:t>
      </w:r>
      <w:r w:rsidR="008446DA" w:rsidRPr="006234AA">
        <w:t>, chưa được thanh lý hoặc chưa được tất toán</w:t>
      </w:r>
      <w:r w:rsidRPr="006234AA">
        <w:t>.</w:t>
      </w:r>
    </w:p>
    <w:p w:rsidR="00E14643" w:rsidRPr="006234AA" w:rsidRDefault="00E14643" w:rsidP="003C0546">
      <w:pPr>
        <w:pStyle w:val="ListParagraph"/>
        <w:spacing w:after="120"/>
      </w:pPr>
      <w:r w:rsidRPr="006234AA">
        <w:rPr>
          <w:i/>
          <w:iCs/>
        </w:rPr>
        <w:t xml:space="preserve">Ký quỹ </w:t>
      </w:r>
      <w:r w:rsidRPr="006234AA">
        <w:t xml:space="preserve">là </w:t>
      </w:r>
      <w:r w:rsidR="00F8148E" w:rsidRPr="006234AA">
        <w:t xml:space="preserve">bên có nghĩa vụ </w:t>
      </w:r>
      <w:r w:rsidR="0047546F" w:rsidRPr="006234AA">
        <w:t>gửi</w:t>
      </w:r>
      <w:r w:rsidRPr="006234AA">
        <w:t xml:space="preserve"> một khoản tiền</w:t>
      </w:r>
      <w:r w:rsidR="00F8148E" w:rsidRPr="006234AA">
        <w:t xml:space="preserve"> </w:t>
      </w:r>
      <w:r w:rsidR="0047546F" w:rsidRPr="006234AA">
        <w:t xml:space="preserve">hoặc </w:t>
      </w:r>
      <w:r w:rsidR="00BB69AF" w:rsidRPr="006234AA">
        <w:t xml:space="preserve">đề nghị </w:t>
      </w:r>
      <w:r w:rsidR="0047546F" w:rsidRPr="006234AA">
        <w:t>phong tỏa</w:t>
      </w:r>
      <w:r w:rsidRPr="006234AA">
        <w:t xml:space="preserve"> </w:t>
      </w:r>
      <w:r w:rsidR="00BB69AF" w:rsidRPr="006234AA">
        <w:t xml:space="preserve">một lượng </w:t>
      </w:r>
      <w:r w:rsidR="0047546F" w:rsidRPr="006234AA">
        <w:t>c</w:t>
      </w:r>
      <w:r w:rsidR="00B84486" w:rsidRPr="006234AA">
        <w:t xml:space="preserve">hứng khoán </w:t>
      </w:r>
      <w:r w:rsidR="0020601F" w:rsidRPr="006234AA">
        <w:t>được chấp nhận ký quỹ</w:t>
      </w:r>
      <w:r w:rsidRPr="006234AA">
        <w:t xml:space="preserve"> để đảm bảo nghĩa vụ thanh toán </w:t>
      </w:r>
      <w:r w:rsidR="00D85AFC" w:rsidRPr="006234AA">
        <w:t xml:space="preserve">cho vị thế mở </w:t>
      </w:r>
      <w:r w:rsidRPr="006234AA">
        <w:t>chứng khoán phái sinh</w:t>
      </w:r>
      <w:r w:rsidR="00BB69AF" w:rsidRPr="006234AA">
        <w:t xml:space="preserve"> của bên có nghĩa vụ</w:t>
      </w:r>
      <w:r w:rsidRPr="006234AA">
        <w:t xml:space="preserve">. </w:t>
      </w:r>
    </w:p>
    <w:p w:rsidR="00E14643" w:rsidRPr="006234AA" w:rsidRDefault="00E14643" w:rsidP="003C0546">
      <w:pPr>
        <w:pStyle w:val="ListParagraph"/>
        <w:spacing w:after="120"/>
      </w:pPr>
      <w:r w:rsidRPr="006234AA">
        <w:rPr>
          <w:i/>
        </w:rPr>
        <w:t>Ký quỹ ban đầu</w:t>
      </w:r>
      <w:r w:rsidRPr="006234AA">
        <w:t xml:space="preserve"> là </w:t>
      </w:r>
      <w:r w:rsidR="00766293" w:rsidRPr="006234AA">
        <w:t xml:space="preserve">việc ký quỹ </w:t>
      </w:r>
      <w:r w:rsidRPr="006234AA">
        <w:t>trước khi thực hiện giao dịch chứng khoán phái sinh.</w:t>
      </w:r>
    </w:p>
    <w:p w:rsidR="00E14643" w:rsidRPr="006234AA" w:rsidRDefault="00766293" w:rsidP="003C0546">
      <w:pPr>
        <w:pStyle w:val="ListParagraph"/>
        <w:spacing w:after="120"/>
      </w:pPr>
      <w:r w:rsidRPr="006234AA">
        <w:rPr>
          <w:i/>
        </w:rPr>
        <w:t>K</w:t>
      </w:r>
      <w:r w:rsidR="00E14643" w:rsidRPr="006234AA">
        <w:rPr>
          <w:i/>
        </w:rPr>
        <w:t xml:space="preserve">ý quỹ </w:t>
      </w:r>
      <w:r w:rsidRPr="006234AA">
        <w:rPr>
          <w:i/>
        </w:rPr>
        <w:t xml:space="preserve">bổ sung </w:t>
      </w:r>
      <w:r w:rsidR="00E14643" w:rsidRPr="006234AA">
        <w:t xml:space="preserve">là việc </w:t>
      </w:r>
      <w:r w:rsidR="00BB69AF" w:rsidRPr="006234AA">
        <w:t xml:space="preserve">bên có nghĩa vụ phải </w:t>
      </w:r>
      <w:r w:rsidR="0047546F" w:rsidRPr="006234AA">
        <w:t xml:space="preserve">bổ sung </w:t>
      </w:r>
      <w:r w:rsidR="00E843A0" w:rsidRPr="006234AA">
        <w:t>tài sản ký quỹ</w:t>
      </w:r>
      <w:r w:rsidR="00BB69AF" w:rsidRPr="006234AA">
        <w:t xml:space="preserve"> khi giá trị tài sản ký quỹ xuống thấp hơn mức ký quỹ duy trì</w:t>
      </w:r>
      <w:r w:rsidR="00E843A0" w:rsidRPr="006234AA">
        <w:t>, bảo đảm</w:t>
      </w:r>
      <w:r w:rsidR="00E14643" w:rsidRPr="006234AA">
        <w:t xml:space="preserve"> số dư tài sản ký quỹ </w:t>
      </w:r>
      <w:r w:rsidR="00BB69AF" w:rsidRPr="006234AA">
        <w:t xml:space="preserve">sau khi bổ sung </w:t>
      </w:r>
      <w:r w:rsidR="00E14643" w:rsidRPr="006234AA">
        <w:t xml:space="preserve">không thấp hơn mức ký quỹ </w:t>
      </w:r>
      <w:r w:rsidR="00BB69AF" w:rsidRPr="006234AA">
        <w:t>theo yêu cầu</w:t>
      </w:r>
      <w:r w:rsidR="00E14643" w:rsidRPr="006234AA">
        <w:t>.</w:t>
      </w:r>
    </w:p>
    <w:p w:rsidR="00E14643" w:rsidRPr="006234AA" w:rsidRDefault="00813DBA" w:rsidP="003C0546">
      <w:pPr>
        <w:pStyle w:val="ListParagraph"/>
        <w:spacing w:after="120"/>
      </w:pPr>
      <w:r w:rsidRPr="006234AA">
        <w:rPr>
          <w:i/>
        </w:rPr>
        <w:t>Mức k</w:t>
      </w:r>
      <w:r w:rsidR="00E14643" w:rsidRPr="006234AA">
        <w:rPr>
          <w:i/>
        </w:rPr>
        <w:t xml:space="preserve">ý quỹ duy trì </w:t>
      </w:r>
      <w:r w:rsidR="00E14643" w:rsidRPr="006234AA">
        <w:t xml:space="preserve">là </w:t>
      </w:r>
      <w:r w:rsidR="00BB69AF" w:rsidRPr="006234AA">
        <w:t xml:space="preserve">mức </w:t>
      </w:r>
      <w:r w:rsidR="00E14643" w:rsidRPr="006234AA">
        <w:t xml:space="preserve">ký quỹ </w:t>
      </w:r>
      <w:r w:rsidR="00BB69AF" w:rsidRPr="006234AA">
        <w:t xml:space="preserve">tối thiểu mà bên có nghĩa vụ phải duy trì trên tài khoản ký quỹ. </w:t>
      </w:r>
    </w:p>
    <w:p w:rsidR="00EC10C9" w:rsidRPr="006234AA" w:rsidRDefault="00204568" w:rsidP="003C0546">
      <w:pPr>
        <w:pStyle w:val="ListParagraph"/>
        <w:spacing w:after="120"/>
        <w:rPr>
          <w:bCs/>
        </w:rPr>
      </w:pPr>
      <w:r w:rsidRPr="006234AA">
        <w:rPr>
          <w:i/>
        </w:rPr>
        <w:t>Kinh doanh chứng khoán phái sinh</w:t>
      </w:r>
      <w:r w:rsidR="007A06E0" w:rsidRPr="006234AA">
        <w:t xml:space="preserve"> là việc thực hiện một, một số hoặc tất cả các hoạt động</w:t>
      </w:r>
      <w:r w:rsidR="007A06E0" w:rsidRPr="006234AA">
        <w:rPr>
          <w:u w:val="single"/>
        </w:rPr>
        <w:t xml:space="preserve"> </w:t>
      </w:r>
      <w:r w:rsidR="007A06E0" w:rsidRPr="006234AA">
        <w:t xml:space="preserve">sau:  </w:t>
      </w:r>
    </w:p>
    <w:p w:rsidR="007A06E0" w:rsidRPr="006234AA" w:rsidRDefault="00EC10C9" w:rsidP="00D36937">
      <w:pPr>
        <w:numPr>
          <w:ilvl w:val="0"/>
          <w:numId w:val="22"/>
        </w:numPr>
        <w:tabs>
          <w:tab w:val="left" w:pos="993"/>
        </w:tabs>
        <w:spacing w:after="120"/>
        <w:ind w:left="0" w:firstLine="709"/>
        <w:rPr>
          <w:lang w:val="nl-NL"/>
        </w:rPr>
      </w:pPr>
      <w:r w:rsidRPr="006234AA">
        <w:rPr>
          <w:lang w:val="nl-NL"/>
        </w:rPr>
        <w:t xml:space="preserve"> </w:t>
      </w:r>
      <w:r w:rsidR="007A06E0" w:rsidRPr="006234AA">
        <w:rPr>
          <w:lang w:val="nl-NL"/>
        </w:rPr>
        <w:t>Môi giới chứng khoán phái sinh;</w:t>
      </w:r>
    </w:p>
    <w:p w:rsidR="007A06E0" w:rsidRPr="006234AA" w:rsidRDefault="00EC10C9" w:rsidP="00D36937">
      <w:pPr>
        <w:numPr>
          <w:ilvl w:val="0"/>
          <w:numId w:val="22"/>
        </w:numPr>
        <w:tabs>
          <w:tab w:val="left" w:pos="993"/>
        </w:tabs>
        <w:spacing w:after="120"/>
        <w:ind w:left="0" w:firstLine="709"/>
        <w:rPr>
          <w:lang w:val="nl-NL"/>
        </w:rPr>
      </w:pPr>
      <w:r w:rsidRPr="006234AA">
        <w:rPr>
          <w:lang w:val="nl-NL"/>
        </w:rPr>
        <w:t xml:space="preserve"> </w:t>
      </w:r>
      <w:r w:rsidR="007A06E0" w:rsidRPr="006234AA">
        <w:rPr>
          <w:lang w:val="nl-NL"/>
        </w:rPr>
        <w:t xml:space="preserve">Hoạt động tự doanh chứng khoán phái sinh của tổ chức kinh doanh chứng khoán; </w:t>
      </w:r>
    </w:p>
    <w:p w:rsidR="00EC10C9" w:rsidRPr="006234AA" w:rsidRDefault="00EC10C9" w:rsidP="00D36937">
      <w:pPr>
        <w:numPr>
          <w:ilvl w:val="0"/>
          <w:numId w:val="22"/>
        </w:numPr>
        <w:tabs>
          <w:tab w:val="left" w:pos="993"/>
        </w:tabs>
        <w:spacing w:after="120"/>
        <w:ind w:left="0" w:firstLine="709"/>
        <w:rPr>
          <w:lang w:val="nl-NL"/>
        </w:rPr>
      </w:pPr>
      <w:r w:rsidRPr="006234AA">
        <w:rPr>
          <w:lang w:val="nl-NL"/>
        </w:rPr>
        <w:t xml:space="preserve"> </w:t>
      </w:r>
      <w:r w:rsidR="007A06E0" w:rsidRPr="006234AA">
        <w:rPr>
          <w:lang w:val="nl-NL"/>
        </w:rPr>
        <w:t>Tư vấn đầu tư chứng khoán phái sinh.</w:t>
      </w:r>
    </w:p>
    <w:p w:rsidR="00FD4E12" w:rsidRPr="006234AA" w:rsidRDefault="00FD4E12" w:rsidP="003C0546">
      <w:pPr>
        <w:pStyle w:val="ListParagraph"/>
        <w:spacing w:after="120"/>
        <w:rPr>
          <w:bCs/>
        </w:rPr>
      </w:pPr>
      <w:r w:rsidRPr="006234AA">
        <w:rPr>
          <w:i/>
        </w:rPr>
        <w:t>Tổ chức kinh doanh chứng khoán phái sinh</w:t>
      </w:r>
      <w:r w:rsidRPr="006234AA">
        <w:t xml:space="preserve"> là tổ chức kinh doanh chứng khoán thực hiện một hoặc một số hoạt động kinh doanh chứng khoán phái sinh.</w:t>
      </w:r>
    </w:p>
    <w:p w:rsidR="008933FD" w:rsidRPr="006234AA" w:rsidRDefault="008933FD" w:rsidP="003C0546">
      <w:pPr>
        <w:pStyle w:val="ListParagraph"/>
        <w:spacing w:after="120"/>
        <w:rPr>
          <w:bCs/>
        </w:rPr>
      </w:pPr>
      <w:r w:rsidRPr="006234AA">
        <w:rPr>
          <w:bCs/>
          <w:i/>
        </w:rPr>
        <w:t>Hợp đồng kinh doanh dịch vụ chứng khoán phái sinh</w:t>
      </w:r>
      <w:r w:rsidRPr="006234AA">
        <w:rPr>
          <w:bCs/>
        </w:rPr>
        <w:t xml:space="preserve"> là một trong các hợp đồng sau:</w:t>
      </w:r>
    </w:p>
    <w:p w:rsidR="008933FD" w:rsidRPr="006234AA" w:rsidRDefault="008933FD" w:rsidP="00D36937">
      <w:pPr>
        <w:pStyle w:val="ListParagraph"/>
        <w:numPr>
          <w:ilvl w:val="0"/>
          <w:numId w:val="23"/>
        </w:numPr>
        <w:tabs>
          <w:tab w:val="left" w:pos="1134"/>
        </w:tabs>
        <w:spacing w:after="120"/>
        <w:ind w:left="0" w:firstLine="709"/>
        <w:rPr>
          <w:bCs/>
        </w:rPr>
      </w:pPr>
      <w:r w:rsidRPr="006234AA">
        <w:rPr>
          <w:bCs/>
        </w:rPr>
        <w:t xml:space="preserve">Hợp đồng mở tài khoản giao dịch giữa thành viên giao dịch và khách hàng; </w:t>
      </w:r>
    </w:p>
    <w:p w:rsidR="008933FD" w:rsidRPr="006234AA" w:rsidRDefault="008933FD" w:rsidP="00D36937">
      <w:pPr>
        <w:pStyle w:val="ListParagraph"/>
        <w:numPr>
          <w:ilvl w:val="0"/>
          <w:numId w:val="23"/>
        </w:numPr>
        <w:tabs>
          <w:tab w:val="left" w:pos="1134"/>
        </w:tabs>
        <w:spacing w:after="120"/>
        <w:ind w:left="0" w:firstLine="709"/>
        <w:rPr>
          <w:bCs/>
        </w:rPr>
      </w:pPr>
      <w:r w:rsidRPr="006234AA">
        <w:rPr>
          <w:bCs/>
        </w:rPr>
        <w:t xml:space="preserve">Hợp đồng ủy thác </w:t>
      </w:r>
      <w:r w:rsidR="00666F37" w:rsidRPr="006234AA">
        <w:rPr>
          <w:bCs/>
        </w:rPr>
        <w:t>bù trừ, thanh toán</w:t>
      </w:r>
      <w:r w:rsidRPr="006234AA">
        <w:rPr>
          <w:bCs/>
        </w:rPr>
        <w:t xml:space="preserve"> giữa thành viên bù trừ và thành viên giao dịch không bù trừ;</w:t>
      </w:r>
    </w:p>
    <w:p w:rsidR="008933FD" w:rsidRPr="006234AA" w:rsidRDefault="008933FD" w:rsidP="00D36937">
      <w:pPr>
        <w:pStyle w:val="ListParagraph"/>
        <w:numPr>
          <w:ilvl w:val="0"/>
          <w:numId w:val="23"/>
        </w:numPr>
        <w:tabs>
          <w:tab w:val="left" w:pos="1134"/>
        </w:tabs>
        <w:spacing w:after="120"/>
        <w:ind w:left="0" w:firstLine="709"/>
        <w:rPr>
          <w:bCs/>
        </w:rPr>
      </w:pPr>
      <w:r w:rsidRPr="006234AA">
        <w:rPr>
          <w:bCs/>
        </w:rPr>
        <w:t>Hợp đồng tạo lập thị trường giữa thành viên tạo lập thị trường và Sở giao dịch chứng khoán;</w:t>
      </w:r>
    </w:p>
    <w:p w:rsidR="008933FD" w:rsidRPr="006234AA" w:rsidRDefault="008933FD" w:rsidP="00D36937">
      <w:pPr>
        <w:pStyle w:val="ListParagraph"/>
        <w:numPr>
          <w:ilvl w:val="0"/>
          <w:numId w:val="23"/>
        </w:numPr>
        <w:tabs>
          <w:tab w:val="left" w:pos="1134"/>
        </w:tabs>
        <w:spacing w:after="120"/>
        <w:ind w:left="0" w:firstLine="709"/>
        <w:rPr>
          <w:bCs/>
        </w:rPr>
      </w:pPr>
      <w:r w:rsidRPr="006234AA">
        <w:rPr>
          <w:bCs/>
        </w:rPr>
        <w:t>Hợp đồng tư vấn đầu tư chứng khoán phái sinh;</w:t>
      </w:r>
    </w:p>
    <w:p w:rsidR="008933FD" w:rsidRPr="006234AA" w:rsidRDefault="008933FD" w:rsidP="00D36937">
      <w:pPr>
        <w:pStyle w:val="ListParagraph"/>
        <w:numPr>
          <w:ilvl w:val="0"/>
          <w:numId w:val="23"/>
        </w:numPr>
        <w:tabs>
          <w:tab w:val="left" w:pos="1134"/>
        </w:tabs>
        <w:spacing w:after="120"/>
        <w:ind w:left="0" w:firstLine="709"/>
        <w:rPr>
          <w:bCs/>
        </w:rPr>
      </w:pPr>
      <w:r w:rsidRPr="006234AA">
        <w:rPr>
          <w:bCs/>
        </w:rPr>
        <w:t>Các hợp đồng khác có liên quan tới hoạt động kinh doanh dịch vụ chứng khoán phái sinh.</w:t>
      </w:r>
    </w:p>
    <w:p w:rsidR="00E14643" w:rsidRPr="006234AA" w:rsidRDefault="00E14643" w:rsidP="003C0546">
      <w:pPr>
        <w:pStyle w:val="ListParagraph"/>
        <w:spacing w:after="120"/>
        <w:rPr>
          <w:bCs/>
        </w:rPr>
      </w:pPr>
      <w:r w:rsidRPr="006234AA">
        <w:rPr>
          <w:i/>
          <w:iCs/>
        </w:rPr>
        <w:t xml:space="preserve">Hợp đồng tương lai chỉ số cổ phiếu, </w:t>
      </w:r>
      <w:r w:rsidRPr="006234AA">
        <w:rPr>
          <w:iCs/>
        </w:rPr>
        <w:t>sau đây gọi tắt là hợp đồng tương lai chỉ số,</w:t>
      </w:r>
      <w:r w:rsidRPr="006234AA">
        <w:t xml:space="preserve"> là hợp đồng tương lai </w:t>
      </w:r>
      <w:r w:rsidR="00FD4E12" w:rsidRPr="006234AA">
        <w:t xml:space="preserve">dựa trên </w:t>
      </w:r>
      <w:r w:rsidRPr="006234AA">
        <w:t>tài sản cở sở là chỉ số cổ phiếu.</w:t>
      </w:r>
    </w:p>
    <w:p w:rsidR="00E14643" w:rsidRPr="006234AA" w:rsidRDefault="00E14643" w:rsidP="003C0546">
      <w:pPr>
        <w:pStyle w:val="ListParagraph"/>
        <w:spacing w:after="120"/>
      </w:pPr>
      <w:r w:rsidRPr="006234AA">
        <w:rPr>
          <w:i/>
          <w:iCs/>
        </w:rPr>
        <w:lastRenderedPageBreak/>
        <w:t>Hợp đồng tương lai trái phiếu chính phủ</w:t>
      </w:r>
      <w:r w:rsidRPr="006234AA">
        <w:rPr>
          <w:iCs/>
        </w:rPr>
        <w:t>, sau đây gọi tắt là</w:t>
      </w:r>
      <w:r w:rsidRPr="006234AA">
        <w:t xml:space="preserve"> hợp đồng tương lai trái phiếu, là hợp đồng tương lai </w:t>
      </w:r>
      <w:r w:rsidR="00FD4E12" w:rsidRPr="006234AA">
        <w:t>dựa trên</w:t>
      </w:r>
      <w:r w:rsidRPr="006234AA">
        <w:t xml:space="preserve"> tài sản cở sở là trái phiếu chính phủ.</w:t>
      </w:r>
    </w:p>
    <w:p w:rsidR="00E14643" w:rsidRPr="006234AA" w:rsidRDefault="00E14643" w:rsidP="003C0546">
      <w:pPr>
        <w:pStyle w:val="ListParagraph"/>
        <w:spacing w:after="120"/>
      </w:pPr>
      <w:r w:rsidRPr="006234AA">
        <w:rPr>
          <w:i/>
        </w:rPr>
        <w:t xml:space="preserve">Hợp đồng </w:t>
      </w:r>
      <w:r w:rsidR="00666F37" w:rsidRPr="006234AA">
        <w:rPr>
          <w:i/>
        </w:rPr>
        <w:t>bù trừ, thanh toán</w:t>
      </w:r>
      <w:r w:rsidRPr="006234AA">
        <w:t xml:space="preserve"> là hợp đồng giữa </w:t>
      </w:r>
      <w:r w:rsidR="00FD4E12" w:rsidRPr="006234AA">
        <w:t xml:space="preserve">thành viên bù trừ và </w:t>
      </w:r>
      <w:r w:rsidR="008573AD" w:rsidRPr="006234AA">
        <w:t>Trung tâm lưu ký chứng khoán</w:t>
      </w:r>
      <w:r w:rsidR="00FD4E12" w:rsidRPr="006234AA">
        <w:t xml:space="preserve"> để thực hiện hoạt động bù trừ, thanh toán </w:t>
      </w:r>
      <w:r w:rsidRPr="006234AA">
        <w:t>giao dịch chứng khoán phái sinh đứng tên thành viên bù trừ</w:t>
      </w:r>
      <w:r w:rsidR="00FD4E12" w:rsidRPr="006234AA">
        <w:t xml:space="preserve"> với Trung tâm Lưu ký chứng khoán</w:t>
      </w:r>
      <w:r w:rsidRPr="006234AA">
        <w:t xml:space="preserve">. </w:t>
      </w:r>
    </w:p>
    <w:p w:rsidR="00E14643" w:rsidRPr="006234AA" w:rsidRDefault="00E14643" w:rsidP="003C0546">
      <w:pPr>
        <w:pStyle w:val="ListParagraph"/>
        <w:spacing w:after="120"/>
      </w:pPr>
      <w:r w:rsidRPr="006234AA">
        <w:rPr>
          <w:i/>
        </w:rPr>
        <w:t xml:space="preserve">Hợp đồng ủy thác </w:t>
      </w:r>
      <w:r w:rsidR="00666F37" w:rsidRPr="006234AA">
        <w:rPr>
          <w:i/>
        </w:rPr>
        <w:t>bù trừ, thanh toán</w:t>
      </w:r>
      <w:r w:rsidRPr="006234AA">
        <w:t xml:space="preserve"> là hợp đồng giữa thành viên bù trừ được chỉ định và thành viên giao dịch không bù trừ, trong đó thành viên giao dịch không bù trừ ủy thác cho thành viên bù trừ </w:t>
      </w:r>
      <w:r w:rsidR="00FD4E12" w:rsidRPr="006234AA">
        <w:t xml:space="preserve">đứng tên giao dịch và </w:t>
      </w:r>
      <w:r w:rsidRPr="006234AA">
        <w:t xml:space="preserve">thực hiện việc </w:t>
      </w:r>
      <w:r w:rsidR="00FD4E12" w:rsidRPr="006234AA">
        <w:t xml:space="preserve">bù trừ, </w:t>
      </w:r>
      <w:r w:rsidRPr="006234AA">
        <w:t xml:space="preserve">thanh toán với </w:t>
      </w:r>
      <w:r w:rsidR="008573AD" w:rsidRPr="006234AA">
        <w:t>Trung tâm lưu ký chứng khoán</w:t>
      </w:r>
      <w:r w:rsidRPr="006234AA">
        <w:t xml:space="preserve"> các giao dịch chứng khoán phái sinh của </w:t>
      </w:r>
      <w:r w:rsidR="00FD4E12" w:rsidRPr="006234AA">
        <w:t>mình và các</w:t>
      </w:r>
      <w:r w:rsidRPr="006234AA">
        <w:t xml:space="preserve"> khách hàng </w:t>
      </w:r>
      <w:r w:rsidR="00FD4E12" w:rsidRPr="006234AA">
        <w:t xml:space="preserve">môi giới </w:t>
      </w:r>
      <w:r w:rsidRPr="006234AA">
        <w:t xml:space="preserve">của </w:t>
      </w:r>
      <w:r w:rsidR="00FD4E12" w:rsidRPr="006234AA">
        <w:t>mình</w:t>
      </w:r>
      <w:r w:rsidRPr="006234AA">
        <w:t>.</w:t>
      </w:r>
    </w:p>
    <w:p w:rsidR="00E14643" w:rsidRPr="006234AA" w:rsidRDefault="00E14643" w:rsidP="003C0546">
      <w:pPr>
        <w:pStyle w:val="ListParagraph"/>
        <w:spacing w:after="120"/>
      </w:pPr>
      <w:r w:rsidRPr="006234AA">
        <w:rPr>
          <w:i/>
        </w:rPr>
        <w:t xml:space="preserve">Hợp đồng mở </w:t>
      </w:r>
      <w:r w:rsidRPr="006234AA">
        <w:t xml:space="preserve">là </w:t>
      </w:r>
      <w:r w:rsidR="000D6706" w:rsidRPr="006234AA">
        <w:t>h</w:t>
      </w:r>
      <w:r w:rsidRPr="006234AA">
        <w:t xml:space="preserve">ợp đồng chứng khoán phái sinh được giao kết giữa </w:t>
      </w:r>
      <w:r w:rsidR="000D6706" w:rsidRPr="006234AA">
        <w:t>t</w:t>
      </w:r>
      <w:r w:rsidRPr="006234AA">
        <w:t>hành viên bù trừ</w:t>
      </w:r>
      <w:r w:rsidR="004904C9" w:rsidRPr="006234AA">
        <w:t xml:space="preserve"> và Trung tâm lưu ký chứng khoán và đang còn hiệu lực</w:t>
      </w:r>
      <w:r w:rsidRPr="006234AA">
        <w:t>.</w:t>
      </w:r>
    </w:p>
    <w:p w:rsidR="00E14643" w:rsidRPr="006234AA" w:rsidRDefault="00E14643" w:rsidP="003C0546">
      <w:pPr>
        <w:pStyle w:val="ListParagraph"/>
        <w:spacing w:after="120"/>
        <w:rPr>
          <w:bCs/>
          <w:i/>
        </w:rPr>
      </w:pPr>
      <w:r w:rsidRPr="006234AA">
        <w:rPr>
          <w:i/>
        </w:rPr>
        <w:t xml:space="preserve">Hợp đồng thị trường </w:t>
      </w:r>
      <w:r w:rsidRPr="006234AA">
        <w:t xml:space="preserve">là </w:t>
      </w:r>
      <w:r w:rsidR="000D6706" w:rsidRPr="006234AA">
        <w:t>h</w:t>
      </w:r>
      <w:r w:rsidRPr="006234AA">
        <w:t xml:space="preserve">ợp đồng chứng khoán phái sinh được giao kết giữa bên mua và bên bán </w:t>
      </w:r>
      <w:r w:rsidR="004904C9" w:rsidRPr="006234AA">
        <w:t xml:space="preserve">thông qua sự môi giới của các thành viên giao dịch và được thực hiện qua </w:t>
      </w:r>
      <w:r w:rsidRPr="006234AA">
        <w:t>hệ thống giao dịch tại Sở giao dịch chứng khoán.</w:t>
      </w:r>
    </w:p>
    <w:p w:rsidR="0083082E" w:rsidRPr="006234AA" w:rsidRDefault="00EC5983" w:rsidP="003C0546">
      <w:pPr>
        <w:pStyle w:val="ListParagraph"/>
        <w:spacing w:after="120"/>
      </w:pPr>
      <w:r w:rsidRPr="006234AA">
        <w:rPr>
          <w:i/>
        </w:rPr>
        <w:t>Lệnh gọi ký quỹ</w:t>
      </w:r>
      <w:r w:rsidR="00784FF7" w:rsidRPr="006234AA">
        <w:rPr>
          <w:i/>
        </w:rPr>
        <w:t xml:space="preserve"> (margin call) </w:t>
      </w:r>
      <w:r w:rsidR="00784FF7" w:rsidRPr="006234AA">
        <w:t xml:space="preserve">là </w:t>
      </w:r>
      <w:r w:rsidR="000236AB" w:rsidRPr="006234AA">
        <w:t xml:space="preserve">việc </w:t>
      </w:r>
      <w:r w:rsidR="005F3FD2" w:rsidRPr="006234AA">
        <w:t>yêu cầu</w:t>
      </w:r>
      <w:r w:rsidR="00784FF7" w:rsidRPr="006234AA">
        <w:t xml:space="preserve"> </w:t>
      </w:r>
      <w:r w:rsidR="000236AB" w:rsidRPr="006234AA">
        <w:t xml:space="preserve">bên có nghĩa vụ </w:t>
      </w:r>
      <w:r w:rsidR="003E678F" w:rsidRPr="006234AA">
        <w:t xml:space="preserve">thực hiện ký quỹ </w:t>
      </w:r>
      <w:r w:rsidR="00784FF7" w:rsidRPr="006234AA">
        <w:t>bổ sung.</w:t>
      </w:r>
    </w:p>
    <w:p w:rsidR="00717B7F" w:rsidRPr="006234AA" w:rsidRDefault="00717B7F" w:rsidP="003C0546">
      <w:pPr>
        <w:pStyle w:val="ListParagraph"/>
        <w:spacing w:after="120"/>
      </w:pPr>
      <w:r w:rsidRPr="006234AA">
        <w:rPr>
          <w:i/>
        </w:rPr>
        <w:t xml:space="preserve">Ngân hàng quản lý tài khoản </w:t>
      </w:r>
      <w:r w:rsidRPr="006234AA">
        <w:t xml:space="preserve">là ngân hàng </w:t>
      </w:r>
      <w:r w:rsidR="000236AB" w:rsidRPr="006234AA">
        <w:t>thương mại</w:t>
      </w:r>
      <w:r w:rsidRPr="006234AA">
        <w:t xml:space="preserve"> </w:t>
      </w:r>
      <w:r w:rsidR="005E2BF4" w:rsidRPr="006234AA">
        <w:t xml:space="preserve">được </w:t>
      </w:r>
      <w:r w:rsidR="00FE440B" w:rsidRPr="006234AA">
        <w:t xml:space="preserve">thành viên bù trừ  lựa chọn </w:t>
      </w:r>
      <w:r w:rsidR="005E2BF4" w:rsidRPr="006234AA">
        <w:t xml:space="preserve">để </w:t>
      </w:r>
      <w:r w:rsidR="00FE440B" w:rsidRPr="006234AA">
        <w:t xml:space="preserve">mở và </w:t>
      </w:r>
      <w:r w:rsidRPr="006234AA">
        <w:t>quản lý tài khoản tiền gửi</w:t>
      </w:r>
      <w:r w:rsidR="005E2BF4" w:rsidRPr="006234AA">
        <w:t xml:space="preserve"> </w:t>
      </w:r>
      <w:r w:rsidR="00FE440B" w:rsidRPr="006234AA">
        <w:t>ký quỹ</w:t>
      </w:r>
      <w:r w:rsidR="005E2BF4" w:rsidRPr="006234AA">
        <w:t xml:space="preserve"> của</w:t>
      </w:r>
      <w:r w:rsidRPr="006234AA">
        <w:t xml:space="preserve"> khách hàng. </w:t>
      </w:r>
    </w:p>
    <w:p w:rsidR="009B7526" w:rsidRPr="006234AA" w:rsidRDefault="009B7526" w:rsidP="003C0546">
      <w:pPr>
        <w:pStyle w:val="ListParagraph"/>
        <w:spacing w:after="120"/>
      </w:pPr>
      <w:r w:rsidRPr="006234AA">
        <w:rPr>
          <w:i/>
        </w:rPr>
        <w:t xml:space="preserve">Ngân hàng thanh toán </w:t>
      </w:r>
      <w:r w:rsidRPr="006234AA">
        <w:t xml:space="preserve">là ngân hàng được Ủy ban Chứng khoán Nhà nước chỉ định là ngân hàng thanh toán phục vụ cho hoạt động </w:t>
      </w:r>
      <w:r w:rsidR="00813DBA" w:rsidRPr="006234AA">
        <w:t>thanh toán</w:t>
      </w:r>
      <w:r w:rsidRPr="006234AA">
        <w:t xml:space="preserve"> giao dịch chứng khoán phái sinh. </w:t>
      </w:r>
    </w:p>
    <w:p w:rsidR="0081097B" w:rsidRPr="006234AA" w:rsidRDefault="0081097B" w:rsidP="003C0546">
      <w:pPr>
        <w:pStyle w:val="ListParagraph"/>
        <w:spacing w:after="120"/>
        <w:rPr>
          <w:bCs/>
        </w:rPr>
      </w:pPr>
      <w:r w:rsidRPr="006234AA">
        <w:rPr>
          <w:i/>
          <w:iCs/>
        </w:rPr>
        <w:t>Ngày giao dịch cuối cùng (final trading day)</w:t>
      </w:r>
      <w:r w:rsidR="0083082E" w:rsidRPr="006234AA">
        <w:rPr>
          <w:i/>
          <w:iCs/>
        </w:rPr>
        <w:t xml:space="preserve"> </w:t>
      </w:r>
      <w:r w:rsidR="0083082E" w:rsidRPr="006234AA">
        <w:rPr>
          <w:iCs/>
        </w:rPr>
        <w:t xml:space="preserve">của một </w:t>
      </w:r>
      <w:r w:rsidR="000236AB" w:rsidRPr="006234AA">
        <w:rPr>
          <w:iCs/>
        </w:rPr>
        <w:t xml:space="preserve">chứng khoán phái sinh </w:t>
      </w:r>
      <w:r w:rsidRPr="006234AA">
        <w:rPr>
          <w:iCs/>
        </w:rPr>
        <w:t xml:space="preserve">là ngày </w:t>
      </w:r>
      <w:r w:rsidR="00EF79CE" w:rsidRPr="006234AA">
        <w:rPr>
          <w:iCs/>
        </w:rPr>
        <w:t xml:space="preserve">giao dịch </w:t>
      </w:r>
      <w:r w:rsidRPr="006234AA">
        <w:rPr>
          <w:iCs/>
        </w:rPr>
        <w:t xml:space="preserve">cuối cùng </w:t>
      </w:r>
      <w:r w:rsidR="0083082E" w:rsidRPr="006234AA">
        <w:rPr>
          <w:iCs/>
        </w:rPr>
        <w:t xml:space="preserve">trong tháng đáo hạn </w:t>
      </w:r>
      <w:r w:rsidR="00EF79CE" w:rsidRPr="006234AA">
        <w:rPr>
          <w:iCs/>
        </w:rPr>
        <w:t xml:space="preserve">của </w:t>
      </w:r>
      <w:r w:rsidR="000236AB" w:rsidRPr="006234AA">
        <w:rPr>
          <w:iCs/>
        </w:rPr>
        <w:t>chứng khoán</w:t>
      </w:r>
      <w:r w:rsidR="0083082E" w:rsidRPr="006234AA">
        <w:rPr>
          <w:iCs/>
        </w:rPr>
        <w:t xml:space="preserve"> đó</w:t>
      </w:r>
      <w:r w:rsidR="00EF79CE" w:rsidRPr="006234AA">
        <w:rPr>
          <w:iCs/>
        </w:rPr>
        <w:t>.</w:t>
      </w:r>
    </w:p>
    <w:p w:rsidR="0083082E" w:rsidRPr="006234AA" w:rsidRDefault="0083082E" w:rsidP="003C0546">
      <w:pPr>
        <w:pStyle w:val="ListParagraph"/>
        <w:spacing w:after="120"/>
        <w:rPr>
          <w:bCs/>
        </w:rPr>
      </w:pPr>
      <w:r w:rsidRPr="006234AA">
        <w:rPr>
          <w:bCs/>
          <w:i/>
        </w:rPr>
        <w:t xml:space="preserve">Ngày giao dịch đầu tiên </w:t>
      </w:r>
      <w:r w:rsidRPr="006234AA">
        <w:rPr>
          <w:bCs/>
        </w:rPr>
        <w:t xml:space="preserve">của một </w:t>
      </w:r>
      <w:r w:rsidR="000236AB" w:rsidRPr="006234AA">
        <w:rPr>
          <w:bCs/>
        </w:rPr>
        <w:t>chứng khoán phái sinh</w:t>
      </w:r>
      <w:r w:rsidRPr="006234AA">
        <w:rPr>
          <w:bCs/>
          <w:i/>
        </w:rPr>
        <w:t xml:space="preserve"> </w:t>
      </w:r>
      <w:r w:rsidRPr="006234AA">
        <w:rPr>
          <w:bCs/>
        </w:rPr>
        <w:t xml:space="preserve">là ngày giao dịch liền kề sau ngày giao dịch cuối cùng của </w:t>
      </w:r>
      <w:r w:rsidR="000236AB" w:rsidRPr="006234AA">
        <w:rPr>
          <w:bCs/>
        </w:rPr>
        <w:t xml:space="preserve">chứng khoán phái sinh </w:t>
      </w:r>
      <w:r w:rsidRPr="006234AA">
        <w:rPr>
          <w:bCs/>
        </w:rPr>
        <w:t>cùng chu kỳ giao dịch vừa đáo hạn.</w:t>
      </w:r>
    </w:p>
    <w:p w:rsidR="00EF79CE" w:rsidRPr="006234AA" w:rsidRDefault="00EF79CE" w:rsidP="003C0546">
      <w:pPr>
        <w:pStyle w:val="ListParagraph"/>
        <w:spacing w:after="120"/>
        <w:rPr>
          <w:bCs/>
        </w:rPr>
      </w:pPr>
      <w:r w:rsidRPr="006234AA">
        <w:rPr>
          <w:i/>
          <w:iCs/>
        </w:rPr>
        <w:t xml:space="preserve">Ngày thanh toán cuối cùng (final settlement day) </w:t>
      </w:r>
      <w:r w:rsidRPr="006234AA">
        <w:rPr>
          <w:iCs/>
        </w:rPr>
        <w:t xml:space="preserve">là </w:t>
      </w:r>
      <w:r w:rsidR="00472F74" w:rsidRPr="006234AA">
        <w:rPr>
          <w:iCs/>
        </w:rPr>
        <w:t xml:space="preserve">ngày </w:t>
      </w:r>
      <w:r w:rsidR="00813DBA" w:rsidRPr="006234AA">
        <w:rPr>
          <w:iCs/>
        </w:rPr>
        <w:t xml:space="preserve">các bên tham gia </w:t>
      </w:r>
      <w:r w:rsidR="00DA1CA7" w:rsidRPr="006234AA">
        <w:rPr>
          <w:iCs/>
        </w:rPr>
        <w:t xml:space="preserve">hoàn tất </w:t>
      </w:r>
      <w:r w:rsidR="00813DBA" w:rsidRPr="006234AA">
        <w:rPr>
          <w:iCs/>
        </w:rPr>
        <w:t>giao dịch</w:t>
      </w:r>
      <w:r w:rsidR="00DA1CA7" w:rsidRPr="006234AA">
        <w:rPr>
          <w:iCs/>
        </w:rPr>
        <w:t>, bên Bán</w:t>
      </w:r>
      <w:r w:rsidR="00813DBA" w:rsidRPr="006234AA">
        <w:rPr>
          <w:iCs/>
        </w:rPr>
        <w:t xml:space="preserve"> </w:t>
      </w:r>
      <w:r w:rsidR="00DA1CA7" w:rsidRPr="006234AA">
        <w:rPr>
          <w:iCs/>
        </w:rPr>
        <w:t>hoàn tất việc</w:t>
      </w:r>
      <w:r w:rsidR="00472F74" w:rsidRPr="006234AA">
        <w:rPr>
          <w:iCs/>
        </w:rPr>
        <w:t xml:space="preserve"> chuyển giao tài sản cơ sở </w:t>
      </w:r>
      <w:r w:rsidR="00DA1CA7" w:rsidRPr="006234AA">
        <w:rPr>
          <w:iCs/>
        </w:rPr>
        <w:t xml:space="preserve">và bên Mua hoàn tất việc thanh toán cho bên Bán </w:t>
      </w:r>
      <w:r w:rsidR="00472F74" w:rsidRPr="006234AA">
        <w:rPr>
          <w:iCs/>
        </w:rPr>
        <w:t>theo hợp đồng</w:t>
      </w:r>
      <w:r w:rsidRPr="006234AA">
        <w:rPr>
          <w:iCs/>
        </w:rPr>
        <w:t xml:space="preserve">. </w:t>
      </w:r>
    </w:p>
    <w:p w:rsidR="00283707" w:rsidRPr="006234AA" w:rsidRDefault="008F19BE" w:rsidP="003C0546">
      <w:pPr>
        <w:pStyle w:val="ListParagraph"/>
        <w:spacing w:after="120"/>
        <w:rPr>
          <w:bCs/>
        </w:rPr>
      </w:pPr>
      <w:r w:rsidRPr="006234AA">
        <w:rPr>
          <w:rFonts w:eastAsia="+mn-ea"/>
          <w:i/>
        </w:rPr>
        <w:t>K</w:t>
      </w:r>
      <w:r w:rsidR="00270C95" w:rsidRPr="006234AA">
        <w:rPr>
          <w:rFonts w:eastAsia="+mn-ea"/>
          <w:i/>
        </w:rPr>
        <w:t>ý quỹ gộp (gross)</w:t>
      </w:r>
      <w:r w:rsidR="00270C95" w:rsidRPr="006234AA">
        <w:rPr>
          <w:rFonts w:eastAsia="+mn-ea"/>
        </w:rPr>
        <w:t xml:space="preserve"> là phương thức </w:t>
      </w:r>
      <w:r w:rsidRPr="006234AA">
        <w:rPr>
          <w:rFonts w:eastAsia="+mn-ea"/>
        </w:rPr>
        <w:t xml:space="preserve">xác định giá trị </w:t>
      </w:r>
      <w:r w:rsidR="00270C95" w:rsidRPr="006234AA">
        <w:rPr>
          <w:rFonts w:eastAsia="+mn-ea"/>
        </w:rPr>
        <w:t xml:space="preserve">ký quỹ </w:t>
      </w:r>
      <w:r w:rsidRPr="006234AA">
        <w:rPr>
          <w:rFonts w:eastAsia="+mn-ea"/>
        </w:rPr>
        <w:t>cho một loại chứng khoán phái sinh dựa</w:t>
      </w:r>
      <w:r w:rsidR="00BF588A" w:rsidRPr="006234AA">
        <w:rPr>
          <w:rFonts w:eastAsia="+mn-ea"/>
        </w:rPr>
        <w:t xml:space="preserve"> </w:t>
      </w:r>
      <w:r w:rsidR="00270C95" w:rsidRPr="006234AA">
        <w:rPr>
          <w:rFonts w:eastAsia="+mn-ea"/>
        </w:rPr>
        <w:t xml:space="preserve">trên </w:t>
      </w:r>
      <w:r w:rsidR="00BF588A" w:rsidRPr="006234AA">
        <w:rPr>
          <w:rFonts w:eastAsia="+mn-ea"/>
        </w:rPr>
        <w:t xml:space="preserve">cơ sở </w:t>
      </w:r>
      <w:r w:rsidR="00270C95" w:rsidRPr="006234AA">
        <w:rPr>
          <w:rFonts w:eastAsia="+mn-ea"/>
        </w:rPr>
        <w:t>tổng vị thế mua và vị thế bán</w:t>
      </w:r>
      <w:r w:rsidR="00BF588A" w:rsidRPr="006234AA">
        <w:rPr>
          <w:rFonts w:eastAsia="+mn-ea"/>
        </w:rPr>
        <w:t xml:space="preserve"> của </w:t>
      </w:r>
      <w:r w:rsidRPr="006234AA">
        <w:rPr>
          <w:rFonts w:eastAsia="+mn-ea"/>
        </w:rPr>
        <w:t xml:space="preserve">loại </w:t>
      </w:r>
      <w:r w:rsidR="00BF588A" w:rsidRPr="006234AA">
        <w:rPr>
          <w:rFonts w:eastAsia="+mn-ea"/>
        </w:rPr>
        <w:t>chứng khoán phái sinh</w:t>
      </w:r>
      <w:r w:rsidRPr="006234AA">
        <w:rPr>
          <w:rFonts w:eastAsia="+mn-ea"/>
        </w:rPr>
        <w:t xml:space="preserve"> đó</w:t>
      </w:r>
      <w:r w:rsidR="00270C95" w:rsidRPr="006234AA">
        <w:rPr>
          <w:rFonts w:eastAsia="+mn-ea"/>
        </w:rPr>
        <w:t>.</w:t>
      </w:r>
    </w:p>
    <w:p w:rsidR="00270C95" w:rsidRPr="006234AA" w:rsidRDefault="008F19BE" w:rsidP="003C0546">
      <w:pPr>
        <w:pStyle w:val="ListParagraph"/>
        <w:spacing w:after="120"/>
        <w:rPr>
          <w:bCs/>
        </w:rPr>
      </w:pPr>
      <w:r w:rsidRPr="006234AA">
        <w:rPr>
          <w:rFonts w:eastAsia="+mn-ea"/>
          <w:i/>
        </w:rPr>
        <w:t>K</w:t>
      </w:r>
      <w:r w:rsidR="00270C95" w:rsidRPr="006234AA">
        <w:rPr>
          <w:rFonts w:eastAsia="+mn-ea"/>
          <w:i/>
        </w:rPr>
        <w:t>ý quỹ thuần</w:t>
      </w:r>
      <w:r w:rsidR="00270C95" w:rsidRPr="006234AA">
        <w:rPr>
          <w:rFonts w:eastAsia="+mn-ea"/>
        </w:rPr>
        <w:t xml:space="preserve"> là phương thức </w:t>
      </w:r>
      <w:r w:rsidRPr="006234AA">
        <w:rPr>
          <w:rFonts w:eastAsia="+mn-ea"/>
        </w:rPr>
        <w:t xml:space="preserve">xác định giá trị </w:t>
      </w:r>
      <w:r w:rsidR="00270C95" w:rsidRPr="006234AA">
        <w:rPr>
          <w:rFonts w:eastAsia="+mn-ea"/>
        </w:rPr>
        <w:t xml:space="preserve">ký quỹ </w:t>
      </w:r>
      <w:r w:rsidRPr="006234AA">
        <w:rPr>
          <w:rFonts w:eastAsia="+mn-ea"/>
        </w:rPr>
        <w:t xml:space="preserve">cho một loại chứng khoán phái sinh dựa trên </w:t>
      </w:r>
      <w:r w:rsidR="00BF588A" w:rsidRPr="006234AA">
        <w:rPr>
          <w:rFonts w:eastAsia="+mn-ea"/>
        </w:rPr>
        <w:t>cơ sở</w:t>
      </w:r>
      <w:r w:rsidR="00270C95" w:rsidRPr="006234AA">
        <w:rPr>
          <w:rFonts w:eastAsia="+mn-ea"/>
        </w:rPr>
        <w:t xml:space="preserve"> vị thế </w:t>
      </w:r>
      <w:r w:rsidR="00BF588A" w:rsidRPr="006234AA">
        <w:rPr>
          <w:rFonts w:eastAsia="+mn-ea"/>
        </w:rPr>
        <w:t>ròng</w:t>
      </w:r>
      <w:r w:rsidRPr="006234AA">
        <w:rPr>
          <w:rFonts w:eastAsia="+mn-ea"/>
        </w:rPr>
        <w:t>, nghĩa là</w:t>
      </w:r>
      <w:r w:rsidR="00270C95" w:rsidRPr="006234AA">
        <w:rPr>
          <w:rFonts w:eastAsia="+mn-ea"/>
        </w:rPr>
        <w:t xml:space="preserve"> </w:t>
      </w:r>
      <w:r w:rsidR="002E7414" w:rsidRPr="006234AA">
        <w:rPr>
          <w:rFonts w:eastAsia="+mn-ea"/>
        </w:rPr>
        <w:t xml:space="preserve">chênh lệch giữa </w:t>
      </w:r>
      <w:r w:rsidR="00270C95" w:rsidRPr="006234AA">
        <w:rPr>
          <w:rFonts w:eastAsia="+mn-ea"/>
        </w:rPr>
        <w:t xml:space="preserve">vị thế mua </w:t>
      </w:r>
      <w:r w:rsidR="002E7414" w:rsidRPr="006234AA">
        <w:rPr>
          <w:rFonts w:eastAsia="+mn-ea"/>
        </w:rPr>
        <w:t>và</w:t>
      </w:r>
      <w:r w:rsidR="00270C95" w:rsidRPr="006234AA">
        <w:rPr>
          <w:rFonts w:eastAsia="+mn-ea"/>
        </w:rPr>
        <w:t xml:space="preserve"> vị thế bán</w:t>
      </w:r>
      <w:r w:rsidR="00813DBA" w:rsidRPr="006234AA">
        <w:rPr>
          <w:rFonts w:eastAsia="+mn-ea"/>
        </w:rPr>
        <w:t>,</w:t>
      </w:r>
      <w:r w:rsidR="00BF588A" w:rsidRPr="006234AA">
        <w:rPr>
          <w:rFonts w:eastAsia="+mn-ea"/>
        </w:rPr>
        <w:t xml:space="preserve"> của </w:t>
      </w:r>
      <w:r w:rsidRPr="006234AA">
        <w:rPr>
          <w:rFonts w:eastAsia="+mn-ea"/>
        </w:rPr>
        <w:t>loại</w:t>
      </w:r>
      <w:r w:rsidR="00BF588A" w:rsidRPr="006234AA">
        <w:rPr>
          <w:rFonts w:eastAsia="+mn-ea"/>
        </w:rPr>
        <w:t xml:space="preserve"> chứng khoán phái sinh</w:t>
      </w:r>
      <w:r w:rsidRPr="006234AA">
        <w:rPr>
          <w:rFonts w:eastAsia="+mn-ea"/>
        </w:rPr>
        <w:t xml:space="preserve"> đó</w:t>
      </w:r>
      <w:r w:rsidR="00270C95" w:rsidRPr="006234AA">
        <w:rPr>
          <w:rFonts w:eastAsia="+mn-ea"/>
        </w:rPr>
        <w:t xml:space="preserve">. </w:t>
      </w:r>
    </w:p>
    <w:p w:rsidR="00DF3219" w:rsidRPr="006234AA" w:rsidRDefault="00F64C60" w:rsidP="003C0546">
      <w:pPr>
        <w:pStyle w:val="ListParagraph"/>
        <w:spacing w:after="120"/>
      </w:pPr>
      <w:r w:rsidRPr="006234AA">
        <w:rPr>
          <w:i/>
        </w:rPr>
        <w:lastRenderedPageBreak/>
        <w:t xml:space="preserve">Tài khoản </w:t>
      </w:r>
      <w:r w:rsidR="00764BC7" w:rsidRPr="006234AA">
        <w:rPr>
          <w:i/>
        </w:rPr>
        <w:t>giao dịch</w:t>
      </w:r>
      <w:r w:rsidR="00330CE7" w:rsidRPr="006234AA">
        <w:t xml:space="preserve"> là tài khoản giao dịch chứng khoán phái sinh của khách hàng mở tại thành viên giao dịch</w:t>
      </w:r>
      <w:r w:rsidR="00E50667" w:rsidRPr="006234AA">
        <w:t xml:space="preserve">. </w:t>
      </w:r>
    </w:p>
    <w:p w:rsidR="00A6337E" w:rsidRPr="006234AA" w:rsidRDefault="00A6337E" w:rsidP="003C0546">
      <w:pPr>
        <w:pStyle w:val="ListParagraph"/>
        <w:spacing w:after="120"/>
      </w:pPr>
      <w:r w:rsidRPr="006234AA">
        <w:rPr>
          <w:i/>
        </w:rPr>
        <w:t>Tài khoản kết nối</w:t>
      </w:r>
      <w:r w:rsidRPr="006234AA">
        <w:t xml:space="preserve"> là tài khoản giao dịch chứng khoán phái sinh được thiết kế như một tiểu khoản của tài khoản giao dịch chứng khoán cơ sở.</w:t>
      </w:r>
    </w:p>
    <w:p w:rsidR="004758DA" w:rsidRPr="006234AA" w:rsidRDefault="00054FA6" w:rsidP="003C0546">
      <w:pPr>
        <w:pStyle w:val="ListParagraph"/>
        <w:spacing w:after="120"/>
      </w:pPr>
      <w:r w:rsidRPr="006234AA">
        <w:rPr>
          <w:i/>
        </w:rPr>
        <w:t xml:space="preserve">Tài khoản </w:t>
      </w:r>
      <w:r w:rsidR="003C69D4" w:rsidRPr="006234AA">
        <w:rPr>
          <w:i/>
        </w:rPr>
        <w:t xml:space="preserve">ký quỹ </w:t>
      </w:r>
      <w:r w:rsidR="009F6054" w:rsidRPr="006234AA">
        <w:t>l</w:t>
      </w:r>
      <w:r w:rsidRPr="006234AA">
        <w:t>à tài khoản</w:t>
      </w:r>
      <w:r w:rsidR="004758DA" w:rsidRPr="006234AA">
        <w:t xml:space="preserve"> </w:t>
      </w:r>
      <w:r w:rsidR="00813DBA" w:rsidRPr="006234AA">
        <w:t>tiếp nhận ký quỹ và thực hiện</w:t>
      </w:r>
      <w:r w:rsidR="003C69D4" w:rsidRPr="006234AA">
        <w:t xml:space="preserve"> </w:t>
      </w:r>
      <w:r w:rsidR="004758DA" w:rsidRPr="006234AA">
        <w:t>thanh toán giao dịch chứng khoán phái sinh</w:t>
      </w:r>
      <w:r w:rsidR="004C1E5A" w:rsidRPr="006234AA">
        <w:t xml:space="preserve"> của khách hàng</w:t>
      </w:r>
      <w:r w:rsidR="00E50667" w:rsidRPr="006234AA">
        <w:t xml:space="preserve"> </w:t>
      </w:r>
      <w:r w:rsidR="00813DBA" w:rsidRPr="006234AA">
        <w:t>do</w:t>
      </w:r>
      <w:r w:rsidR="00E50667" w:rsidRPr="006234AA">
        <w:t xml:space="preserve"> thành viên bù trừ</w:t>
      </w:r>
      <w:r w:rsidR="00813DBA" w:rsidRPr="006234AA">
        <w:t>,</w:t>
      </w:r>
      <w:r w:rsidR="00436552" w:rsidRPr="006234AA">
        <w:t xml:space="preserve"> Trung tâm lưu ký chứng khoán</w:t>
      </w:r>
      <w:r w:rsidR="00E50667" w:rsidRPr="006234AA">
        <w:t xml:space="preserve"> phối hợp với ngân hàng quản lý tài khoản, </w:t>
      </w:r>
      <w:r w:rsidR="00813DBA" w:rsidRPr="006234AA">
        <w:t>mở và quản lý</w:t>
      </w:r>
      <w:r w:rsidR="00E50667" w:rsidRPr="006234AA">
        <w:t>. Tài khoản này</w:t>
      </w:r>
      <w:r w:rsidR="004758DA" w:rsidRPr="006234AA">
        <w:t xml:space="preserve"> bao gồm</w:t>
      </w:r>
      <w:r w:rsidR="008438BD" w:rsidRPr="006234AA">
        <w:t xml:space="preserve"> hai cấu phần</w:t>
      </w:r>
      <w:r w:rsidR="004758DA" w:rsidRPr="006234AA">
        <w:t xml:space="preserve">: </w:t>
      </w:r>
    </w:p>
    <w:p w:rsidR="00507D41" w:rsidRPr="006234AA" w:rsidRDefault="00507D41" w:rsidP="003C0546">
      <w:pPr>
        <w:spacing w:after="120"/>
        <w:rPr>
          <w:lang w:val="nl-NL"/>
        </w:rPr>
      </w:pPr>
      <w:r w:rsidRPr="006234AA">
        <w:rPr>
          <w:lang w:val="nl-NL"/>
        </w:rPr>
        <w:t xml:space="preserve">a) Tài khoản tiền gửi </w:t>
      </w:r>
      <w:r w:rsidR="003C69D4" w:rsidRPr="006234AA">
        <w:rPr>
          <w:lang w:val="nl-NL"/>
        </w:rPr>
        <w:t>ký quỹ</w:t>
      </w:r>
      <w:r w:rsidR="00813DBA" w:rsidRPr="006234AA">
        <w:rPr>
          <w:lang w:val="nl-NL"/>
        </w:rPr>
        <w:t xml:space="preserve"> mở tại ngân hàng quản lý tài khoản</w:t>
      </w:r>
      <w:r w:rsidRPr="006234AA">
        <w:rPr>
          <w:lang w:val="nl-NL"/>
        </w:rPr>
        <w:t xml:space="preserve">; </w:t>
      </w:r>
    </w:p>
    <w:p w:rsidR="00283707" w:rsidRPr="006234AA" w:rsidRDefault="00507D41" w:rsidP="003C0546">
      <w:pPr>
        <w:spacing w:after="120"/>
        <w:rPr>
          <w:lang w:val="nl-NL"/>
        </w:rPr>
      </w:pPr>
      <w:r w:rsidRPr="006234AA">
        <w:rPr>
          <w:lang w:val="nl-NL"/>
        </w:rPr>
        <w:t xml:space="preserve">b) Tài khoản </w:t>
      </w:r>
      <w:r w:rsidR="003C69D4" w:rsidRPr="006234AA">
        <w:rPr>
          <w:lang w:val="nl-NL"/>
        </w:rPr>
        <w:t xml:space="preserve">chứng khoán ký quỹ được quản lý </w:t>
      </w:r>
      <w:r w:rsidRPr="006234AA">
        <w:rPr>
          <w:lang w:val="nl-NL"/>
        </w:rPr>
        <w:t>tại Trung tâm lưu ký chứng khoán.</w:t>
      </w:r>
    </w:p>
    <w:p w:rsidR="004C1E5A" w:rsidRPr="006234AA" w:rsidRDefault="004C1E5A" w:rsidP="003C0546">
      <w:pPr>
        <w:pStyle w:val="ListParagraph"/>
        <w:spacing w:after="120"/>
      </w:pPr>
      <w:r w:rsidRPr="006234AA">
        <w:rPr>
          <w:i/>
        </w:rPr>
        <w:t xml:space="preserve">Tài khoản </w:t>
      </w:r>
      <w:r w:rsidR="00666F37" w:rsidRPr="006234AA">
        <w:rPr>
          <w:i/>
        </w:rPr>
        <w:t>bù trừ, thanh toán</w:t>
      </w:r>
      <w:r w:rsidRPr="006234AA">
        <w:rPr>
          <w:i/>
        </w:rPr>
        <w:t xml:space="preserve"> </w:t>
      </w:r>
      <w:r w:rsidRPr="006234AA">
        <w:t>là tài khoản chuyên d</w:t>
      </w:r>
      <w:r w:rsidR="00383C9D" w:rsidRPr="006234AA">
        <w:t>ùng</w:t>
      </w:r>
      <w:r w:rsidRPr="006234AA">
        <w:t xml:space="preserve"> cho hoạt động thanh toán, bù trừ giao dịch chứng khoán phái sinh</w:t>
      </w:r>
      <w:r w:rsidR="00813DBA" w:rsidRPr="006234AA">
        <w:t xml:space="preserve"> giữa thành viên bù trừ và Trung tâm Lưu ký chứng khoán</w:t>
      </w:r>
      <w:r w:rsidRPr="006234AA">
        <w:t xml:space="preserve">. Tài khoản này bao gồm hai cấu phần: </w:t>
      </w:r>
    </w:p>
    <w:p w:rsidR="009B7526" w:rsidRPr="006234AA" w:rsidRDefault="004C1E5A" w:rsidP="003C0546">
      <w:pPr>
        <w:spacing w:after="120"/>
        <w:rPr>
          <w:lang w:val="nl-NL"/>
        </w:rPr>
      </w:pPr>
      <w:r w:rsidRPr="006234AA">
        <w:rPr>
          <w:lang w:val="nl-NL"/>
        </w:rPr>
        <w:t xml:space="preserve">a) </w:t>
      </w:r>
      <w:r w:rsidR="00C97E72" w:rsidRPr="006234AA">
        <w:rPr>
          <w:lang w:val="nl-NL"/>
        </w:rPr>
        <w:t>Tài khoản tiền gửi ký quỹ</w:t>
      </w:r>
      <w:r w:rsidRPr="006234AA">
        <w:rPr>
          <w:lang w:val="nl-NL"/>
        </w:rPr>
        <w:t xml:space="preserve"> mở tại ngân hàng </w:t>
      </w:r>
      <w:r w:rsidR="004F3B28" w:rsidRPr="006234AA">
        <w:rPr>
          <w:lang w:val="nl-NL"/>
        </w:rPr>
        <w:t>thanh toán</w:t>
      </w:r>
      <w:r w:rsidR="00813DBA" w:rsidRPr="006234AA">
        <w:rPr>
          <w:lang w:val="nl-NL"/>
        </w:rPr>
        <w:t>;</w:t>
      </w:r>
      <w:r w:rsidR="004F3B28" w:rsidRPr="006234AA">
        <w:rPr>
          <w:lang w:val="nl-NL"/>
        </w:rPr>
        <w:t xml:space="preserve"> </w:t>
      </w:r>
    </w:p>
    <w:p w:rsidR="004C1E5A" w:rsidRPr="006234AA" w:rsidRDefault="004C1E5A" w:rsidP="003C0546">
      <w:pPr>
        <w:spacing w:after="120"/>
        <w:rPr>
          <w:lang w:val="nl-NL"/>
        </w:rPr>
      </w:pPr>
      <w:r w:rsidRPr="006234AA">
        <w:rPr>
          <w:lang w:val="nl-NL"/>
        </w:rPr>
        <w:t xml:space="preserve">b) </w:t>
      </w:r>
      <w:r w:rsidR="00ED62E5" w:rsidRPr="006234AA">
        <w:rPr>
          <w:lang w:val="nl-NL"/>
        </w:rPr>
        <w:t xml:space="preserve">Tài khoản </w:t>
      </w:r>
      <w:r w:rsidR="003C69D4" w:rsidRPr="006234AA">
        <w:rPr>
          <w:lang w:val="nl-NL"/>
        </w:rPr>
        <w:t xml:space="preserve">chứng khoán ký quỹ </w:t>
      </w:r>
      <w:r w:rsidR="00813DBA" w:rsidRPr="006234AA">
        <w:rPr>
          <w:lang w:val="nl-NL"/>
        </w:rPr>
        <w:t>được quản lý</w:t>
      </w:r>
      <w:r w:rsidRPr="006234AA">
        <w:rPr>
          <w:lang w:val="nl-NL"/>
        </w:rPr>
        <w:t xml:space="preserve"> </w:t>
      </w:r>
      <w:r w:rsidR="003C69D4" w:rsidRPr="006234AA">
        <w:rPr>
          <w:lang w:val="nl-NL"/>
        </w:rPr>
        <w:t>tại Trung tâm lưu ký chứng khoán</w:t>
      </w:r>
      <w:r w:rsidRPr="006234AA">
        <w:rPr>
          <w:lang w:val="nl-NL"/>
        </w:rPr>
        <w:t>.</w:t>
      </w:r>
    </w:p>
    <w:p w:rsidR="00EC10C9" w:rsidRPr="006234AA" w:rsidRDefault="007A06E0" w:rsidP="003C0546">
      <w:pPr>
        <w:pStyle w:val="ListParagraph"/>
        <w:spacing w:after="120"/>
      </w:pPr>
      <w:r w:rsidRPr="006234AA">
        <w:rPr>
          <w:i/>
        </w:rPr>
        <w:t>Tài sản cở sở</w:t>
      </w:r>
      <w:r w:rsidRPr="006234AA">
        <w:t xml:space="preserve"> là chứng khoán</w:t>
      </w:r>
      <w:r w:rsidR="0020601F" w:rsidRPr="006234AA">
        <w:t xml:space="preserve"> và các tài sản khác được sử dụng để xác định giá trị chứng khoán phái sinh</w:t>
      </w:r>
      <w:r w:rsidR="00EC10C9" w:rsidRPr="006234AA">
        <w:t>.</w:t>
      </w:r>
      <w:r w:rsidR="00EC10C9" w:rsidRPr="006234AA">
        <w:rPr>
          <w:i/>
        </w:rPr>
        <w:t xml:space="preserve"> </w:t>
      </w:r>
    </w:p>
    <w:p w:rsidR="00A449A4" w:rsidRPr="006234AA" w:rsidRDefault="00A449A4" w:rsidP="003C0546">
      <w:pPr>
        <w:pStyle w:val="ListParagraph"/>
        <w:spacing w:after="120"/>
        <w:rPr>
          <w:i/>
        </w:rPr>
      </w:pPr>
      <w:r w:rsidRPr="006234AA">
        <w:rPr>
          <w:i/>
        </w:rPr>
        <w:t xml:space="preserve">Tổ chức kinh doanh dịch vụ chứng khoán phái sinh </w:t>
      </w:r>
      <w:r w:rsidRPr="006234AA">
        <w:t>là tổ chức kinh doanh chứng khoán được cấp Giấy chứng nhận đủ điều kiện kinh doanh chứng khoán phái sinh; ngân hàng thương mại, chi nhánh ngân hàng nước ngoài được cấp Giấy chứng nhận đủ điều kiện cung cấp dịch vụ bù trừ, thanh toán chứng khoán phái sinh.</w:t>
      </w:r>
    </w:p>
    <w:p w:rsidR="00EF79CE" w:rsidRPr="006234AA" w:rsidRDefault="00B84486" w:rsidP="003C0546">
      <w:pPr>
        <w:pStyle w:val="ListParagraph"/>
        <w:spacing w:after="120"/>
      </w:pPr>
      <w:r w:rsidRPr="006234AA">
        <w:rPr>
          <w:i/>
        </w:rPr>
        <w:t xml:space="preserve">Chứng khoán </w:t>
      </w:r>
      <w:r w:rsidR="0020601F" w:rsidRPr="006234AA">
        <w:rPr>
          <w:i/>
        </w:rPr>
        <w:t>được chấp nhận ký quỹ</w:t>
      </w:r>
      <w:r w:rsidR="00EF79CE" w:rsidRPr="006234AA">
        <w:rPr>
          <w:i/>
        </w:rPr>
        <w:t xml:space="preserve"> </w:t>
      </w:r>
      <w:r w:rsidR="00813DBA" w:rsidRPr="006234AA">
        <w:t>bao gồm</w:t>
      </w:r>
      <w:r w:rsidR="00EF79CE" w:rsidRPr="006234AA">
        <w:t xml:space="preserve"> </w:t>
      </w:r>
      <w:r w:rsidR="005C446E" w:rsidRPr="006234AA">
        <w:t>tín phiếu kho bạc, trái phiếu chính phủ</w:t>
      </w:r>
      <w:r w:rsidR="00813DBA" w:rsidRPr="006234AA">
        <w:t>,</w:t>
      </w:r>
      <w:r w:rsidR="00EF79CE" w:rsidRPr="006234AA">
        <w:t xml:space="preserve"> cổ phiếu niêm yết </w:t>
      </w:r>
      <w:r w:rsidR="002E0085" w:rsidRPr="006234AA">
        <w:t xml:space="preserve">được </w:t>
      </w:r>
      <w:r w:rsidR="008573AD" w:rsidRPr="006234AA">
        <w:t>Trung tâm lưu ký chứng khoán</w:t>
      </w:r>
      <w:r w:rsidR="003C69D4" w:rsidRPr="006234AA">
        <w:t xml:space="preserve"> chấp nhận </w:t>
      </w:r>
      <w:r w:rsidR="00463FFE" w:rsidRPr="006234AA">
        <w:t>làm</w:t>
      </w:r>
      <w:r w:rsidR="00EF79CE" w:rsidRPr="006234AA">
        <w:t xml:space="preserve"> tài sản ký quỹ</w:t>
      </w:r>
      <w:r w:rsidR="00F44777" w:rsidRPr="006234AA">
        <w:t xml:space="preserve"> thay cho tiền mặt</w:t>
      </w:r>
      <w:r w:rsidR="00EF79CE" w:rsidRPr="006234AA">
        <w:t>.</w:t>
      </w:r>
      <w:r w:rsidR="00784FF7" w:rsidRPr="006234AA">
        <w:t xml:space="preserve"> </w:t>
      </w:r>
    </w:p>
    <w:p w:rsidR="00BF588A" w:rsidRPr="006234AA" w:rsidRDefault="00463FFE" w:rsidP="003C0546">
      <w:pPr>
        <w:pStyle w:val="ListParagraph"/>
        <w:spacing w:after="120"/>
        <w:rPr>
          <w:bCs/>
        </w:rPr>
      </w:pPr>
      <w:r w:rsidRPr="006234AA">
        <w:rPr>
          <w:bCs/>
          <w:i/>
        </w:rPr>
        <w:t>Thanh lý vị thế</w:t>
      </w:r>
      <w:r w:rsidRPr="006234AA">
        <w:rPr>
          <w:bCs/>
        </w:rPr>
        <w:t xml:space="preserve"> là việc </w:t>
      </w:r>
      <w:r w:rsidR="00813DBA" w:rsidRPr="006234AA">
        <w:rPr>
          <w:bCs/>
        </w:rPr>
        <w:t xml:space="preserve">các bên tham gia giao dịch </w:t>
      </w:r>
      <w:r w:rsidRPr="006234AA">
        <w:rPr>
          <w:bCs/>
        </w:rPr>
        <w:t xml:space="preserve">thanh toán tiền </w:t>
      </w:r>
      <w:r w:rsidR="00813DBA" w:rsidRPr="006234AA">
        <w:rPr>
          <w:bCs/>
        </w:rPr>
        <w:t>và</w:t>
      </w:r>
      <w:r w:rsidRPr="006234AA">
        <w:rPr>
          <w:bCs/>
        </w:rPr>
        <w:t xml:space="preserve"> </w:t>
      </w:r>
      <w:r w:rsidR="00813DBA" w:rsidRPr="006234AA">
        <w:rPr>
          <w:bCs/>
        </w:rPr>
        <w:t xml:space="preserve">tiếp nhận </w:t>
      </w:r>
      <w:r w:rsidRPr="006234AA">
        <w:rPr>
          <w:bCs/>
        </w:rPr>
        <w:t>chuyển giao tài sản cơ sở theo hợp đồng.</w:t>
      </w:r>
    </w:p>
    <w:p w:rsidR="00BF588A" w:rsidRPr="006234AA" w:rsidRDefault="00BF588A" w:rsidP="003C0546">
      <w:pPr>
        <w:pStyle w:val="ListParagraph"/>
        <w:spacing w:after="120"/>
        <w:rPr>
          <w:bCs/>
        </w:rPr>
      </w:pPr>
      <w:r w:rsidRPr="006234AA">
        <w:rPr>
          <w:i/>
        </w:rPr>
        <w:t xml:space="preserve">Thành viên giao dịch chứng khoán phái sinh </w:t>
      </w:r>
      <w:r w:rsidRPr="006234AA">
        <w:t xml:space="preserve">(sau đây gọi tắt là </w:t>
      </w:r>
      <w:r w:rsidRPr="006234AA">
        <w:rPr>
          <w:i/>
        </w:rPr>
        <w:t xml:space="preserve">thành viên giao dịch) </w:t>
      </w:r>
      <w:r w:rsidRPr="006234AA">
        <w:t xml:space="preserve">là </w:t>
      </w:r>
      <w:r w:rsidR="00813DBA" w:rsidRPr="006234AA">
        <w:t>thành viên của</w:t>
      </w:r>
      <w:r w:rsidRPr="006234AA">
        <w:t xml:space="preserve"> Sở giao dịch chứng khoán </w:t>
      </w:r>
      <w:r w:rsidR="00813DBA" w:rsidRPr="006234AA">
        <w:t>được thực hiện nghiệp vụ</w:t>
      </w:r>
      <w:r w:rsidRPr="006234AA">
        <w:t xml:space="preserve"> tự doanh và môi giới chứng khoán phái sinh.</w:t>
      </w:r>
    </w:p>
    <w:p w:rsidR="00BF588A" w:rsidRPr="006234AA" w:rsidRDefault="00BF588A" w:rsidP="003C0546">
      <w:pPr>
        <w:pStyle w:val="ListParagraph"/>
        <w:spacing w:after="120"/>
        <w:rPr>
          <w:bCs/>
        </w:rPr>
      </w:pPr>
      <w:r w:rsidRPr="006234AA">
        <w:t xml:space="preserve"> </w:t>
      </w:r>
      <w:r w:rsidRPr="006234AA">
        <w:rPr>
          <w:i/>
        </w:rPr>
        <w:t>Thành viên giao dịch đặc biệt</w:t>
      </w:r>
      <w:r w:rsidRPr="006234AA">
        <w:rPr>
          <w:b/>
        </w:rPr>
        <w:t xml:space="preserve"> </w:t>
      </w:r>
      <w:r w:rsidRPr="006234AA">
        <w:t xml:space="preserve">là ngân hàng thương mại </w:t>
      </w:r>
      <w:r w:rsidR="00813DBA" w:rsidRPr="006234AA">
        <w:t xml:space="preserve">và </w:t>
      </w:r>
      <w:r w:rsidRPr="006234AA">
        <w:t xml:space="preserve">là thành viên của Sở giao dịch chứng khoán </w:t>
      </w:r>
      <w:r w:rsidR="00813DBA" w:rsidRPr="006234AA">
        <w:t>được</w:t>
      </w:r>
      <w:r w:rsidRPr="006234AA">
        <w:t xml:space="preserve"> đầu tư chứng khoán phái sinh trên trái phiếu Chính phủ. </w:t>
      </w:r>
    </w:p>
    <w:p w:rsidR="00BF588A" w:rsidRPr="006234AA" w:rsidRDefault="00BF588A" w:rsidP="003C0546">
      <w:pPr>
        <w:pStyle w:val="ListParagraph"/>
        <w:spacing w:after="120"/>
        <w:rPr>
          <w:bCs/>
        </w:rPr>
      </w:pPr>
      <w:r w:rsidRPr="006234AA">
        <w:rPr>
          <w:i/>
        </w:rPr>
        <w:t>Thành viên giao dịch không bù trừ</w:t>
      </w:r>
      <w:r w:rsidRPr="006234AA">
        <w:rPr>
          <w:b/>
        </w:rPr>
        <w:t xml:space="preserve"> </w:t>
      </w:r>
      <w:r w:rsidRPr="006234AA">
        <w:t>(sau đây gọi tắt là thành viên không bù trừ)</w:t>
      </w:r>
      <w:r w:rsidRPr="006234AA">
        <w:rPr>
          <w:b/>
        </w:rPr>
        <w:t xml:space="preserve"> </w:t>
      </w:r>
      <w:r w:rsidRPr="006234AA">
        <w:t>là thành viên giao dịch không được là thành viên bù trừ.</w:t>
      </w:r>
    </w:p>
    <w:p w:rsidR="00BF588A" w:rsidRPr="006234AA" w:rsidRDefault="00BF588A" w:rsidP="003C0546">
      <w:pPr>
        <w:pStyle w:val="ListParagraph"/>
        <w:spacing w:after="120"/>
        <w:rPr>
          <w:bCs/>
        </w:rPr>
      </w:pPr>
      <w:r w:rsidRPr="006234AA">
        <w:rPr>
          <w:i/>
        </w:rPr>
        <w:lastRenderedPageBreak/>
        <w:t>Thành viên tạo lập thị trường</w:t>
      </w:r>
      <w:r w:rsidRPr="006234AA">
        <w:rPr>
          <w:b/>
        </w:rPr>
        <w:t xml:space="preserve"> </w:t>
      </w:r>
      <w:r w:rsidRPr="006234AA">
        <w:t>là thành viên giao dịch</w:t>
      </w:r>
      <w:r w:rsidR="00813DBA" w:rsidRPr="006234AA">
        <w:t>, thành viên giao dịch đặc biệt</w:t>
      </w:r>
      <w:r w:rsidRPr="006234AA">
        <w:t xml:space="preserve"> được </w:t>
      </w:r>
      <w:r w:rsidR="00813DBA" w:rsidRPr="006234AA">
        <w:t>thực hiện hoạt động</w:t>
      </w:r>
      <w:r w:rsidRPr="006234AA">
        <w:t xml:space="preserve"> tạo lập thị trường cho một hoặc một số loại chứng khoán phái sinh.</w:t>
      </w:r>
    </w:p>
    <w:p w:rsidR="00BF588A" w:rsidRPr="006234AA" w:rsidRDefault="00BF588A" w:rsidP="003C0546">
      <w:pPr>
        <w:pStyle w:val="ListParagraph"/>
        <w:spacing w:after="120"/>
        <w:rPr>
          <w:bCs/>
        </w:rPr>
      </w:pPr>
      <w:r w:rsidRPr="006234AA">
        <w:rPr>
          <w:i/>
        </w:rPr>
        <w:t>Thành viên bù trừ</w:t>
      </w:r>
      <w:r w:rsidRPr="006234AA">
        <w:rPr>
          <w:b/>
        </w:rPr>
        <w:t xml:space="preserve"> </w:t>
      </w:r>
      <w:r w:rsidRPr="006234AA">
        <w:t>là công ty chứng khoán, ngân hàng thương mại</w:t>
      </w:r>
      <w:r w:rsidR="00813DBA" w:rsidRPr="006234AA">
        <w:t>, chi nhánh ngân hàng nước ngoài</w:t>
      </w:r>
      <w:r w:rsidRPr="006234AA">
        <w:t xml:space="preserve"> được thực hiện bù trừ, thanh toán giao dịch chứng khoán phái sinh. Thành viên bù trừ bao gồm:</w:t>
      </w:r>
    </w:p>
    <w:p w:rsidR="00BF588A" w:rsidRPr="006234AA" w:rsidRDefault="00BF588A" w:rsidP="00D36937">
      <w:pPr>
        <w:pStyle w:val="ListParagraph"/>
        <w:numPr>
          <w:ilvl w:val="0"/>
          <w:numId w:val="39"/>
        </w:numPr>
        <w:tabs>
          <w:tab w:val="left" w:pos="993"/>
          <w:tab w:val="left" w:pos="1134"/>
        </w:tabs>
        <w:spacing w:after="120"/>
        <w:ind w:left="0" w:firstLine="709"/>
      </w:pPr>
      <w:r w:rsidRPr="006234AA">
        <w:rPr>
          <w:i/>
        </w:rPr>
        <w:t>Thành viên bù trừ chung</w:t>
      </w:r>
      <w:r w:rsidR="00813DBA" w:rsidRPr="006234AA">
        <w:rPr>
          <w:i/>
        </w:rPr>
        <w:t>,</w:t>
      </w:r>
      <w:r w:rsidRPr="006234AA">
        <w:rPr>
          <w:b/>
        </w:rPr>
        <w:t xml:space="preserve"> </w:t>
      </w:r>
      <w:r w:rsidRPr="006234AA">
        <w:t xml:space="preserve">được </w:t>
      </w:r>
      <w:r w:rsidR="00813DBA" w:rsidRPr="006234AA">
        <w:t>bù trừ, thanh toán giao dịch chứng khoán phái sinh của mình, khách hàng môi giới của mình và cung cấp dịch vụ bù trừ, thanh toán giao dịch chứng khoán phái sinh cho các thành viên không bù trừ và khách hàng môi giới của các thành viên không bù trừ đó.</w:t>
      </w:r>
      <w:r w:rsidRPr="006234AA">
        <w:t xml:space="preserve">  </w:t>
      </w:r>
    </w:p>
    <w:p w:rsidR="00BF588A" w:rsidRPr="006234AA" w:rsidRDefault="00BF588A" w:rsidP="00D36937">
      <w:pPr>
        <w:numPr>
          <w:ilvl w:val="0"/>
          <w:numId w:val="39"/>
        </w:numPr>
        <w:tabs>
          <w:tab w:val="left" w:pos="993"/>
          <w:tab w:val="left" w:pos="1134"/>
        </w:tabs>
        <w:spacing w:after="120"/>
        <w:ind w:left="0" w:firstLine="709"/>
        <w:rPr>
          <w:lang w:val="nl-NL"/>
        </w:rPr>
      </w:pPr>
      <w:r w:rsidRPr="006234AA">
        <w:rPr>
          <w:i/>
          <w:lang w:val="nl-NL"/>
        </w:rPr>
        <w:t>Thành viên bù trừ trực tiếp</w:t>
      </w:r>
      <w:r w:rsidR="00813DBA" w:rsidRPr="006234AA">
        <w:rPr>
          <w:i/>
          <w:lang w:val="nl-NL"/>
        </w:rPr>
        <w:t>,</w:t>
      </w:r>
      <w:r w:rsidRPr="006234AA">
        <w:rPr>
          <w:b/>
          <w:lang w:val="nl-NL"/>
        </w:rPr>
        <w:t xml:space="preserve"> </w:t>
      </w:r>
      <w:r w:rsidR="00813DBA" w:rsidRPr="006234AA">
        <w:rPr>
          <w:lang w:val="nl-NL"/>
        </w:rPr>
        <w:t>chỉ được thực hiện bù trừ, thanh toán giao dịch chứng khoán phái sinh của mình và khách hàng môi giới của mình.</w:t>
      </w:r>
      <w:r w:rsidRPr="006234AA">
        <w:rPr>
          <w:lang w:val="nl-NL"/>
        </w:rPr>
        <w:t xml:space="preserve">   </w:t>
      </w:r>
    </w:p>
    <w:p w:rsidR="00BF588A" w:rsidRPr="006234AA" w:rsidRDefault="00BF588A" w:rsidP="003C0546">
      <w:pPr>
        <w:pStyle w:val="ListParagraph"/>
        <w:spacing w:after="120"/>
        <w:rPr>
          <w:bCs/>
        </w:rPr>
      </w:pPr>
      <w:r w:rsidRPr="006234AA">
        <w:rPr>
          <w:i/>
        </w:rPr>
        <w:t xml:space="preserve">Quỹ bù trừ </w:t>
      </w:r>
      <w:r w:rsidRPr="006234AA">
        <w:t>là quỹ hình thành từ các khoản đóng góp của thành viên bù trừ với mục đích bồi thường thiệt hại và hoàn tất các giao dịch chứng khoán phái sinh trong trường hợp thành viên bù trừ</w:t>
      </w:r>
      <w:r w:rsidR="00DA482A" w:rsidRPr="006234AA">
        <w:t>, nhà đầu tư mất khả năng thanh toán</w:t>
      </w:r>
      <w:r w:rsidRPr="006234AA">
        <w:t>.</w:t>
      </w:r>
    </w:p>
    <w:p w:rsidR="001E2A9D" w:rsidRPr="006234AA" w:rsidRDefault="001E2A9D" w:rsidP="003C0546">
      <w:pPr>
        <w:pStyle w:val="ListParagraph"/>
        <w:spacing w:after="120"/>
        <w:rPr>
          <w:bCs/>
        </w:rPr>
      </w:pPr>
      <w:r w:rsidRPr="006234AA">
        <w:rPr>
          <w:i/>
          <w:iCs/>
        </w:rPr>
        <w:t xml:space="preserve">Tháng đáo hạn </w:t>
      </w:r>
      <w:r w:rsidRPr="006234AA">
        <w:rPr>
          <w:iCs/>
        </w:rPr>
        <w:t xml:space="preserve">là tháng mà hợp đồng </w:t>
      </w:r>
      <w:r w:rsidR="002836F2" w:rsidRPr="006234AA">
        <w:rPr>
          <w:iCs/>
        </w:rPr>
        <w:t xml:space="preserve">chứng khoán phái sinh </w:t>
      </w:r>
      <w:r w:rsidRPr="006234AA">
        <w:rPr>
          <w:iCs/>
        </w:rPr>
        <w:t xml:space="preserve">đáo hạn. </w:t>
      </w:r>
    </w:p>
    <w:p w:rsidR="00876CE7" w:rsidRPr="006234AA" w:rsidRDefault="00876CE7" w:rsidP="003C0546">
      <w:pPr>
        <w:pStyle w:val="ListParagraph"/>
        <w:spacing w:after="120"/>
        <w:rPr>
          <w:bCs/>
        </w:rPr>
      </w:pPr>
      <w:r w:rsidRPr="006234AA">
        <w:rPr>
          <w:i/>
          <w:iCs/>
        </w:rPr>
        <w:t xml:space="preserve">Thị trường cơ sở </w:t>
      </w:r>
      <w:r w:rsidRPr="006234AA">
        <w:rPr>
          <w:iCs/>
        </w:rPr>
        <w:t xml:space="preserve">là thị trường </w:t>
      </w:r>
      <w:r w:rsidR="00BF588A" w:rsidRPr="006234AA">
        <w:rPr>
          <w:iCs/>
        </w:rPr>
        <w:t>giao dịch tài sản cơ sở</w:t>
      </w:r>
      <w:r w:rsidRPr="006234AA">
        <w:rPr>
          <w:iCs/>
        </w:rPr>
        <w:t>.</w:t>
      </w:r>
    </w:p>
    <w:p w:rsidR="002E0085" w:rsidRPr="006234AA" w:rsidRDefault="002E0085" w:rsidP="003C0546">
      <w:pPr>
        <w:pStyle w:val="ListParagraph"/>
        <w:spacing w:after="120"/>
        <w:rPr>
          <w:bCs/>
        </w:rPr>
      </w:pPr>
      <w:r w:rsidRPr="006234AA">
        <w:rPr>
          <w:i/>
        </w:rPr>
        <w:t>Tỷ lệ ký quỹ (margin)</w:t>
      </w:r>
      <w:r w:rsidRPr="006234AA">
        <w:t xml:space="preserve"> là tỷ lệ giữa giá trị tài sản </w:t>
      </w:r>
      <w:r w:rsidR="00DA482A" w:rsidRPr="006234AA">
        <w:t xml:space="preserve">trên tài khoản </w:t>
      </w:r>
      <w:r w:rsidRPr="006234AA">
        <w:t xml:space="preserve">ký quỹ </w:t>
      </w:r>
      <w:r w:rsidR="00DA482A" w:rsidRPr="006234AA">
        <w:t>của khách hàng</w:t>
      </w:r>
      <w:r w:rsidR="00A6388B" w:rsidRPr="006234AA">
        <w:t>, bao gồm cả lãi lỗ vị thế,</w:t>
      </w:r>
      <w:r w:rsidRPr="006234AA">
        <w:t xml:space="preserve"> so với tổng giá trị các </w:t>
      </w:r>
      <w:r w:rsidR="00DA482A" w:rsidRPr="006234AA">
        <w:t>chứng khoán</w:t>
      </w:r>
      <w:r w:rsidRPr="006234AA">
        <w:t xml:space="preserve"> phái sinh đang còn hiệu lực</w:t>
      </w:r>
      <w:r w:rsidR="00181444" w:rsidRPr="006234AA">
        <w:t xml:space="preserve"> tính theo </w:t>
      </w:r>
      <w:r w:rsidR="00DA482A" w:rsidRPr="006234AA">
        <w:t xml:space="preserve">mức </w:t>
      </w:r>
      <w:r w:rsidR="00181444" w:rsidRPr="006234AA">
        <w:t>giá tham chiếu</w:t>
      </w:r>
      <w:r w:rsidRPr="006234AA">
        <w:t>.</w:t>
      </w:r>
      <w:r w:rsidR="00181444" w:rsidRPr="006234AA">
        <w:t xml:space="preserve"> </w:t>
      </w:r>
    </w:p>
    <w:p w:rsidR="008A0BDB" w:rsidRPr="006234AA" w:rsidRDefault="008A0BDB" w:rsidP="003C0546">
      <w:pPr>
        <w:pStyle w:val="ListParagraph"/>
        <w:spacing w:after="120"/>
        <w:rPr>
          <w:bCs/>
        </w:rPr>
      </w:pPr>
      <w:r w:rsidRPr="006234AA">
        <w:rPr>
          <w:i/>
        </w:rPr>
        <w:t>Tỷ lệ k</w:t>
      </w:r>
      <w:r w:rsidRPr="006234AA">
        <w:rPr>
          <w:i/>
          <w:lang w:val="vi-VN"/>
        </w:rPr>
        <w:t>ý quỹ ban đầu</w:t>
      </w:r>
      <w:r w:rsidRPr="006234AA">
        <w:rPr>
          <w:i/>
        </w:rPr>
        <w:t xml:space="preserve"> (intial margin)</w:t>
      </w:r>
      <w:r w:rsidRPr="006234AA">
        <w:rPr>
          <w:lang w:val="vi-VN"/>
        </w:rPr>
        <w:t xml:space="preserve"> là </w:t>
      </w:r>
      <w:r w:rsidRPr="006234AA">
        <w:t xml:space="preserve">tỷ lệ giữa giá trị ký quỹ ban đầu so với giá trị </w:t>
      </w:r>
      <w:r w:rsidR="00DA482A" w:rsidRPr="006234AA">
        <w:t>chứng khoán</w:t>
      </w:r>
      <w:r w:rsidRPr="006234AA">
        <w:t xml:space="preserve"> phái sinh dự kiến thực hiện </w:t>
      </w:r>
      <w:r w:rsidR="00DA482A" w:rsidRPr="006234AA">
        <w:t xml:space="preserve">tính </w:t>
      </w:r>
      <w:r w:rsidRPr="006234AA">
        <w:t xml:space="preserve">theo </w:t>
      </w:r>
      <w:r w:rsidR="00DA482A" w:rsidRPr="006234AA">
        <w:t xml:space="preserve">mức </w:t>
      </w:r>
      <w:r w:rsidRPr="006234AA">
        <w:t xml:space="preserve">giá </w:t>
      </w:r>
      <w:r w:rsidR="00DA482A" w:rsidRPr="006234AA">
        <w:t>trần khi</w:t>
      </w:r>
      <w:r w:rsidRPr="006234AA">
        <w:t xml:space="preserve"> đặt lệnh</w:t>
      </w:r>
      <w:r w:rsidRPr="006234AA">
        <w:rPr>
          <w:lang w:val="vi-VN"/>
        </w:rPr>
        <w:t>.</w:t>
      </w:r>
      <w:r w:rsidRPr="006234AA">
        <w:t xml:space="preserve"> </w:t>
      </w:r>
    </w:p>
    <w:p w:rsidR="002E0085" w:rsidRPr="006234AA" w:rsidRDefault="002E0085" w:rsidP="003C0546">
      <w:pPr>
        <w:pStyle w:val="ListParagraph"/>
        <w:spacing w:after="120"/>
        <w:rPr>
          <w:bCs/>
        </w:rPr>
      </w:pPr>
      <w:r w:rsidRPr="006234AA">
        <w:rPr>
          <w:i/>
        </w:rPr>
        <w:t xml:space="preserve">Tỷ lệ ký quỹ duy trì (maintenance margin) </w:t>
      </w:r>
      <w:r w:rsidRPr="006234AA">
        <w:t xml:space="preserve">là tỷ lệ </w:t>
      </w:r>
      <w:r w:rsidR="00DA482A" w:rsidRPr="006234AA">
        <w:t xml:space="preserve">tối thiểu </w:t>
      </w:r>
      <w:r w:rsidRPr="006234AA">
        <w:t xml:space="preserve">phải duy trì giữa giá trị tài sản </w:t>
      </w:r>
      <w:r w:rsidR="00DA482A" w:rsidRPr="006234AA">
        <w:t xml:space="preserve">trên tài khoản </w:t>
      </w:r>
      <w:r w:rsidRPr="006234AA">
        <w:t>ký quỹ</w:t>
      </w:r>
      <w:r w:rsidR="00A6388B" w:rsidRPr="006234AA">
        <w:t>, bao gồm cả lãi lỗ vị thế,</w:t>
      </w:r>
      <w:r w:rsidRPr="006234AA">
        <w:t xml:space="preserve"> so với tổng giá trị </w:t>
      </w:r>
      <w:r w:rsidR="00DA482A" w:rsidRPr="006234AA">
        <w:t>chứng khoán</w:t>
      </w:r>
      <w:r w:rsidRPr="006234AA">
        <w:t xml:space="preserve"> phái sinh còn hiệu lực</w:t>
      </w:r>
      <w:r w:rsidR="00181444" w:rsidRPr="006234AA">
        <w:t xml:space="preserve"> tính theo </w:t>
      </w:r>
      <w:r w:rsidR="00DA482A" w:rsidRPr="006234AA">
        <w:t xml:space="preserve">mức </w:t>
      </w:r>
      <w:r w:rsidR="00181444" w:rsidRPr="006234AA">
        <w:t>giá tham chiếu</w:t>
      </w:r>
      <w:r w:rsidRPr="006234AA">
        <w:t>.</w:t>
      </w:r>
      <w:r w:rsidR="00181444" w:rsidRPr="006234AA">
        <w:t xml:space="preserve"> </w:t>
      </w:r>
    </w:p>
    <w:p w:rsidR="00E14643" w:rsidRPr="006234AA" w:rsidRDefault="00E14643" w:rsidP="003C0546">
      <w:pPr>
        <w:pStyle w:val="ListParagraph"/>
        <w:spacing w:after="120"/>
        <w:rPr>
          <w:b/>
          <w:bCs/>
        </w:rPr>
      </w:pPr>
      <w:r w:rsidRPr="006234AA">
        <w:rPr>
          <w:i/>
        </w:rPr>
        <w:t>Tỷ trọng thị trường tạo lập</w:t>
      </w:r>
      <w:r w:rsidRPr="006234AA">
        <w:t xml:space="preserve"> </w:t>
      </w:r>
      <w:r w:rsidR="00DA482A" w:rsidRPr="006234AA">
        <w:t xml:space="preserve">của một thành viên tạo lập thị trường </w:t>
      </w:r>
      <w:r w:rsidRPr="006234AA">
        <w:t xml:space="preserve">đối với </w:t>
      </w:r>
      <w:r w:rsidR="00DA482A" w:rsidRPr="006234AA">
        <w:t>một</w:t>
      </w:r>
      <w:r w:rsidRPr="006234AA">
        <w:t xml:space="preserve"> chứng khoán phái sinh trong một thời kỳ được xác định bằng tổng khối lượng giao dịch đã thực hiện trên tài khoản tạo lập thị trường so với tổng khối lượng giao dịch chứng khoán phái sinh đó </w:t>
      </w:r>
      <w:r w:rsidR="00DA482A" w:rsidRPr="006234AA">
        <w:t>trên toàn thị trường</w:t>
      </w:r>
      <w:r w:rsidRPr="006234AA">
        <w:t xml:space="preserve">. </w:t>
      </w:r>
    </w:p>
    <w:p w:rsidR="00DA482A" w:rsidRPr="006234AA" w:rsidRDefault="00DA482A" w:rsidP="003C0546">
      <w:pPr>
        <w:pStyle w:val="ListParagraph"/>
        <w:spacing w:after="120"/>
      </w:pPr>
      <w:r w:rsidRPr="006234AA">
        <w:rPr>
          <w:i/>
        </w:rPr>
        <w:t xml:space="preserve">Vị thế </w:t>
      </w:r>
      <w:r w:rsidRPr="006234AA">
        <w:t xml:space="preserve">một chứng khoán phái sinh tại một thời điểm là trạng thái giao dịch và khối lượng chứng khoán phái sinh còn hiệu lực mà nhà đầu tư đang nắm giữ tính tới thời điểm đó. Nhà đầu tư thực hiện mua hoặc bán một chứng khoán phái sinh, được gọi là mở vị thế mua hoặc mở vị thế bán chứng khoán phái sinh đó. </w:t>
      </w:r>
    </w:p>
    <w:p w:rsidR="00DA482A" w:rsidRPr="006234AA" w:rsidRDefault="00DA482A" w:rsidP="003C0546">
      <w:pPr>
        <w:pStyle w:val="ListParagraph"/>
        <w:spacing w:after="120"/>
      </w:pPr>
      <w:r w:rsidRPr="006234AA">
        <w:rPr>
          <w:i/>
        </w:rPr>
        <w:t>Vị thế mở</w:t>
      </w:r>
      <w:r w:rsidRPr="006234AA">
        <w:t xml:space="preserve"> một chứng khoán phái sinh là vị thế chứng khoán phái sinh còn hiệu lực, chưa được thanh lý hoặc tất toán mà nhà đầu tư đang nắm giữ.</w:t>
      </w:r>
    </w:p>
    <w:p w:rsidR="00DA482A" w:rsidRPr="006234AA" w:rsidRDefault="00DA482A" w:rsidP="003C0546">
      <w:pPr>
        <w:pStyle w:val="ListParagraph"/>
        <w:spacing w:after="120"/>
      </w:pPr>
      <w:r w:rsidRPr="006234AA">
        <w:rPr>
          <w:i/>
        </w:rPr>
        <w:lastRenderedPageBreak/>
        <w:t xml:space="preserve">Vị thế ròng </w:t>
      </w:r>
      <w:r w:rsidRPr="006234AA">
        <w:t>một chứng khoán phái sinh tại một thời điểm được xác định bằng chênh lệch giữa vị thế mua đã mở và vị thế bán đã mở của chứng khoán phái sinh đó tại cùng một thời điểm.</w:t>
      </w:r>
    </w:p>
    <w:p w:rsidR="001016A1" w:rsidRPr="006234AA" w:rsidRDefault="001016A1" w:rsidP="003C0546">
      <w:pPr>
        <w:pStyle w:val="ListParagraph"/>
        <w:spacing w:after="120"/>
      </w:pPr>
      <w:r w:rsidRPr="006234AA">
        <w:rPr>
          <w:i/>
        </w:rPr>
        <w:t>Vị thế đứng tên thành viên bù trừ</w:t>
      </w:r>
      <w:r w:rsidRPr="006234AA">
        <w:t xml:space="preserve"> </w:t>
      </w:r>
      <w:r w:rsidR="00666F37" w:rsidRPr="006234AA">
        <w:t>bao gồm</w:t>
      </w:r>
      <w:r w:rsidRPr="006234AA">
        <w:t xml:space="preserve"> vị thế mở </w:t>
      </w:r>
      <w:r w:rsidR="00666F37" w:rsidRPr="006234AA">
        <w:t xml:space="preserve">của </w:t>
      </w:r>
      <w:r w:rsidR="004B2934" w:rsidRPr="006234AA">
        <w:t>nhà đầu tư</w:t>
      </w:r>
      <w:r w:rsidR="00666F37" w:rsidRPr="006234AA">
        <w:t xml:space="preserve"> và vị thế mở của </w:t>
      </w:r>
      <w:r w:rsidRPr="006234AA">
        <w:t>thành viên bù trừ</w:t>
      </w:r>
      <w:r w:rsidR="00666F37" w:rsidRPr="006234AA">
        <w:t>, cụ thể như sau</w:t>
      </w:r>
      <w:r w:rsidRPr="006234AA">
        <w:t xml:space="preserve">: </w:t>
      </w:r>
    </w:p>
    <w:p w:rsidR="001016A1" w:rsidRPr="006234AA" w:rsidRDefault="001016A1" w:rsidP="00D36937">
      <w:pPr>
        <w:pStyle w:val="ListParagraph"/>
        <w:numPr>
          <w:ilvl w:val="0"/>
          <w:numId w:val="21"/>
        </w:numPr>
        <w:tabs>
          <w:tab w:val="left" w:pos="1134"/>
        </w:tabs>
        <w:spacing w:after="120"/>
        <w:ind w:left="0" w:firstLine="709"/>
      </w:pPr>
      <w:r w:rsidRPr="006234AA">
        <w:t xml:space="preserve">Vị thế </w:t>
      </w:r>
      <w:r w:rsidR="004B2934" w:rsidRPr="006234AA">
        <w:t xml:space="preserve">mở trong </w:t>
      </w:r>
      <w:r w:rsidRPr="006234AA">
        <w:t xml:space="preserve">các giao dịch tự doanh và tạo lập thị trường (nếu có) của thành viên bù trừ; </w:t>
      </w:r>
    </w:p>
    <w:p w:rsidR="001016A1" w:rsidRPr="006234AA" w:rsidRDefault="001016A1" w:rsidP="00D36937">
      <w:pPr>
        <w:pStyle w:val="ListParagraph"/>
        <w:numPr>
          <w:ilvl w:val="0"/>
          <w:numId w:val="21"/>
        </w:numPr>
        <w:tabs>
          <w:tab w:val="left" w:pos="1134"/>
        </w:tabs>
        <w:spacing w:after="120"/>
        <w:ind w:left="0" w:firstLine="709"/>
      </w:pPr>
      <w:r w:rsidRPr="006234AA">
        <w:t xml:space="preserve">Vị thế </w:t>
      </w:r>
      <w:r w:rsidR="004B2934" w:rsidRPr="006234AA">
        <w:t>mở trong</w:t>
      </w:r>
      <w:r w:rsidRPr="006234AA">
        <w:t xml:space="preserve"> các giao dịch của nhà đầu tư là khách hàng trong nghiệp vụ môi giới chứng khoán phái sinh của thành viên bù trừ;</w:t>
      </w:r>
    </w:p>
    <w:p w:rsidR="001016A1" w:rsidRPr="006234AA" w:rsidRDefault="001016A1" w:rsidP="00D36937">
      <w:pPr>
        <w:pStyle w:val="ListParagraph"/>
        <w:numPr>
          <w:ilvl w:val="0"/>
          <w:numId w:val="21"/>
        </w:numPr>
        <w:tabs>
          <w:tab w:val="left" w:pos="1134"/>
        </w:tabs>
        <w:spacing w:after="120"/>
        <w:ind w:left="0" w:firstLine="709"/>
      </w:pPr>
      <w:r w:rsidRPr="006234AA">
        <w:t xml:space="preserve">Vị thế </w:t>
      </w:r>
      <w:r w:rsidR="004B2934" w:rsidRPr="006234AA">
        <w:t>mở trong</w:t>
      </w:r>
      <w:r w:rsidRPr="006234AA">
        <w:t xml:space="preserve"> các giao dịch của khách hàng ủy thác </w:t>
      </w:r>
      <w:r w:rsidR="00666F37" w:rsidRPr="006234AA">
        <w:t>bù trừ, thanh toán</w:t>
      </w:r>
      <w:r w:rsidRPr="006234AA">
        <w:t>, bao gồm: vị thế từ giao dịch tự doanh, tạo lập thị trường (nếu có) của thành viên giao dịch không bù trừ và vị thế từ các giao dịch của nhà đầu tư là khách hàng trong nghiệp vụ môi giới của thành viên không bù trừ.</w:t>
      </w:r>
    </w:p>
    <w:p w:rsidR="00DF3219" w:rsidRPr="006234AA" w:rsidRDefault="00043024" w:rsidP="003C0546">
      <w:pPr>
        <w:pStyle w:val="ListParagraph"/>
        <w:spacing w:after="120"/>
      </w:pPr>
      <w:r w:rsidRPr="006234AA">
        <w:rPr>
          <w:i/>
        </w:rPr>
        <w:t xml:space="preserve">Vị thế bù trừ </w:t>
      </w:r>
      <w:r w:rsidR="005B6748" w:rsidRPr="006234AA">
        <w:t xml:space="preserve">là vị thế </w:t>
      </w:r>
      <w:r w:rsidRPr="006234AA">
        <w:rPr>
          <w:lang w:val="pt-BR"/>
        </w:rPr>
        <w:t xml:space="preserve">mua </w:t>
      </w:r>
      <w:r w:rsidR="004B2934" w:rsidRPr="006234AA">
        <w:rPr>
          <w:lang w:val="pt-BR"/>
        </w:rPr>
        <w:t>mới mở để làm giảm khối lượng chứng khoán phái sinh từ</w:t>
      </w:r>
      <w:r w:rsidRPr="006234AA">
        <w:rPr>
          <w:lang w:val="pt-BR"/>
        </w:rPr>
        <w:t xml:space="preserve"> </w:t>
      </w:r>
      <w:r w:rsidR="00C406D4" w:rsidRPr="006234AA">
        <w:rPr>
          <w:lang w:val="pt-BR"/>
        </w:rPr>
        <w:t xml:space="preserve">vị thế </w:t>
      </w:r>
      <w:r w:rsidRPr="006234AA">
        <w:rPr>
          <w:lang w:val="pt-BR"/>
        </w:rPr>
        <w:t>bán</w:t>
      </w:r>
      <w:r w:rsidR="00C406D4" w:rsidRPr="006234AA">
        <w:rPr>
          <w:lang w:val="pt-BR"/>
        </w:rPr>
        <w:t xml:space="preserve"> </w:t>
      </w:r>
      <w:r w:rsidR="004B2934" w:rsidRPr="006234AA">
        <w:rPr>
          <w:lang w:val="pt-BR"/>
        </w:rPr>
        <w:t>đã mở trước đó; hoặc là vị thế bán mới mở để làm giảm khối lượng chứng khoán phái sinh từ vị thế mua đã mở trước đó.</w:t>
      </w:r>
    </w:p>
    <w:p w:rsidR="006D2EE1" w:rsidRPr="006234AA" w:rsidRDefault="00627372" w:rsidP="003C0546">
      <w:pPr>
        <w:pStyle w:val="Heading4"/>
        <w:spacing w:after="120"/>
      </w:pPr>
      <w:bookmarkStart w:id="9" w:name="_Toc387116638"/>
      <w:bookmarkStart w:id="10" w:name="_Toc387136292"/>
      <w:bookmarkStart w:id="11" w:name="_Toc397003289"/>
      <w:bookmarkStart w:id="12" w:name="_Toc422671934"/>
      <w:bookmarkEnd w:id="9"/>
      <w:bookmarkEnd w:id="10"/>
      <w:r w:rsidRPr="006234AA">
        <w:t>Quy định chung</w:t>
      </w:r>
      <w:bookmarkEnd w:id="11"/>
      <w:bookmarkEnd w:id="12"/>
    </w:p>
    <w:p w:rsidR="00010425" w:rsidRPr="006234AA" w:rsidRDefault="00DA387C" w:rsidP="003C0546">
      <w:pPr>
        <w:spacing w:after="120"/>
        <w:rPr>
          <w:lang w:val="nl-NL"/>
        </w:rPr>
      </w:pPr>
      <w:r w:rsidRPr="006234AA">
        <w:rPr>
          <w:lang w:val="nl-NL"/>
        </w:rPr>
        <w:t>1.</w:t>
      </w:r>
      <w:r w:rsidR="00010425" w:rsidRPr="006234AA">
        <w:rPr>
          <w:lang w:val="nl-NL"/>
        </w:rPr>
        <w:t xml:space="preserve"> Sở giao dịch chứng khoán, Trung tâm Lưu ký chứng khoán tổ chức thị trường theo nguyên tắc sau:</w:t>
      </w:r>
    </w:p>
    <w:p w:rsidR="00010425" w:rsidRPr="006234AA" w:rsidRDefault="00010425" w:rsidP="003C0546">
      <w:pPr>
        <w:spacing w:after="120"/>
        <w:rPr>
          <w:lang w:val="nl-NL"/>
        </w:rPr>
      </w:pPr>
      <w:r w:rsidRPr="006234AA">
        <w:rPr>
          <w:lang w:val="nl-NL"/>
        </w:rPr>
        <w:t xml:space="preserve">a) </w:t>
      </w:r>
      <w:r w:rsidR="00DA387C" w:rsidRPr="006234AA">
        <w:rPr>
          <w:lang w:val="nl-NL"/>
        </w:rPr>
        <w:t>Sở giao dịch chứng khoán xây dựng</w:t>
      </w:r>
      <w:r w:rsidRPr="006234AA">
        <w:rPr>
          <w:lang w:val="nl-NL"/>
        </w:rPr>
        <w:t>,</w:t>
      </w:r>
      <w:r w:rsidR="00DA482A" w:rsidRPr="006234AA">
        <w:rPr>
          <w:lang w:val="nl-NL"/>
        </w:rPr>
        <w:t xml:space="preserve"> ban hành </w:t>
      </w:r>
      <w:r w:rsidR="00DA387C" w:rsidRPr="006234AA">
        <w:rPr>
          <w:lang w:val="nl-NL"/>
        </w:rPr>
        <w:t>Quy chế giao dịch chứng khoán phái sinh, Quy chế thành viên giao dịch</w:t>
      </w:r>
      <w:r w:rsidRPr="006234AA">
        <w:rPr>
          <w:lang w:val="nl-NL"/>
        </w:rPr>
        <w:t>, Quy chế giám sát giao dịch</w:t>
      </w:r>
      <w:r w:rsidR="00DA387C" w:rsidRPr="006234AA">
        <w:rPr>
          <w:lang w:val="nl-NL"/>
        </w:rPr>
        <w:t xml:space="preserve"> và </w:t>
      </w:r>
      <w:r w:rsidR="00DA482A" w:rsidRPr="006234AA">
        <w:rPr>
          <w:lang w:val="nl-NL"/>
        </w:rPr>
        <w:t xml:space="preserve">Quy chế công bố thông tin </w:t>
      </w:r>
      <w:r w:rsidR="00DA387C" w:rsidRPr="006234AA">
        <w:rPr>
          <w:lang w:val="nl-NL"/>
        </w:rPr>
        <w:t xml:space="preserve">sau khi </w:t>
      </w:r>
      <w:r w:rsidR="00493760" w:rsidRPr="006234AA">
        <w:rPr>
          <w:lang w:val="nl-NL"/>
        </w:rPr>
        <w:t xml:space="preserve">được </w:t>
      </w:r>
      <w:r w:rsidR="00DA387C" w:rsidRPr="006234AA">
        <w:rPr>
          <w:lang w:val="nl-NL"/>
        </w:rPr>
        <w:t>Ủy ban Chứng khoán Nhà nước chấp thuận</w:t>
      </w:r>
      <w:r w:rsidRPr="006234AA">
        <w:rPr>
          <w:lang w:val="nl-NL"/>
        </w:rPr>
        <w:t xml:space="preserve">, và tổ chức </w:t>
      </w:r>
      <w:r w:rsidR="005E0767" w:rsidRPr="006234AA">
        <w:rPr>
          <w:lang w:val="nl-NL"/>
        </w:rPr>
        <w:t>thực hiện theo</w:t>
      </w:r>
      <w:r w:rsidRPr="006234AA">
        <w:rPr>
          <w:lang w:val="nl-NL"/>
        </w:rPr>
        <w:t xml:space="preserve"> các quy chế nêu trên</w:t>
      </w:r>
      <w:r w:rsidR="0097179A" w:rsidRPr="006234AA">
        <w:rPr>
          <w:lang w:val="nl-NL"/>
        </w:rPr>
        <w:t>.</w:t>
      </w:r>
    </w:p>
    <w:p w:rsidR="00DA387C" w:rsidRPr="006234AA" w:rsidRDefault="00010425" w:rsidP="003C0546">
      <w:pPr>
        <w:spacing w:after="120"/>
        <w:rPr>
          <w:lang w:val="nl-NL"/>
        </w:rPr>
      </w:pPr>
      <w:r w:rsidRPr="006234AA">
        <w:rPr>
          <w:lang w:val="nl-NL"/>
        </w:rPr>
        <w:t>b)</w:t>
      </w:r>
      <w:r w:rsidR="00DA482A" w:rsidRPr="006234AA">
        <w:rPr>
          <w:lang w:val="nl-NL"/>
        </w:rPr>
        <w:t xml:space="preserve"> Trung tâm Lưu ký chứng khoán xây dựng</w:t>
      </w:r>
      <w:r w:rsidRPr="006234AA">
        <w:rPr>
          <w:lang w:val="nl-NL"/>
        </w:rPr>
        <w:t>,</w:t>
      </w:r>
      <w:r w:rsidR="00DA482A" w:rsidRPr="006234AA">
        <w:rPr>
          <w:lang w:val="nl-NL"/>
        </w:rPr>
        <w:t xml:space="preserve"> ban hành Quy chế bù trừ, thanh toán giao dịch chứng khoán phái sinh</w:t>
      </w:r>
      <w:r w:rsidRPr="006234AA">
        <w:rPr>
          <w:lang w:val="nl-NL"/>
        </w:rPr>
        <w:t xml:space="preserve"> và</w:t>
      </w:r>
      <w:r w:rsidR="00DA482A" w:rsidRPr="006234AA">
        <w:rPr>
          <w:lang w:val="nl-NL"/>
        </w:rPr>
        <w:t xml:space="preserve"> Quy chế thành viên bù trừ sau khi được Ủy ban Chứng khoán Nhà nước chấp thuận</w:t>
      </w:r>
      <w:r w:rsidRPr="006234AA">
        <w:rPr>
          <w:lang w:val="nl-NL"/>
        </w:rPr>
        <w:t xml:space="preserve">, và tổ chức </w:t>
      </w:r>
      <w:r w:rsidR="005E0767" w:rsidRPr="006234AA">
        <w:rPr>
          <w:lang w:val="nl-NL"/>
        </w:rPr>
        <w:t>thực hiện theo</w:t>
      </w:r>
      <w:r w:rsidRPr="006234AA">
        <w:rPr>
          <w:lang w:val="nl-NL"/>
        </w:rPr>
        <w:t xml:space="preserve"> các quy chế nêu trên</w:t>
      </w:r>
      <w:r w:rsidR="00DA482A" w:rsidRPr="006234AA">
        <w:rPr>
          <w:lang w:val="nl-NL"/>
        </w:rPr>
        <w:t>.</w:t>
      </w:r>
    </w:p>
    <w:p w:rsidR="00010425" w:rsidRPr="006234AA" w:rsidRDefault="00010425" w:rsidP="003C0546">
      <w:pPr>
        <w:spacing w:after="120"/>
        <w:rPr>
          <w:lang w:val="nl-NL"/>
        </w:rPr>
      </w:pPr>
      <w:r w:rsidRPr="006234AA">
        <w:rPr>
          <w:lang w:val="nl-NL"/>
        </w:rPr>
        <w:t>2. Công ty chứng khoán, công ty quản lý quỹ, ngân hàng thương mại, chi nhánh ngân hàng nước ngoài được cung cấp dịch vụ chứng khoán theo nguyên tắc sau:</w:t>
      </w:r>
    </w:p>
    <w:p w:rsidR="00010425" w:rsidRPr="006234AA" w:rsidRDefault="00010425" w:rsidP="003C0546">
      <w:pPr>
        <w:spacing w:after="120"/>
        <w:rPr>
          <w:lang w:val="nl-NL"/>
        </w:rPr>
      </w:pPr>
      <w:r w:rsidRPr="006234AA">
        <w:rPr>
          <w:lang w:val="nl-NL"/>
        </w:rPr>
        <w:t>a) Công ty chứng khoán chỉ được cung cấp dịch vụ môi giới chứng khoán sau khi đã được Ủy ban Chứng khoán Nhà nước cấp Giấy chứng nhận đủ điều kiện hoạt động môi giới chứng khoán phái sinh và được Sở giao dịch chứng khoán chấp thuận làm thành viên giao dịch.</w:t>
      </w:r>
    </w:p>
    <w:p w:rsidR="00010425" w:rsidRPr="006234AA" w:rsidRDefault="00010425" w:rsidP="003C0546">
      <w:pPr>
        <w:spacing w:after="120"/>
        <w:rPr>
          <w:lang w:val="nl-NL"/>
        </w:rPr>
      </w:pPr>
      <w:r w:rsidRPr="006234AA">
        <w:rPr>
          <w:lang w:val="nl-NL"/>
        </w:rPr>
        <w:t xml:space="preserve">b) Ngân hàng thương mại, chi nhánh ngân hàng nước ngoài tại Việt Nam được cung cấp dịch vụ bù trừ, thanh toán chứng khoán phái sinh sau khi có văn chấp thuận của Ngân hàng Nhà nước, được Ủy ban Chứng khoán Nhà nước cấp Giấy chứng nhận đủ điều kiện hoạt động bù trừ, thanh toán giao dịch chứng </w:t>
      </w:r>
      <w:r w:rsidRPr="006234AA">
        <w:rPr>
          <w:lang w:val="nl-NL"/>
        </w:rPr>
        <w:lastRenderedPageBreak/>
        <w:t>khoán phái sinh và được Trung tâm Lưu ký chứng khoán chấp thuận làm thành viên bù trừ.</w:t>
      </w:r>
    </w:p>
    <w:p w:rsidR="00010425" w:rsidRPr="006234AA" w:rsidRDefault="00010425" w:rsidP="003C0546">
      <w:pPr>
        <w:spacing w:after="120"/>
        <w:rPr>
          <w:lang w:val="nl-NL"/>
        </w:rPr>
      </w:pPr>
      <w:r w:rsidRPr="006234AA">
        <w:rPr>
          <w:lang w:val="nl-NL"/>
        </w:rPr>
        <w:t>c) Công ty chứng khoán, công ty quản lý quỹ được cung cấp dịch vụ tư vấn đầu tư chứng khoán phái sinh sau khi đã được Ủy ban Chứng khoán Nhà nước cấp Giấy chứng nhận đủ điều kiện hoạt động tư vấn đầu tư chứng khoán phái sinh</w:t>
      </w:r>
      <w:r w:rsidR="004E2336" w:rsidRPr="006234AA">
        <w:rPr>
          <w:lang w:val="nl-NL"/>
        </w:rPr>
        <w:t>;</w:t>
      </w:r>
    </w:p>
    <w:p w:rsidR="004E2336" w:rsidRPr="006234AA" w:rsidRDefault="004E2336" w:rsidP="003C0546">
      <w:pPr>
        <w:spacing w:after="120"/>
        <w:rPr>
          <w:lang w:val="nl-NL"/>
        </w:rPr>
      </w:pPr>
      <w:r w:rsidRPr="006234AA">
        <w:rPr>
          <w:lang w:val="nl-NL"/>
        </w:rPr>
        <w:t>d) Tự nguyện, công bằng, trung thực và vì lợi ích cao nhất của khách hàng. Xử lý, giải quyết mọi tranh chấp phát sinh với khách hàng và với thành viên khác theo đúng thẩm quyền và phù</w:t>
      </w:r>
      <w:r w:rsidR="001D1935" w:rsidRPr="006234AA">
        <w:rPr>
          <w:lang w:val="nl-NL"/>
        </w:rPr>
        <w:t xml:space="preserve"> hợp với quy định của pháp luật;</w:t>
      </w:r>
    </w:p>
    <w:p w:rsidR="004E2336" w:rsidRPr="006234AA" w:rsidRDefault="004E2336" w:rsidP="003C0546">
      <w:pPr>
        <w:spacing w:after="120"/>
        <w:rPr>
          <w:lang w:val="nl-NL"/>
        </w:rPr>
      </w:pPr>
      <w:r w:rsidRPr="006234AA">
        <w:rPr>
          <w:lang w:val="nl-NL"/>
        </w:rPr>
        <w:t xml:space="preserve">đ) </w:t>
      </w:r>
      <w:r w:rsidR="001D1935" w:rsidRPr="006234AA">
        <w:rPr>
          <w:rFonts w:eastAsia="+mn-ea"/>
          <w:lang w:val="nl-NL"/>
        </w:rPr>
        <w:t xml:space="preserve">Thiết lập và duy trì hệ thống kiểm soát nội bộ, hệ thống và quy trình quản lý rủi ro cho từng hoạt động kinh doanh, dịch vụ chứng khoán phái sinh. </w:t>
      </w:r>
      <w:r w:rsidRPr="006234AA">
        <w:rPr>
          <w:lang w:val="nl-NL"/>
        </w:rPr>
        <w:t>Ban hành và thực hiện theo đúng các quy trình nghiệp vụ, kiểm soát nội bộ, quản trị rủi ro đối với các hoạt động chứng khoán phái sinh; ban hành và tổ chức thực hiện bộ quy tắc đạo đức nghề nghiệp. Tuân thủ các quy định của pháp luật, điều lệ công ty và thực hiện đầy đủ các yêu cầu, quyết định, hướng dẫn, quy trình, quy chế của Sở giao dịch chứng khoán, Trung tâm lưu ký chứng khoán, Ủy ban Chứng khoán Nhà</w:t>
      </w:r>
      <w:r w:rsidR="001D1935" w:rsidRPr="006234AA">
        <w:rPr>
          <w:lang w:val="nl-NL"/>
        </w:rPr>
        <w:t xml:space="preserve"> nước;</w:t>
      </w:r>
    </w:p>
    <w:p w:rsidR="004E2336" w:rsidRPr="006234AA" w:rsidRDefault="004E2336" w:rsidP="003C0546">
      <w:pPr>
        <w:spacing w:after="120"/>
        <w:rPr>
          <w:lang w:val="nl-NL"/>
        </w:rPr>
      </w:pPr>
      <w:r w:rsidRPr="006234AA">
        <w:rPr>
          <w:lang w:val="nl-NL"/>
        </w:rPr>
        <w:t xml:space="preserve">e) Chủ động, tích cực phối hợp, cung cấp đầy đủ tài liệu, dữ liệu theo yêu cầu, chịu sự kiểm tra, giám sát của Sở giao dịch chứng khoán, Trung tâm lưu ký chứng khoán và Ủy ban Chứng khoán Nhà nước trong các hoạt động kinh doanh chứng khoán. </w:t>
      </w:r>
    </w:p>
    <w:p w:rsidR="00010425" w:rsidRPr="006234AA" w:rsidRDefault="00010425" w:rsidP="003C0546">
      <w:pPr>
        <w:tabs>
          <w:tab w:val="left" w:pos="993"/>
        </w:tabs>
        <w:spacing w:after="120"/>
        <w:rPr>
          <w:lang w:val="nl-NL"/>
        </w:rPr>
      </w:pPr>
      <w:r w:rsidRPr="006234AA">
        <w:rPr>
          <w:lang w:val="nl-NL"/>
        </w:rPr>
        <w:t>3. Tổ chức, cá nhân được tự do đầu tư vào các chứng khoán phái sinh trên thị trường chứng khoán phái sinh, trừ các trường hợp đầu tư có điều kiện cụ thể dưới đây:</w:t>
      </w:r>
    </w:p>
    <w:p w:rsidR="00010425" w:rsidRPr="006234AA" w:rsidRDefault="00010425" w:rsidP="003C0546">
      <w:pPr>
        <w:tabs>
          <w:tab w:val="left" w:pos="993"/>
        </w:tabs>
        <w:spacing w:after="120"/>
        <w:rPr>
          <w:lang w:val="nl-NL"/>
        </w:rPr>
      </w:pPr>
      <w:r w:rsidRPr="006234AA">
        <w:rPr>
          <w:lang w:val="nl-NL"/>
        </w:rPr>
        <w:t xml:space="preserve">a) Công ty chứng khoán chỉ được đầu tư chứng khoán phái sinh sau khi đã được Ủy ban Chứng khoán nhà nước cấp </w:t>
      </w:r>
      <w:r w:rsidR="0097179A" w:rsidRPr="006234AA">
        <w:rPr>
          <w:lang w:val="nl-NL"/>
        </w:rPr>
        <w:t>G</w:t>
      </w:r>
      <w:r w:rsidRPr="006234AA">
        <w:rPr>
          <w:lang w:val="nl-NL"/>
        </w:rPr>
        <w:t>iấy chứng nhận đủ điều kiện tự doanh chứng khoán phái sinh.</w:t>
      </w:r>
    </w:p>
    <w:p w:rsidR="00010425" w:rsidRPr="006234AA" w:rsidRDefault="00010425" w:rsidP="003C0546">
      <w:pPr>
        <w:spacing w:after="120"/>
        <w:rPr>
          <w:lang w:val="nl-NL"/>
        </w:rPr>
      </w:pPr>
      <w:r w:rsidRPr="006234AA">
        <w:rPr>
          <w:lang w:val="nl-NL"/>
        </w:rPr>
        <w:t xml:space="preserve"> b) Công ty quản lý quỹ không được sử dụng vốn của mình để đầu tư chứng khoán phái sinh, kể cả trong trường hợp đó là vốn vay, các khoản phải trả, vốn huy động từ chào bán, phát hành chứng khoán. Công ty quản lý quỹ được đầu tư chứng khoán phái sinh từ nguồn vốn ủy thác, vốn của quỹ đầu tư, công ty đầu tư chứng khoán trong trường hợp hợp đồng quản lý danh mục đầu tư, điều lệ quỹ, điều lệ công ty đầu tư chứng khoán có điều khoản cho phép thực hiện.</w:t>
      </w:r>
    </w:p>
    <w:p w:rsidR="00065513" w:rsidRPr="006234AA" w:rsidRDefault="00065513" w:rsidP="00065513">
      <w:pPr>
        <w:spacing w:after="120"/>
        <w:rPr>
          <w:lang w:val="nl-NL"/>
        </w:rPr>
      </w:pPr>
      <w:r w:rsidRPr="006234AA">
        <w:rPr>
          <w:lang w:val="nl-NL"/>
        </w:rPr>
        <w:t>Trường hợp khách hà</w:t>
      </w:r>
      <w:r w:rsidR="001340D9" w:rsidRPr="006234AA">
        <w:rPr>
          <w:lang w:val="nl-NL"/>
        </w:rPr>
        <w:t>ng ủy thác quản lý danh mục đầu tư</w:t>
      </w:r>
      <w:r w:rsidRPr="006234AA">
        <w:rPr>
          <w:lang w:val="nl-NL"/>
        </w:rPr>
        <w:t xml:space="preserve"> có ý kiến bằng văn bản cho phép thực hiện đầu tư </w:t>
      </w:r>
      <w:r w:rsidR="001340D9" w:rsidRPr="006234AA">
        <w:rPr>
          <w:lang w:val="nl-NL"/>
        </w:rPr>
        <w:t xml:space="preserve">chứng khoán phái sinh </w:t>
      </w:r>
      <w:r w:rsidRPr="006234AA">
        <w:rPr>
          <w:lang w:val="nl-NL"/>
        </w:rPr>
        <w:t>ngoài mục đích phòng ngừa rủi ro, tổng giá trị rủi ro vị thế của khách hàng ủy thác không được vượt quá 50% giá trị tài sản ròng danh mục ủy thác của khách hàng đó.</w:t>
      </w:r>
    </w:p>
    <w:p w:rsidR="00010425" w:rsidRPr="006234AA" w:rsidRDefault="00010425" w:rsidP="003C0546">
      <w:pPr>
        <w:spacing w:after="120"/>
        <w:rPr>
          <w:lang w:val="nl-NL"/>
        </w:rPr>
      </w:pPr>
      <w:r w:rsidRPr="006234AA">
        <w:rPr>
          <w:lang w:val="nl-NL"/>
        </w:rPr>
        <w:t xml:space="preserve">c) Tổ chức tín dụng, chi nhánh ngân hàng nước ngoài tại Việt Nam được đầu tư vào chứng khoán phái sinh sau khi có văn bản chấp thuận của Ngân hàng Nhà nước. </w:t>
      </w:r>
    </w:p>
    <w:p w:rsidR="00010425" w:rsidRPr="006234AA" w:rsidRDefault="00010425" w:rsidP="003C0546">
      <w:pPr>
        <w:spacing w:after="120"/>
        <w:rPr>
          <w:lang w:val="nl-NL"/>
        </w:rPr>
      </w:pPr>
      <w:r w:rsidRPr="006234AA">
        <w:rPr>
          <w:lang w:val="nl-NL"/>
        </w:rPr>
        <w:lastRenderedPageBreak/>
        <w:t>d) Doanh nghiệp bảo hiểm, chi nhánh doanh nghiệp bảo hiểm nước ngoài chỉ được đầu tư chứng khoán phái sinh sau khi được Bộ Tài chính chấp thuận theo quy định pháp luật về kinh doanh bảo hiểm.</w:t>
      </w:r>
    </w:p>
    <w:p w:rsidR="00010425" w:rsidRPr="006234AA" w:rsidRDefault="00010425" w:rsidP="003C0546">
      <w:pPr>
        <w:spacing w:after="120"/>
        <w:rPr>
          <w:lang w:val="nl-NL"/>
        </w:rPr>
      </w:pPr>
      <w:r w:rsidRPr="006234AA">
        <w:rPr>
          <w:lang w:val="nl-NL"/>
        </w:rPr>
        <w:t>đ) Tập đoàn kinh tế nhà nước, tổng công ty nhà nước, doanh nghiệp nhà nước, doanh nghiệp thuộc sở hữu 100% vốn của doanh nghiệp nhà nước chỉ được đầu tư chứng khoán phái sinh sau khi đã được cơ quan quản lý có thẩm quyền, chủ sở hữu cho phép thực hiện theo quy định pháp luật về quản lý, sử dụng vốn nhà nước đầu tư vào sản xuất, kinh doanh tại doanh nghiệp.</w:t>
      </w:r>
    </w:p>
    <w:p w:rsidR="00010425" w:rsidRPr="006234AA" w:rsidRDefault="00010425" w:rsidP="003C0546">
      <w:pPr>
        <w:spacing w:after="120"/>
        <w:rPr>
          <w:lang w:val="nl-NL"/>
        </w:rPr>
      </w:pPr>
      <w:r w:rsidRPr="006234AA">
        <w:rPr>
          <w:lang w:val="nl-NL"/>
        </w:rPr>
        <w:t xml:space="preserve">4. Trong quá trình đầu tư chứng khoán phái sinh, kinh doanh chứng khoán phái sinh, tổ chức, cá nhân tự chịu trách nhiệm về rủi ro và phải tuân thủ quy định pháp luật, không được thực hiện các hành vi bị cấm theo quy định tại Điều 9 Luật Chứng khoán. </w:t>
      </w:r>
    </w:p>
    <w:p w:rsidR="00010425" w:rsidRPr="006234AA" w:rsidRDefault="00010425" w:rsidP="003C0546">
      <w:pPr>
        <w:spacing w:after="120"/>
        <w:rPr>
          <w:b/>
          <w:lang w:val="nl-NL"/>
        </w:rPr>
      </w:pPr>
      <w:r w:rsidRPr="006234AA">
        <w:rPr>
          <w:lang w:val="nl-NL"/>
        </w:rPr>
        <w:t>Tổ chức, cá nhân có hành vi vi phạm quy định của pháp luật chứng khoán phái sinh thì tùy tính chất, mức độ vi phạm mà bị xử phạt vi phạm hành chính hoặc bị truy cứu trách nhiệm hình sự. Trong trường hợp cần thiết, Ủy ban Chứng khoán Nhà nước có quyền yêu cầu Sở giao dịch chứng khoán, Trung tâm lưu ký chứng khoán, các thành viên giao dịch, thành viên bù trừ chấm dứt cung cấp dịch vụ chứng khoán phái sinh cho khách hàng, không mở vị thế giao dịch mới cho khách hàng; đồng thời yêu cầu các thành viên thanh lý, đóng tất cả các vị thế mở của khách hàng.</w:t>
      </w:r>
    </w:p>
    <w:p w:rsidR="00C63012" w:rsidRPr="006234AA" w:rsidRDefault="00C63012" w:rsidP="003C0546">
      <w:pPr>
        <w:spacing w:after="120"/>
        <w:rPr>
          <w:lang w:val="nl-NL"/>
        </w:rPr>
      </w:pPr>
      <w:r w:rsidRPr="006234AA">
        <w:rPr>
          <w:lang w:val="nl-NL"/>
        </w:rPr>
        <w:t>5. Hoạt động giao dịch chứng khoán phái sinh niêm yết của nhà đầu tư được thực hiện trên hệ thống giao dịch tại Sở giao dịch chứng khoán thông qua các thành viên giao dịch. Hoạt động bù trừ, thanh toán chứng khoán phái sinh theo cơ chế đối tác trung tâm được thực hiện tại Trung tâm lưu ký chứng khoán thông qua thành viên bù trừ. Hoạt động thanh toán tiền giao dịch chứng khoán phái sinh thực hiện dưới hình thức chuyển khoản thông qua ngân hàng quản lý tài khoản và ngân hàng thanh toán.</w:t>
      </w:r>
      <w:r w:rsidR="0097179A" w:rsidRPr="006234AA">
        <w:rPr>
          <w:lang w:val="nl-NL"/>
        </w:rPr>
        <w:t xml:space="preserve"> Hoạt động chuyển giao tài sản cơ sở là chứng khoán giao dịch trên Sở giao dịch chứng khoán giữa các bên tham gia giao dịch được thực hiện trên hệ thống tài khoản lưu ký tại Trung tâm Lưu ký chứng khoán. </w:t>
      </w:r>
    </w:p>
    <w:p w:rsidR="00547DE6" w:rsidRPr="006234AA" w:rsidRDefault="00C63012" w:rsidP="003C0546">
      <w:pPr>
        <w:spacing w:after="120"/>
        <w:rPr>
          <w:lang w:val="nl-NL"/>
        </w:rPr>
      </w:pPr>
      <w:r w:rsidRPr="006234AA">
        <w:rPr>
          <w:lang w:val="nl-NL"/>
        </w:rPr>
        <w:t>6</w:t>
      </w:r>
      <w:r w:rsidR="00DA387C" w:rsidRPr="006234AA">
        <w:rPr>
          <w:lang w:val="nl-NL"/>
        </w:rPr>
        <w:t xml:space="preserve">. </w:t>
      </w:r>
      <w:r w:rsidR="00547DE6" w:rsidRPr="006234AA">
        <w:rPr>
          <w:lang w:val="nl-NL"/>
        </w:rPr>
        <w:t>N</w:t>
      </w:r>
      <w:r w:rsidR="00DA387C" w:rsidRPr="006234AA">
        <w:rPr>
          <w:lang w:val="nl-NL"/>
        </w:rPr>
        <w:t xml:space="preserve">hà đầu tư chỉ được thực hiện giao dịch chứng khoán phái sinh </w:t>
      </w:r>
      <w:r w:rsidR="00010425" w:rsidRPr="006234AA">
        <w:rPr>
          <w:lang w:val="nl-NL"/>
        </w:rPr>
        <w:t xml:space="preserve">niêm yết </w:t>
      </w:r>
      <w:r w:rsidR="00DA387C" w:rsidRPr="006234AA">
        <w:rPr>
          <w:lang w:val="nl-NL"/>
        </w:rPr>
        <w:t>thông qua sự môi giới của thành viên giao dịch</w:t>
      </w:r>
      <w:r w:rsidR="00E40D19" w:rsidRPr="006234AA">
        <w:rPr>
          <w:lang w:val="nl-NL"/>
        </w:rPr>
        <w:t xml:space="preserve">, kể cả </w:t>
      </w:r>
      <w:r w:rsidR="00547DE6" w:rsidRPr="006234AA">
        <w:rPr>
          <w:lang w:val="nl-NL"/>
        </w:rPr>
        <w:t xml:space="preserve">trong trường hợp nhà đầu tư là </w:t>
      </w:r>
      <w:r w:rsidR="0097179A" w:rsidRPr="006234AA">
        <w:rPr>
          <w:lang w:val="nl-NL"/>
        </w:rPr>
        <w:t>công ty</w:t>
      </w:r>
      <w:r w:rsidR="00547DE6" w:rsidRPr="006234AA">
        <w:rPr>
          <w:lang w:val="nl-NL"/>
        </w:rPr>
        <w:t xml:space="preserve"> chứng khoán </w:t>
      </w:r>
      <w:r w:rsidR="0097179A" w:rsidRPr="006234AA">
        <w:rPr>
          <w:lang w:val="nl-NL"/>
        </w:rPr>
        <w:t xml:space="preserve">chưa phải là thành viên giao dịch </w:t>
      </w:r>
      <w:r w:rsidR="00547DE6" w:rsidRPr="006234AA">
        <w:rPr>
          <w:lang w:val="nl-NL"/>
        </w:rPr>
        <w:t xml:space="preserve">thực hiện các </w:t>
      </w:r>
      <w:r w:rsidR="00DE170A" w:rsidRPr="006234AA">
        <w:rPr>
          <w:lang w:val="nl-NL"/>
        </w:rPr>
        <w:t xml:space="preserve">giao dịch </w:t>
      </w:r>
      <w:r w:rsidR="00E40D19" w:rsidRPr="006234AA">
        <w:rPr>
          <w:lang w:val="nl-NL"/>
        </w:rPr>
        <w:t xml:space="preserve">tự doanh </w:t>
      </w:r>
      <w:r w:rsidR="00DE170A" w:rsidRPr="006234AA">
        <w:rPr>
          <w:lang w:val="nl-NL"/>
        </w:rPr>
        <w:t xml:space="preserve">chứng khoán </w:t>
      </w:r>
      <w:r w:rsidR="00E40D19" w:rsidRPr="006234AA">
        <w:rPr>
          <w:lang w:val="nl-NL"/>
        </w:rPr>
        <w:t>phái sinh.</w:t>
      </w:r>
      <w:r w:rsidR="00010425" w:rsidRPr="006234AA">
        <w:rPr>
          <w:lang w:val="nl-NL"/>
        </w:rPr>
        <w:t xml:space="preserve"> Quy định này không áp dụng trong hoạt động giao dịch chứng khoán phái sinh dựa trên trái phiếu Chính phủ của</w:t>
      </w:r>
      <w:r w:rsidR="00547DE6" w:rsidRPr="006234AA">
        <w:rPr>
          <w:lang w:val="nl-NL"/>
        </w:rPr>
        <w:t xml:space="preserve"> thành viên giao dịch đặc biệt.</w:t>
      </w:r>
    </w:p>
    <w:p w:rsidR="008C35BC" w:rsidRPr="006234AA" w:rsidRDefault="00C63012" w:rsidP="003C0546">
      <w:pPr>
        <w:spacing w:after="120"/>
        <w:rPr>
          <w:lang w:val="nl-NL"/>
        </w:rPr>
      </w:pPr>
      <w:r w:rsidRPr="006234AA">
        <w:rPr>
          <w:lang w:val="nl-NL"/>
        </w:rPr>
        <w:t>7</w:t>
      </w:r>
      <w:r w:rsidR="008C35BC" w:rsidRPr="006234AA">
        <w:rPr>
          <w:lang w:val="nl-NL"/>
        </w:rPr>
        <w:t xml:space="preserve">.  Nhà đầu tư phải ký quỹ </w:t>
      </w:r>
      <w:r w:rsidR="00010425" w:rsidRPr="006234AA">
        <w:rPr>
          <w:lang w:val="nl-NL"/>
        </w:rPr>
        <w:t>theo yêu cầu của</w:t>
      </w:r>
      <w:r w:rsidR="008C35BC" w:rsidRPr="006234AA">
        <w:rPr>
          <w:lang w:val="nl-NL"/>
        </w:rPr>
        <w:t xml:space="preserve"> thành viên bù trừ để bảo đảm thanh toán cho </w:t>
      </w:r>
      <w:r w:rsidR="003E678F" w:rsidRPr="006234AA">
        <w:rPr>
          <w:lang w:val="nl-NL"/>
        </w:rPr>
        <w:t>vị thế mở của mình</w:t>
      </w:r>
      <w:r w:rsidR="008C35BC" w:rsidRPr="006234AA">
        <w:rPr>
          <w:lang w:val="nl-NL"/>
        </w:rPr>
        <w:t xml:space="preserve">. Hình thức ký quỹ, tỷ lệ ký quỹ, loại tài sản ký quỹ thực hiện </w:t>
      </w:r>
      <w:r w:rsidR="00010425" w:rsidRPr="006234AA">
        <w:rPr>
          <w:lang w:val="nl-NL"/>
        </w:rPr>
        <w:t>theo</w:t>
      </w:r>
      <w:r w:rsidR="008C35BC" w:rsidRPr="006234AA">
        <w:rPr>
          <w:lang w:val="nl-NL"/>
        </w:rPr>
        <w:t xml:space="preserve"> quy định tại </w:t>
      </w:r>
      <w:r w:rsidR="00E14643" w:rsidRPr="006234AA">
        <w:rPr>
          <w:lang w:val="nl-NL"/>
        </w:rPr>
        <w:t>Thông tư</w:t>
      </w:r>
      <w:r w:rsidR="008C35BC" w:rsidRPr="006234AA">
        <w:rPr>
          <w:lang w:val="nl-NL"/>
        </w:rPr>
        <w:t xml:space="preserve"> này.</w:t>
      </w:r>
    </w:p>
    <w:p w:rsidR="008C35BC" w:rsidRPr="006234AA" w:rsidRDefault="00C63012" w:rsidP="003C0546">
      <w:pPr>
        <w:spacing w:after="120"/>
        <w:rPr>
          <w:lang w:val="nl-NL"/>
        </w:rPr>
      </w:pPr>
      <w:r w:rsidRPr="006234AA">
        <w:rPr>
          <w:lang w:val="nl-NL"/>
        </w:rPr>
        <w:t>8</w:t>
      </w:r>
      <w:r w:rsidR="008C35BC" w:rsidRPr="006234AA">
        <w:rPr>
          <w:lang w:val="nl-NL"/>
        </w:rPr>
        <w:t xml:space="preserve">. Thành viên bù trừ phải ký quỹ </w:t>
      </w:r>
      <w:r w:rsidR="00010425" w:rsidRPr="006234AA">
        <w:rPr>
          <w:lang w:val="nl-NL"/>
        </w:rPr>
        <w:t>theo yêu cầu</w:t>
      </w:r>
      <w:r w:rsidR="003E678F" w:rsidRPr="006234AA">
        <w:rPr>
          <w:lang w:val="nl-NL"/>
        </w:rPr>
        <w:t xml:space="preserve"> của</w:t>
      </w:r>
      <w:r w:rsidR="008C35BC" w:rsidRPr="006234AA">
        <w:rPr>
          <w:lang w:val="nl-NL"/>
        </w:rPr>
        <w:t xml:space="preserve"> Trung tâm </w:t>
      </w:r>
      <w:r w:rsidR="00010425" w:rsidRPr="006234AA">
        <w:rPr>
          <w:lang w:val="nl-NL"/>
        </w:rPr>
        <w:t>l</w:t>
      </w:r>
      <w:r w:rsidR="008C35BC" w:rsidRPr="006234AA">
        <w:rPr>
          <w:lang w:val="nl-NL"/>
        </w:rPr>
        <w:t xml:space="preserve">ưu ký </w:t>
      </w:r>
      <w:r w:rsidR="00010425" w:rsidRPr="006234AA">
        <w:rPr>
          <w:lang w:val="nl-NL"/>
        </w:rPr>
        <w:t>c</w:t>
      </w:r>
      <w:r w:rsidR="008C35BC" w:rsidRPr="006234AA">
        <w:rPr>
          <w:lang w:val="nl-NL"/>
        </w:rPr>
        <w:t xml:space="preserve">hứng khoán để bảo đảm thanh toán cho </w:t>
      </w:r>
      <w:r w:rsidR="003E678F" w:rsidRPr="006234AA">
        <w:rPr>
          <w:lang w:val="nl-NL"/>
        </w:rPr>
        <w:t>vị thế mở đứng tên thành viên bù trừ</w:t>
      </w:r>
      <w:r w:rsidR="008C35BC" w:rsidRPr="006234AA">
        <w:rPr>
          <w:lang w:val="nl-NL"/>
        </w:rPr>
        <w:t xml:space="preserve">. Hình </w:t>
      </w:r>
      <w:r w:rsidR="008C35BC" w:rsidRPr="006234AA">
        <w:rPr>
          <w:lang w:val="nl-NL"/>
        </w:rPr>
        <w:lastRenderedPageBreak/>
        <w:t xml:space="preserve">thức ký quỹ, tỷ lệ ký quỹ, loại tài sản ký quỹ thực hiện theo yêu cầu của Trung tâm lưu ký chứng khoán, đáp ứng quy định tại </w:t>
      </w:r>
      <w:r w:rsidR="00E14643" w:rsidRPr="006234AA">
        <w:rPr>
          <w:lang w:val="nl-NL"/>
        </w:rPr>
        <w:t xml:space="preserve">Thông tư </w:t>
      </w:r>
      <w:r w:rsidR="008C35BC" w:rsidRPr="006234AA">
        <w:rPr>
          <w:lang w:val="nl-NL"/>
        </w:rPr>
        <w:t>nà</w:t>
      </w:r>
      <w:r w:rsidR="00E14643" w:rsidRPr="006234AA">
        <w:rPr>
          <w:lang w:val="nl-NL"/>
        </w:rPr>
        <w:t>y</w:t>
      </w:r>
      <w:r w:rsidR="008C35BC" w:rsidRPr="006234AA">
        <w:rPr>
          <w:lang w:val="nl-NL"/>
        </w:rPr>
        <w:t>.</w:t>
      </w:r>
    </w:p>
    <w:p w:rsidR="00AF416A" w:rsidRPr="006234AA" w:rsidRDefault="00C63012" w:rsidP="003C0546">
      <w:pPr>
        <w:spacing w:after="120"/>
        <w:rPr>
          <w:lang w:val="nl-NL"/>
        </w:rPr>
      </w:pPr>
      <w:r w:rsidRPr="006234AA">
        <w:rPr>
          <w:lang w:val="nl-NL"/>
        </w:rPr>
        <w:t>9</w:t>
      </w:r>
      <w:r w:rsidR="00AF416A" w:rsidRPr="006234AA">
        <w:rPr>
          <w:lang w:val="nl-NL"/>
        </w:rPr>
        <w:t xml:space="preserve">. Mỗi nhà đầu tư được </w:t>
      </w:r>
      <w:r w:rsidR="008573AD" w:rsidRPr="006234AA">
        <w:rPr>
          <w:lang w:val="nl-NL"/>
        </w:rPr>
        <w:t>Trung tâm lưu ký chứng khoán</w:t>
      </w:r>
      <w:r w:rsidR="00AF416A" w:rsidRPr="006234AA">
        <w:rPr>
          <w:lang w:val="nl-NL"/>
        </w:rPr>
        <w:t xml:space="preserve"> cấp một mã số </w:t>
      </w:r>
      <w:r w:rsidR="00DE5893" w:rsidRPr="006234AA">
        <w:rPr>
          <w:lang w:val="nl-NL"/>
        </w:rPr>
        <w:t xml:space="preserve">định danh để </w:t>
      </w:r>
      <w:r w:rsidR="00010425" w:rsidRPr="006234AA">
        <w:rPr>
          <w:lang w:val="nl-NL"/>
        </w:rPr>
        <w:t xml:space="preserve">mở các tài khoản </w:t>
      </w:r>
      <w:r w:rsidR="00AF416A" w:rsidRPr="006234AA">
        <w:rPr>
          <w:lang w:val="nl-NL"/>
        </w:rPr>
        <w:t>giao dịch chứng khoán phái sinh</w:t>
      </w:r>
      <w:r w:rsidR="00DE5893" w:rsidRPr="006234AA">
        <w:rPr>
          <w:lang w:val="nl-NL"/>
        </w:rPr>
        <w:t xml:space="preserve">. Nhà đầu tư được mở nhiều tài khoản giao dịch chứng khoán phái sinh và </w:t>
      </w:r>
      <w:r w:rsidR="00312972" w:rsidRPr="006234AA">
        <w:rPr>
          <w:lang w:val="nl-NL"/>
        </w:rPr>
        <w:t xml:space="preserve">nhiều </w:t>
      </w:r>
      <w:r w:rsidR="00DE5893" w:rsidRPr="006234AA">
        <w:rPr>
          <w:lang w:val="nl-NL"/>
        </w:rPr>
        <w:t xml:space="preserve">tài khoản </w:t>
      </w:r>
      <w:r w:rsidR="00010425" w:rsidRPr="006234AA">
        <w:rPr>
          <w:lang w:val="nl-NL"/>
        </w:rPr>
        <w:t xml:space="preserve">ký quỹ, </w:t>
      </w:r>
      <w:r w:rsidR="00312972" w:rsidRPr="006234AA">
        <w:rPr>
          <w:lang w:val="nl-NL"/>
        </w:rPr>
        <w:t xml:space="preserve">theo nguyên tắc </w:t>
      </w:r>
      <w:r w:rsidR="00DE5893" w:rsidRPr="006234AA">
        <w:rPr>
          <w:lang w:val="nl-NL"/>
        </w:rPr>
        <w:t xml:space="preserve">ứng </w:t>
      </w:r>
      <w:r w:rsidR="00010425" w:rsidRPr="006234AA">
        <w:rPr>
          <w:lang w:val="nl-NL"/>
        </w:rPr>
        <w:t xml:space="preserve">với </w:t>
      </w:r>
      <w:r w:rsidR="00DE5893" w:rsidRPr="006234AA">
        <w:rPr>
          <w:lang w:val="nl-NL"/>
        </w:rPr>
        <w:t xml:space="preserve">mỗi tài khoản giao dịch chứng khoán phái sinh </w:t>
      </w:r>
      <w:r w:rsidR="00010425" w:rsidRPr="006234AA">
        <w:rPr>
          <w:lang w:val="nl-NL"/>
        </w:rPr>
        <w:t xml:space="preserve">thì có </w:t>
      </w:r>
      <w:r w:rsidR="00DE5893" w:rsidRPr="006234AA">
        <w:rPr>
          <w:lang w:val="nl-NL"/>
        </w:rPr>
        <w:t xml:space="preserve">một tài khoản </w:t>
      </w:r>
      <w:r w:rsidR="00010425" w:rsidRPr="006234AA">
        <w:rPr>
          <w:lang w:val="nl-NL"/>
        </w:rPr>
        <w:t>ký quỹ</w:t>
      </w:r>
      <w:r w:rsidR="00312972" w:rsidRPr="006234AA">
        <w:rPr>
          <w:lang w:val="nl-NL"/>
        </w:rPr>
        <w:t xml:space="preserve"> và t</w:t>
      </w:r>
      <w:r w:rsidR="000B4B23" w:rsidRPr="006234AA">
        <w:rPr>
          <w:lang w:val="nl-NL"/>
        </w:rPr>
        <w:t>ại m</w:t>
      </w:r>
      <w:r w:rsidR="00312972" w:rsidRPr="006234AA">
        <w:rPr>
          <w:lang w:val="nl-NL"/>
        </w:rPr>
        <w:t>ỗi</w:t>
      </w:r>
      <w:r w:rsidR="000B4B23" w:rsidRPr="006234AA">
        <w:rPr>
          <w:lang w:val="nl-NL"/>
        </w:rPr>
        <w:t xml:space="preserve"> thành viên giao dịch</w:t>
      </w:r>
      <w:r w:rsidR="00312972" w:rsidRPr="006234AA">
        <w:rPr>
          <w:lang w:val="nl-NL"/>
        </w:rPr>
        <w:t>,</w:t>
      </w:r>
      <w:r w:rsidR="000B4B23" w:rsidRPr="006234AA">
        <w:rPr>
          <w:lang w:val="nl-NL"/>
        </w:rPr>
        <w:t xml:space="preserve"> nhà đầu tư chỉ được mở </w:t>
      </w:r>
      <w:r w:rsidR="00E32ACF" w:rsidRPr="006234AA">
        <w:rPr>
          <w:lang w:val="nl-NL"/>
        </w:rPr>
        <w:t xml:space="preserve">một </w:t>
      </w:r>
      <w:r w:rsidR="000B4B23" w:rsidRPr="006234AA">
        <w:rPr>
          <w:lang w:val="nl-NL"/>
        </w:rPr>
        <w:t>tài khoản giao dịch chứng khoán phái sinh.</w:t>
      </w:r>
      <w:r w:rsidR="00E32ACF" w:rsidRPr="006234AA">
        <w:rPr>
          <w:lang w:val="nl-NL"/>
        </w:rPr>
        <w:t xml:space="preserve"> </w:t>
      </w:r>
    </w:p>
    <w:p w:rsidR="00E40D19" w:rsidRPr="006234AA" w:rsidRDefault="00C63012" w:rsidP="003C0546">
      <w:pPr>
        <w:spacing w:after="120"/>
        <w:rPr>
          <w:lang w:val="nl-NL"/>
        </w:rPr>
      </w:pPr>
      <w:r w:rsidRPr="006234AA">
        <w:rPr>
          <w:lang w:val="nl-NL"/>
        </w:rPr>
        <w:t>10</w:t>
      </w:r>
      <w:r w:rsidR="00E40D19" w:rsidRPr="006234AA">
        <w:rPr>
          <w:lang w:val="nl-NL"/>
        </w:rPr>
        <w:t xml:space="preserve">. Thành viên giao dịch, </w:t>
      </w:r>
      <w:r w:rsidR="00010425" w:rsidRPr="006234AA">
        <w:rPr>
          <w:lang w:val="nl-NL"/>
        </w:rPr>
        <w:t xml:space="preserve">thành viên </w:t>
      </w:r>
      <w:r w:rsidR="00E40D19" w:rsidRPr="006234AA">
        <w:rPr>
          <w:lang w:val="nl-NL"/>
        </w:rPr>
        <w:t xml:space="preserve">bù trừ phải thiết lập và vận hành hệ thống quản trị rủi ro trước khi </w:t>
      </w:r>
      <w:r w:rsidR="00010425" w:rsidRPr="006234AA">
        <w:rPr>
          <w:lang w:val="nl-NL"/>
        </w:rPr>
        <w:t>chuyển</w:t>
      </w:r>
      <w:r w:rsidR="00E40D19" w:rsidRPr="006234AA">
        <w:rPr>
          <w:lang w:val="nl-NL"/>
        </w:rPr>
        <w:t xml:space="preserve"> lệnh giao dịch của khách hàng</w:t>
      </w:r>
      <w:r w:rsidR="00010425" w:rsidRPr="006234AA">
        <w:rPr>
          <w:lang w:val="nl-NL"/>
        </w:rPr>
        <w:t xml:space="preserve"> vào hệ thống giao dịch</w:t>
      </w:r>
      <w:r w:rsidR="00E40D19" w:rsidRPr="006234AA">
        <w:rPr>
          <w:lang w:val="nl-NL"/>
        </w:rPr>
        <w:t xml:space="preserve">. Sở giao dịch chứng khoán có trách nhiệm thiết lập và vận hành hệ thống quản trị rủi ro trước khi </w:t>
      </w:r>
      <w:r w:rsidR="00010425" w:rsidRPr="006234AA">
        <w:rPr>
          <w:lang w:val="nl-NL"/>
        </w:rPr>
        <w:t xml:space="preserve">thực hiện </w:t>
      </w:r>
      <w:r w:rsidR="00E40D19" w:rsidRPr="006234AA">
        <w:rPr>
          <w:lang w:val="nl-NL"/>
        </w:rPr>
        <w:t xml:space="preserve">lệnh giao dịch của khách hàng. </w:t>
      </w:r>
      <w:r w:rsidR="008573AD" w:rsidRPr="006234AA">
        <w:rPr>
          <w:lang w:val="nl-NL"/>
        </w:rPr>
        <w:t>Trung tâm lưu ký chứng khoán</w:t>
      </w:r>
      <w:r w:rsidR="00E40D19" w:rsidRPr="006234AA">
        <w:rPr>
          <w:lang w:val="nl-NL"/>
        </w:rPr>
        <w:t xml:space="preserve"> có trách nhiệm thiết lập và vận hành hệ thống quản trị r</w:t>
      </w:r>
      <w:r w:rsidR="00812FEC" w:rsidRPr="006234AA">
        <w:rPr>
          <w:lang w:val="nl-NL"/>
        </w:rPr>
        <w:t>ủi ro đối với các vị thế mở đứng tên thành viên bù trừ</w:t>
      </w:r>
      <w:r w:rsidR="00E40D19" w:rsidRPr="006234AA">
        <w:rPr>
          <w:lang w:val="nl-NL"/>
        </w:rPr>
        <w:t>.</w:t>
      </w:r>
    </w:p>
    <w:p w:rsidR="00DA387C" w:rsidRPr="006234AA" w:rsidRDefault="00DA387C" w:rsidP="003C0546">
      <w:pPr>
        <w:spacing w:after="120"/>
        <w:rPr>
          <w:lang w:val="nl-NL"/>
        </w:rPr>
      </w:pPr>
    </w:p>
    <w:p w:rsidR="00627372" w:rsidRPr="006234AA" w:rsidRDefault="00627372" w:rsidP="003C0546">
      <w:pPr>
        <w:pStyle w:val="Heading2"/>
        <w:spacing w:after="120"/>
        <w:rPr>
          <w:lang w:val="pt-BR"/>
        </w:rPr>
      </w:pPr>
      <w:bookmarkStart w:id="13" w:name="_Toc397003290"/>
      <w:bookmarkStart w:id="14" w:name="_Toc422671935"/>
      <w:r w:rsidRPr="006234AA">
        <w:rPr>
          <w:lang w:val="pt-BR"/>
        </w:rPr>
        <w:t>Chương I</w:t>
      </w:r>
      <w:r w:rsidR="00F80B4E" w:rsidRPr="006234AA">
        <w:rPr>
          <w:lang w:val="pt-BR"/>
        </w:rPr>
        <w:t>I</w:t>
      </w:r>
      <w:bookmarkEnd w:id="13"/>
      <w:bookmarkEnd w:id="14"/>
    </w:p>
    <w:p w:rsidR="00627372" w:rsidRPr="006234AA" w:rsidRDefault="00627372" w:rsidP="003C0546">
      <w:pPr>
        <w:pStyle w:val="Heading2"/>
        <w:spacing w:after="120"/>
        <w:rPr>
          <w:lang w:val="pt-BR"/>
        </w:rPr>
      </w:pPr>
      <w:bookmarkStart w:id="15" w:name="_Toc385602498"/>
      <w:bookmarkStart w:id="16" w:name="_Toc397003291"/>
      <w:bookmarkStart w:id="17" w:name="_Toc422671936"/>
      <w:r w:rsidRPr="006234AA">
        <w:rPr>
          <w:lang w:val="pt-BR"/>
        </w:rPr>
        <w:t>GIAO DỊCH CHỨNG KHOÁN PHÁI SINH</w:t>
      </w:r>
      <w:bookmarkEnd w:id="15"/>
      <w:bookmarkEnd w:id="16"/>
      <w:bookmarkEnd w:id="17"/>
      <w:r w:rsidR="00F80B4E" w:rsidRPr="006234AA">
        <w:rPr>
          <w:lang w:val="pt-BR"/>
        </w:rPr>
        <w:t xml:space="preserve"> </w:t>
      </w:r>
      <w:bookmarkStart w:id="18" w:name="_Toc385311273"/>
      <w:bookmarkStart w:id="19" w:name="_Toc385602499"/>
    </w:p>
    <w:p w:rsidR="00627372" w:rsidRPr="006234AA" w:rsidRDefault="00312972" w:rsidP="003C0546">
      <w:pPr>
        <w:pStyle w:val="Heading4"/>
        <w:spacing w:after="120"/>
      </w:pPr>
      <w:bookmarkStart w:id="20" w:name="_Toc385311274"/>
      <w:bookmarkStart w:id="21" w:name="_Toc385602500"/>
      <w:bookmarkStart w:id="22" w:name="_Toc397003293"/>
      <w:bookmarkStart w:id="23" w:name="_Toc422671937"/>
      <w:bookmarkEnd w:id="18"/>
      <w:bookmarkEnd w:id="19"/>
      <w:r w:rsidRPr="006234AA">
        <w:t>Tổ chức thị trường</w:t>
      </w:r>
      <w:r w:rsidR="004157B8" w:rsidRPr="006234AA">
        <w:t xml:space="preserve"> giao dịch</w:t>
      </w:r>
      <w:bookmarkEnd w:id="20"/>
      <w:bookmarkEnd w:id="21"/>
      <w:bookmarkEnd w:id="22"/>
      <w:bookmarkEnd w:id="23"/>
      <w:r w:rsidR="00627372" w:rsidRPr="006234AA">
        <w:t xml:space="preserve"> </w:t>
      </w:r>
    </w:p>
    <w:p w:rsidR="004157B8" w:rsidRPr="006234AA" w:rsidRDefault="004157B8" w:rsidP="003C0546">
      <w:pPr>
        <w:spacing w:after="120"/>
        <w:rPr>
          <w:lang w:val="nl-NL"/>
        </w:rPr>
      </w:pPr>
      <w:r w:rsidRPr="006234AA">
        <w:rPr>
          <w:lang w:val="nl-NL"/>
        </w:rPr>
        <w:t>1. Sở giao dịch chứng khoán tổ chức thị trường giao dịch chứng khoán phái sinh theo Quy chế giao dịch chứng khoán phái sinh. Quy chế giao dịch phải bao gồm các nội dung về thời gian giao dịch, lệnh giao dịch, phương thức giao dịch, nguyên tắc khớp lệnh giao dịch.</w:t>
      </w:r>
    </w:p>
    <w:p w:rsidR="00DA387C" w:rsidRPr="006234AA" w:rsidRDefault="004157B8" w:rsidP="003C0546">
      <w:pPr>
        <w:spacing w:after="120"/>
        <w:rPr>
          <w:lang w:val="nl-NL"/>
        </w:rPr>
      </w:pPr>
      <w:r w:rsidRPr="006234AA">
        <w:rPr>
          <w:lang w:val="nl-NL"/>
        </w:rPr>
        <w:t>2</w:t>
      </w:r>
      <w:r w:rsidR="00DA387C" w:rsidRPr="006234AA">
        <w:rPr>
          <w:lang w:val="nl-NL"/>
        </w:rPr>
        <w:t xml:space="preserve">. Hoạt động giao dịch chứng khoán phái sinh bị hạn chế hoặc tạm ngừng giao dịch </w:t>
      </w:r>
      <w:r w:rsidR="00D67B2F" w:rsidRPr="006234AA">
        <w:rPr>
          <w:lang w:val="nl-NL"/>
        </w:rPr>
        <w:t xml:space="preserve">khi xảy ra một </w:t>
      </w:r>
      <w:r w:rsidR="00DA387C" w:rsidRPr="006234AA">
        <w:rPr>
          <w:lang w:val="nl-NL"/>
        </w:rPr>
        <w:t>trong các trường hợp sau:</w:t>
      </w:r>
    </w:p>
    <w:p w:rsidR="00685662" w:rsidRPr="006234AA" w:rsidRDefault="00685662" w:rsidP="003C0546">
      <w:pPr>
        <w:spacing w:after="120"/>
        <w:rPr>
          <w:lang w:val="nl-NL"/>
        </w:rPr>
      </w:pPr>
      <w:r w:rsidRPr="006234AA">
        <w:rPr>
          <w:lang w:val="nl-NL"/>
        </w:rPr>
        <w:t>a) Không thể xác định được giá trị của tài sản cơ sở do thị trường cơ sở ngừng giao dịch hoặc hoạt động giao dịch của chứng khoán cơ sở bị tạm ngừng;</w:t>
      </w:r>
    </w:p>
    <w:p w:rsidR="00685662" w:rsidRPr="006234AA" w:rsidRDefault="00685662" w:rsidP="003C0546">
      <w:pPr>
        <w:spacing w:after="120"/>
        <w:rPr>
          <w:lang w:val="nl-NL"/>
        </w:rPr>
      </w:pPr>
      <w:r w:rsidRPr="006234AA">
        <w:rPr>
          <w:lang w:val="nl-NL"/>
        </w:rPr>
        <w:t>b</w:t>
      </w:r>
      <w:r w:rsidR="00DA387C" w:rsidRPr="006234AA">
        <w:rPr>
          <w:lang w:val="nl-NL"/>
        </w:rPr>
        <w:t xml:space="preserve">) </w:t>
      </w:r>
      <w:r w:rsidRPr="006234AA">
        <w:rPr>
          <w:lang w:val="nl-NL"/>
        </w:rPr>
        <w:t>Xảy ra sự kiện bất khả kháng như thiên tai, hỏa hoạn...hoặc h</w:t>
      </w:r>
      <w:r w:rsidR="00DA387C" w:rsidRPr="006234AA">
        <w:rPr>
          <w:lang w:val="nl-NL"/>
        </w:rPr>
        <w:t xml:space="preserve">ệ thống giao dịch </w:t>
      </w:r>
      <w:r w:rsidR="00BA12EB" w:rsidRPr="006234AA">
        <w:rPr>
          <w:lang w:val="nl-NL"/>
        </w:rPr>
        <w:t>chứng khoán</w:t>
      </w:r>
      <w:r w:rsidR="00DA387C" w:rsidRPr="006234AA">
        <w:rPr>
          <w:lang w:val="nl-NL"/>
        </w:rPr>
        <w:t xml:space="preserve"> của Sở giao dịch chứng khoán</w:t>
      </w:r>
      <w:r w:rsidRPr="006234AA">
        <w:rPr>
          <w:lang w:val="nl-NL"/>
        </w:rPr>
        <w:t>, hệ thống bù trừ, thanh toán</w:t>
      </w:r>
      <w:r w:rsidR="00DA387C" w:rsidRPr="006234AA">
        <w:rPr>
          <w:lang w:val="nl-NL"/>
        </w:rPr>
        <w:t xml:space="preserve"> gặp sự cố</w:t>
      </w:r>
      <w:r w:rsidRPr="006234AA">
        <w:rPr>
          <w:lang w:val="nl-NL"/>
        </w:rPr>
        <w:t xml:space="preserve"> kỹ thuật;</w:t>
      </w:r>
    </w:p>
    <w:p w:rsidR="00507EEA" w:rsidRPr="006234AA" w:rsidRDefault="00DE5893" w:rsidP="003C0546">
      <w:pPr>
        <w:spacing w:after="120"/>
        <w:rPr>
          <w:lang w:val="nl-NL"/>
        </w:rPr>
      </w:pPr>
      <w:r w:rsidRPr="006234AA">
        <w:rPr>
          <w:lang w:val="nl-NL"/>
        </w:rPr>
        <w:t>c</w:t>
      </w:r>
      <w:r w:rsidR="00DA387C" w:rsidRPr="006234AA">
        <w:rPr>
          <w:lang w:val="nl-NL"/>
        </w:rPr>
        <w:t>) Các trường hợp khác tại Quy chế giao dịch chứng khoán phái sinh của Sở giao dịch chứng</w:t>
      </w:r>
      <w:r w:rsidR="00BA12EB" w:rsidRPr="006234AA">
        <w:rPr>
          <w:lang w:val="nl-NL"/>
        </w:rPr>
        <w:t xml:space="preserve"> khoán</w:t>
      </w:r>
      <w:r w:rsidR="00DA387C" w:rsidRPr="006234AA">
        <w:rPr>
          <w:lang w:val="nl-NL"/>
        </w:rPr>
        <w:t xml:space="preserve"> </w:t>
      </w:r>
      <w:r w:rsidR="00685662" w:rsidRPr="006234AA">
        <w:rPr>
          <w:lang w:val="nl-NL"/>
        </w:rPr>
        <w:t>hoặc tại Quy chế bù trừ, thanh toán của Trung tâm Lưu ký chứng khoán;</w:t>
      </w:r>
    </w:p>
    <w:p w:rsidR="00DA387C" w:rsidRPr="006234AA" w:rsidRDefault="00507EEA" w:rsidP="003C0546">
      <w:pPr>
        <w:spacing w:after="120"/>
        <w:rPr>
          <w:lang w:val="nl-NL"/>
        </w:rPr>
      </w:pPr>
      <w:r w:rsidRPr="006234AA">
        <w:rPr>
          <w:lang w:val="nl-NL"/>
        </w:rPr>
        <w:t>đ) C</w:t>
      </w:r>
      <w:r w:rsidR="00DA387C" w:rsidRPr="006234AA">
        <w:rPr>
          <w:lang w:val="nl-NL"/>
        </w:rPr>
        <w:t>ác trường hợp mà Ủy ban Chứng khoán Nhà nước xét thấy là cần thiết nhằm bảo vệ lợi ích công chúng đầu tư và sự an toàn của thị trường.</w:t>
      </w:r>
    </w:p>
    <w:p w:rsidR="00DA387C" w:rsidRPr="006234AA" w:rsidRDefault="004157B8" w:rsidP="003C0546">
      <w:pPr>
        <w:spacing w:after="120"/>
        <w:rPr>
          <w:lang w:val="nl-NL"/>
        </w:rPr>
      </w:pPr>
      <w:r w:rsidRPr="006234AA">
        <w:rPr>
          <w:lang w:val="nl-NL"/>
        </w:rPr>
        <w:t>3</w:t>
      </w:r>
      <w:r w:rsidR="00DA387C" w:rsidRPr="006234AA">
        <w:rPr>
          <w:lang w:val="nl-NL"/>
        </w:rPr>
        <w:t xml:space="preserve">. </w:t>
      </w:r>
      <w:r w:rsidR="00685662" w:rsidRPr="006234AA">
        <w:rPr>
          <w:lang w:val="nl-NL"/>
        </w:rPr>
        <w:t xml:space="preserve">Sau khi có ý kiến chấp thuận của Ủy ban Chứng khoán Nhà nước, </w:t>
      </w:r>
      <w:r w:rsidR="00B34372" w:rsidRPr="006234AA">
        <w:rPr>
          <w:lang w:val="nl-NL"/>
        </w:rPr>
        <w:t>Sở giao dịch chứng khoán</w:t>
      </w:r>
      <w:r w:rsidRPr="006234AA">
        <w:rPr>
          <w:lang w:val="nl-NL"/>
        </w:rPr>
        <w:t xml:space="preserve"> chủ trì</w:t>
      </w:r>
      <w:r w:rsidR="00471708" w:rsidRPr="006234AA">
        <w:rPr>
          <w:lang w:val="nl-NL"/>
        </w:rPr>
        <w:t xml:space="preserve">, </w:t>
      </w:r>
      <w:r w:rsidR="008573AD" w:rsidRPr="006234AA">
        <w:rPr>
          <w:lang w:val="nl-NL"/>
        </w:rPr>
        <w:t>Trung tâm lưu ký chứng khoán</w:t>
      </w:r>
      <w:r w:rsidR="00B34372" w:rsidRPr="006234AA">
        <w:rPr>
          <w:lang w:val="nl-NL"/>
        </w:rPr>
        <w:t xml:space="preserve"> </w:t>
      </w:r>
      <w:r w:rsidR="00471708" w:rsidRPr="006234AA">
        <w:rPr>
          <w:lang w:val="nl-NL"/>
        </w:rPr>
        <w:t xml:space="preserve">phối hợp, </w:t>
      </w:r>
      <w:r w:rsidR="00B34372" w:rsidRPr="006234AA">
        <w:rPr>
          <w:lang w:val="nl-NL"/>
        </w:rPr>
        <w:t>thực hiện c</w:t>
      </w:r>
      <w:r w:rsidR="00DA387C" w:rsidRPr="006234AA">
        <w:rPr>
          <w:lang w:val="nl-NL"/>
        </w:rPr>
        <w:t xml:space="preserve">ác </w:t>
      </w:r>
      <w:r w:rsidR="00FF57DE" w:rsidRPr="006234AA">
        <w:rPr>
          <w:lang w:val="nl-NL"/>
        </w:rPr>
        <w:t>biện</w:t>
      </w:r>
      <w:r w:rsidR="00DA387C" w:rsidRPr="006234AA">
        <w:rPr>
          <w:lang w:val="nl-NL"/>
        </w:rPr>
        <w:t xml:space="preserve"> pháp </w:t>
      </w:r>
      <w:r w:rsidR="00B34372" w:rsidRPr="006234AA">
        <w:rPr>
          <w:lang w:val="nl-NL"/>
        </w:rPr>
        <w:t xml:space="preserve">nhằm </w:t>
      </w:r>
      <w:r w:rsidR="00DA387C" w:rsidRPr="006234AA">
        <w:rPr>
          <w:lang w:val="nl-NL"/>
        </w:rPr>
        <w:t>hạn chế, tạm ngừng giao dịch bao gồm:</w:t>
      </w:r>
    </w:p>
    <w:p w:rsidR="00DA387C" w:rsidRPr="006234AA" w:rsidRDefault="00DA387C" w:rsidP="003C0546">
      <w:pPr>
        <w:spacing w:after="120"/>
        <w:rPr>
          <w:lang w:val="nl-NL"/>
        </w:rPr>
      </w:pPr>
      <w:r w:rsidRPr="006234AA">
        <w:rPr>
          <w:lang w:val="nl-NL"/>
        </w:rPr>
        <w:lastRenderedPageBreak/>
        <w:t>a) Tạm ngừng giao dịch một</w:t>
      </w:r>
      <w:r w:rsidR="00685662" w:rsidRPr="006234AA">
        <w:rPr>
          <w:lang w:val="nl-NL"/>
        </w:rPr>
        <w:t>,</w:t>
      </w:r>
      <w:r w:rsidRPr="006234AA">
        <w:rPr>
          <w:lang w:val="nl-NL"/>
        </w:rPr>
        <w:t xml:space="preserve"> một số loại </w:t>
      </w:r>
      <w:r w:rsidR="00685662" w:rsidRPr="006234AA">
        <w:rPr>
          <w:lang w:val="nl-NL"/>
        </w:rPr>
        <w:t>chứng khoán phái sinh nhất định hoặc toàn bộ thị trường;</w:t>
      </w:r>
    </w:p>
    <w:p w:rsidR="00DA387C" w:rsidRPr="006234AA" w:rsidRDefault="00685662" w:rsidP="003C0546">
      <w:pPr>
        <w:spacing w:after="120"/>
        <w:rPr>
          <w:lang w:val="nl-NL"/>
        </w:rPr>
      </w:pPr>
      <w:r w:rsidRPr="006234AA">
        <w:rPr>
          <w:lang w:val="nl-NL"/>
        </w:rPr>
        <w:t>b</w:t>
      </w:r>
      <w:r w:rsidR="00DA387C" w:rsidRPr="006234AA">
        <w:rPr>
          <w:lang w:val="nl-NL"/>
        </w:rPr>
        <w:t xml:space="preserve">) </w:t>
      </w:r>
      <w:r w:rsidRPr="006234AA">
        <w:rPr>
          <w:lang w:val="nl-NL"/>
        </w:rPr>
        <w:t xml:space="preserve">Không tiếp nhận lệnh giao dịch mới, trừ trường hợp giao dịch </w:t>
      </w:r>
      <w:r w:rsidR="00DA387C" w:rsidRPr="006234AA">
        <w:rPr>
          <w:lang w:val="nl-NL"/>
        </w:rPr>
        <w:t>đóng vị thế;</w:t>
      </w:r>
    </w:p>
    <w:p w:rsidR="004157B8" w:rsidRPr="006234AA" w:rsidRDefault="004157B8" w:rsidP="003C0546">
      <w:pPr>
        <w:spacing w:after="120"/>
        <w:rPr>
          <w:lang w:val="nl-NL"/>
        </w:rPr>
      </w:pPr>
      <w:r w:rsidRPr="006234AA">
        <w:rPr>
          <w:lang w:val="nl-NL"/>
        </w:rPr>
        <w:t>b) Hủy bỏ lệnh giao dịch chưa thực hiện;</w:t>
      </w:r>
    </w:p>
    <w:p w:rsidR="00DA387C" w:rsidRPr="006234AA" w:rsidRDefault="00685662" w:rsidP="003C0546">
      <w:pPr>
        <w:spacing w:after="120"/>
        <w:rPr>
          <w:lang w:val="nl-NL"/>
        </w:rPr>
      </w:pPr>
      <w:r w:rsidRPr="006234AA">
        <w:rPr>
          <w:lang w:val="nl-NL"/>
        </w:rPr>
        <w:t>c</w:t>
      </w:r>
      <w:r w:rsidR="00DA387C" w:rsidRPr="006234AA">
        <w:rPr>
          <w:lang w:val="nl-NL"/>
        </w:rPr>
        <w:t xml:space="preserve">) </w:t>
      </w:r>
      <w:r w:rsidRPr="006234AA">
        <w:rPr>
          <w:lang w:val="nl-NL"/>
        </w:rPr>
        <w:t xml:space="preserve">Điều chỉnh </w:t>
      </w:r>
      <w:r w:rsidR="00DA387C" w:rsidRPr="006234AA">
        <w:rPr>
          <w:lang w:val="nl-NL"/>
        </w:rPr>
        <w:t>biên độ dao động giá;</w:t>
      </w:r>
      <w:r w:rsidR="004157B8" w:rsidRPr="006234AA">
        <w:rPr>
          <w:lang w:val="nl-NL"/>
        </w:rPr>
        <w:t xml:space="preserve"> điều chỉnh giới hạn lệnh, giới hạn lệnh tích lũy;</w:t>
      </w:r>
    </w:p>
    <w:p w:rsidR="00DA387C" w:rsidRPr="006234AA" w:rsidRDefault="00685662" w:rsidP="003C0546">
      <w:pPr>
        <w:spacing w:after="120"/>
        <w:rPr>
          <w:lang w:val="nl-NL"/>
        </w:rPr>
      </w:pPr>
      <w:r w:rsidRPr="006234AA">
        <w:rPr>
          <w:lang w:val="nl-NL"/>
        </w:rPr>
        <w:t>d</w:t>
      </w:r>
      <w:r w:rsidR="00DA387C" w:rsidRPr="006234AA">
        <w:rPr>
          <w:lang w:val="nl-NL"/>
        </w:rPr>
        <w:t xml:space="preserve">) Thay đổi </w:t>
      </w:r>
      <w:r w:rsidRPr="006234AA">
        <w:rPr>
          <w:lang w:val="nl-NL"/>
        </w:rPr>
        <w:t>số phiên</w:t>
      </w:r>
      <w:r w:rsidR="00DA387C" w:rsidRPr="006234AA">
        <w:rPr>
          <w:lang w:val="nl-NL"/>
        </w:rPr>
        <w:t xml:space="preserve"> giao dịch, </w:t>
      </w:r>
      <w:r w:rsidRPr="006234AA">
        <w:rPr>
          <w:lang w:val="nl-NL"/>
        </w:rPr>
        <w:t>thời gian</w:t>
      </w:r>
      <w:r w:rsidR="00DA387C" w:rsidRPr="006234AA">
        <w:rPr>
          <w:lang w:val="nl-NL"/>
        </w:rPr>
        <w:t xml:space="preserve"> giao dịch; </w:t>
      </w:r>
    </w:p>
    <w:p w:rsidR="00DA387C" w:rsidRPr="006234AA" w:rsidRDefault="00685662" w:rsidP="003C0546">
      <w:pPr>
        <w:spacing w:after="120"/>
        <w:rPr>
          <w:lang w:val="nl-NL"/>
        </w:rPr>
      </w:pPr>
      <w:r w:rsidRPr="006234AA">
        <w:rPr>
          <w:lang w:val="nl-NL"/>
        </w:rPr>
        <w:t>đ</w:t>
      </w:r>
      <w:r w:rsidR="00DA387C" w:rsidRPr="006234AA">
        <w:rPr>
          <w:lang w:val="nl-NL"/>
        </w:rPr>
        <w:t xml:space="preserve">) Các </w:t>
      </w:r>
      <w:r w:rsidRPr="006234AA">
        <w:rPr>
          <w:lang w:val="nl-NL"/>
        </w:rPr>
        <w:t>biện</w:t>
      </w:r>
      <w:r w:rsidR="00DA387C" w:rsidRPr="006234AA">
        <w:rPr>
          <w:lang w:val="nl-NL"/>
        </w:rPr>
        <w:t xml:space="preserve"> pháp khác phù hợp với quy định pháp luật. </w:t>
      </w:r>
    </w:p>
    <w:p w:rsidR="00DA387C" w:rsidRPr="006234AA" w:rsidRDefault="004157B8" w:rsidP="003C0546">
      <w:pPr>
        <w:spacing w:after="120"/>
        <w:rPr>
          <w:lang w:val="nl-NL"/>
        </w:rPr>
      </w:pPr>
      <w:r w:rsidRPr="006234AA">
        <w:rPr>
          <w:lang w:val="nl-NL"/>
        </w:rPr>
        <w:t>4</w:t>
      </w:r>
      <w:r w:rsidR="00DA387C" w:rsidRPr="006234AA">
        <w:rPr>
          <w:lang w:val="nl-NL"/>
        </w:rPr>
        <w:t>. Sở giao dịch chứng khoán phải báo cáo Ủy ban Chứng khoán Nhà nước</w:t>
      </w:r>
      <w:r w:rsidRPr="006234AA">
        <w:rPr>
          <w:lang w:val="nl-NL"/>
        </w:rPr>
        <w:t xml:space="preserve"> và</w:t>
      </w:r>
      <w:r w:rsidR="00DA387C" w:rsidRPr="006234AA">
        <w:rPr>
          <w:lang w:val="nl-NL"/>
        </w:rPr>
        <w:t xml:space="preserve"> công bố thông tin trong thời hạn hai mươi bốn (24) giờ kể từ khi xảy ra các sự kiện quy định tại khoản 1 Điều này và các giải pháp đã thực hiện. Hoạt động giao dịch phải được khôi phục ngay trong </w:t>
      </w:r>
      <w:r w:rsidR="00880654" w:rsidRPr="006234AA">
        <w:rPr>
          <w:lang w:val="nl-NL"/>
        </w:rPr>
        <w:t>thời hạn</w:t>
      </w:r>
      <w:r w:rsidR="00DA387C" w:rsidRPr="006234AA">
        <w:rPr>
          <w:lang w:val="nl-NL"/>
        </w:rPr>
        <w:t xml:space="preserve"> hai mươi bốn (24) giờ kể từ khi các sự kiện dẫn tới việc hạn chế giao dịch, tạm ngừng giao dịch đã được khắc phục.</w:t>
      </w:r>
    </w:p>
    <w:p w:rsidR="00B865DD" w:rsidRPr="006234AA" w:rsidRDefault="005406B7" w:rsidP="003C0546">
      <w:pPr>
        <w:pStyle w:val="Heading4"/>
        <w:spacing w:after="120"/>
      </w:pPr>
      <w:bookmarkStart w:id="24" w:name="_Toc397003294"/>
      <w:bookmarkStart w:id="25" w:name="_Toc422671938"/>
      <w:bookmarkStart w:id="26" w:name="_Toc385311275"/>
      <w:bookmarkStart w:id="27" w:name="_Toc385602501"/>
      <w:r w:rsidRPr="006234AA">
        <w:t>H</w:t>
      </w:r>
      <w:r w:rsidR="00B865DD" w:rsidRPr="006234AA">
        <w:t>ủy niêm yết</w:t>
      </w:r>
      <w:bookmarkEnd w:id="24"/>
      <w:bookmarkEnd w:id="25"/>
    </w:p>
    <w:p w:rsidR="005406B7" w:rsidRPr="006234AA" w:rsidRDefault="005406B7" w:rsidP="00D36937">
      <w:pPr>
        <w:numPr>
          <w:ilvl w:val="0"/>
          <w:numId w:val="40"/>
        </w:numPr>
        <w:tabs>
          <w:tab w:val="left" w:pos="-90"/>
          <w:tab w:val="left" w:pos="0"/>
          <w:tab w:val="left" w:pos="993"/>
          <w:tab w:val="left" w:pos="1080"/>
        </w:tabs>
        <w:spacing w:after="120"/>
        <w:ind w:left="0" w:firstLine="709"/>
        <w:rPr>
          <w:lang w:val="nl-NL"/>
        </w:rPr>
      </w:pPr>
      <w:r w:rsidRPr="006234AA">
        <w:rPr>
          <w:lang w:val="nl-NL"/>
        </w:rPr>
        <w:t xml:space="preserve">Sở giao dịch chứng khoán hủy niêm yết chứng khoán phái sinh trong các trường hợp sau: </w:t>
      </w:r>
    </w:p>
    <w:p w:rsidR="005406B7" w:rsidRPr="006234AA" w:rsidRDefault="00471708" w:rsidP="00D36937">
      <w:pPr>
        <w:numPr>
          <w:ilvl w:val="0"/>
          <w:numId w:val="41"/>
        </w:numPr>
        <w:tabs>
          <w:tab w:val="left" w:pos="-90"/>
          <w:tab w:val="left" w:pos="0"/>
          <w:tab w:val="left" w:pos="993"/>
          <w:tab w:val="left" w:pos="1080"/>
        </w:tabs>
        <w:spacing w:after="120"/>
        <w:ind w:left="0" w:firstLine="709"/>
        <w:rPr>
          <w:lang w:val="nl-NL"/>
        </w:rPr>
      </w:pPr>
      <w:r w:rsidRPr="006234AA">
        <w:rPr>
          <w:lang w:val="nl-NL"/>
        </w:rPr>
        <w:t xml:space="preserve"> </w:t>
      </w:r>
      <w:r w:rsidR="005406B7" w:rsidRPr="006234AA">
        <w:rPr>
          <w:lang w:val="nl-NL"/>
        </w:rPr>
        <w:t xml:space="preserve">Chứng khoán phái sinh đáo hạn; </w:t>
      </w:r>
    </w:p>
    <w:p w:rsidR="005406B7" w:rsidRPr="006234AA" w:rsidRDefault="005406B7" w:rsidP="00D36937">
      <w:pPr>
        <w:numPr>
          <w:ilvl w:val="0"/>
          <w:numId w:val="41"/>
        </w:numPr>
        <w:tabs>
          <w:tab w:val="left" w:pos="-90"/>
          <w:tab w:val="left" w:pos="0"/>
          <w:tab w:val="left" w:pos="993"/>
          <w:tab w:val="left" w:pos="1080"/>
        </w:tabs>
        <w:spacing w:after="120"/>
        <w:ind w:left="0" w:firstLine="709"/>
        <w:rPr>
          <w:lang w:val="nl-NL"/>
        </w:rPr>
      </w:pPr>
      <w:r w:rsidRPr="006234AA">
        <w:rPr>
          <w:lang w:val="nl-NL"/>
        </w:rPr>
        <w:t xml:space="preserve">Tài sản cơ sở của chứng khoán phái sinh bị hủy niêm yết hoặc </w:t>
      </w:r>
      <w:r w:rsidR="004157B8" w:rsidRPr="006234AA">
        <w:rPr>
          <w:lang w:val="nl-NL"/>
        </w:rPr>
        <w:t>không còn được</w:t>
      </w:r>
      <w:r w:rsidRPr="006234AA">
        <w:rPr>
          <w:lang w:val="nl-NL"/>
        </w:rPr>
        <w:t xml:space="preserve"> sử dụng</w:t>
      </w:r>
      <w:r w:rsidR="004157B8" w:rsidRPr="006234AA">
        <w:rPr>
          <w:lang w:val="nl-NL"/>
        </w:rPr>
        <w:t xml:space="preserve"> làm tài sản cơ sở</w:t>
      </w:r>
      <w:r w:rsidRPr="006234AA">
        <w:rPr>
          <w:lang w:val="nl-NL"/>
        </w:rPr>
        <w:t xml:space="preserve">; </w:t>
      </w:r>
    </w:p>
    <w:p w:rsidR="004157B8" w:rsidRPr="006234AA" w:rsidRDefault="004157B8" w:rsidP="00D36937">
      <w:pPr>
        <w:numPr>
          <w:ilvl w:val="0"/>
          <w:numId w:val="41"/>
        </w:numPr>
        <w:tabs>
          <w:tab w:val="left" w:pos="-90"/>
          <w:tab w:val="left" w:pos="0"/>
          <w:tab w:val="left" w:pos="993"/>
          <w:tab w:val="left" w:pos="1080"/>
        </w:tabs>
        <w:spacing w:after="120"/>
        <w:ind w:left="0" w:firstLine="709"/>
        <w:rPr>
          <w:lang w:val="nl-NL"/>
        </w:rPr>
      </w:pPr>
      <w:r w:rsidRPr="006234AA">
        <w:rPr>
          <w:lang w:val="nl-NL"/>
        </w:rPr>
        <w:t>Theo yêu cầu của tổ chức phát hành;</w:t>
      </w:r>
    </w:p>
    <w:p w:rsidR="005406B7" w:rsidRPr="006234AA" w:rsidRDefault="000B0ADE" w:rsidP="00D36937">
      <w:pPr>
        <w:numPr>
          <w:ilvl w:val="0"/>
          <w:numId w:val="41"/>
        </w:numPr>
        <w:tabs>
          <w:tab w:val="left" w:pos="-90"/>
          <w:tab w:val="left" w:pos="0"/>
          <w:tab w:val="left" w:pos="993"/>
          <w:tab w:val="left" w:pos="1080"/>
        </w:tabs>
        <w:spacing w:after="120"/>
        <w:ind w:left="0" w:firstLine="709"/>
        <w:rPr>
          <w:lang w:val="nl-NL"/>
        </w:rPr>
      </w:pPr>
      <w:r w:rsidRPr="006234AA">
        <w:rPr>
          <w:lang w:val="nl-NL"/>
        </w:rPr>
        <w:t>Chứng khoán phái sinh mất thanh khoản và c</w:t>
      </w:r>
      <w:r w:rsidR="00B15C45" w:rsidRPr="006234AA">
        <w:rPr>
          <w:lang w:val="nl-NL"/>
        </w:rPr>
        <w:t>ác trường hợp khác theo quy chế của Sở giao dịch chứng khoán hoặc</w:t>
      </w:r>
      <w:r w:rsidR="005406B7" w:rsidRPr="006234AA">
        <w:rPr>
          <w:lang w:val="nl-NL"/>
        </w:rPr>
        <w:t xml:space="preserve"> </w:t>
      </w:r>
      <w:r w:rsidR="004157B8" w:rsidRPr="006234AA">
        <w:rPr>
          <w:lang w:val="nl-NL"/>
        </w:rPr>
        <w:t xml:space="preserve">Sở giao dịch chứng khoán </w:t>
      </w:r>
      <w:r w:rsidR="005406B7" w:rsidRPr="006234AA">
        <w:rPr>
          <w:lang w:val="nl-NL"/>
        </w:rPr>
        <w:t xml:space="preserve">xét thấy </w:t>
      </w:r>
      <w:r w:rsidRPr="006234AA">
        <w:rPr>
          <w:lang w:val="nl-NL"/>
        </w:rPr>
        <w:t xml:space="preserve">là </w:t>
      </w:r>
      <w:r w:rsidR="005406B7" w:rsidRPr="006234AA">
        <w:rPr>
          <w:lang w:val="nl-NL"/>
        </w:rPr>
        <w:t xml:space="preserve">cần thiết. </w:t>
      </w:r>
    </w:p>
    <w:p w:rsidR="005406B7" w:rsidRPr="006234AA" w:rsidRDefault="005406B7" w:rsidP="003C0546">
      <w:pPr>
        <w:spacing w:after="120"/>
        <w:rPr>
          <w:lang w:val="nl-NL"/>
        </w:rPr>
      </w:pPr>
      <w:r w:rsidRPr="006234AA">
        <w:rPr>
          <w:lang w:val="nl-NL"/>
        </w:rPr>
        <w:t xml:space="preserve">2. Việc hủy niêm yết chứng khoán phái sinh tại Điểm </w:t>
      </w:r>
      <w:r w:rsidR="00B15C45" w:rsidRPr="006234AA">
        <w:rPr>
          <w:lang w:val="nl-NL"/>
        </w:rPr>
        <w:t xml:space="preserve">b, </w:t>
      </w:r>
      <w:r w:rsidRPr="006234AA">
        <w:rPr>
          <w:lang w:val="nl-NL"/>
        </w:rPr>
        <w:t>c, d Khoản 1 Điều này phải được sự chấp thuận của Ủy ban Chứng khoán Nhà nước.</w:t>
      </w:r>
    </w:p>
    <w:p w:rsidR="00627372" w:rsidRPr="006234AA" w:rsidRDefault="00627372" w:rsidP="003C0546">
      <w:pPr>
        <w:pStyle w:val="Heading4"/>
        <w:spacing w:after="120"/>
      </w:pPr>
      <w:bookmarkStart w:id="28" w:name="_Toc385311285"/>
      <w:bookmarkStart w:id="29" w:name="_Toc385602511"/>
      <w:bookmarkStart w:id="30" w:name="_Toc397003297"/>
      <w:bookmarkStart w:id="31" w:name="_Toc422671939"/>
      <w:bookmarkEnd w:id="26"/>
      <w:bookmarkEnd w:id="27"/>
      <w:r w:rsidRPr="006234AA">
        <w:t>Giới hạn lệnh</w:t>
      </w:r>
      <w:bookmarkEnd w:id="28"/>
      <w:bookmarkEnd w:id="29"/>
      <w:r w:rsidR="00165A2B" w:rsidRPr="006234AA">
        <w:t>, giới hạn lệnh tích lũy</w:t>
      </w:r>
      <w:bookmarkEnd w:id="30"/>
      <w:r w:rsidR="00C63012" w:rsidRPr="006234AA">
        <w:t>, giới hạn vị thế</w:t>
      </w:r>
      <w:bookmarkEnd w:id="31"/>
    </w:p>
    <w:p w:rsidR="00DA387C" w:rsidRPr="006234AA" w:rsidRDefault="00DA387C" w:rsidP="003C0546">
      <w:pPr>
        <w:spacing w:after="120"/>
        <w:rPr>
          <w:lang w:val="nl-NL"/>
        </w:rPr>
      </w:pPr>
      <w:r w:rsidRPr="006234AA">
        <w:rPr>
          <w:lang w:val="nl-NL"/>
        </w:rPr>
        <w:t>1. Sở giao dịch chứng khoán xác định giới hạn lệnh</w:t>
      </w:r>
      <w:r w:rsidR="00C63012" w:rsidRPr="006234AA">
        <w:rPr>
          <w:lang w:val="nl-NL"/>
        </w:rPr>
        <w:t>,</w:t>
      </w:r>
      <w:r w:rsidRPr="006234AA">
        <w:rPr>
          <w:lang w:val="nl-NL"/>
        </w:rPr>
        <w:t xml:space="preserve"> giới hạn lệnh tích lũy</w:t>
      </w:r>
      <w:r w:rsidR="00C63012" w:rsidRPr="006234AA">
        <w:rPr>
          <w:lang w:val="nl-NL"/>
        </w:rPr>
        <w:t xml:space="preserve"> và</w:t>
      </w:r>
      <w:r w:rsidRPr="006234AA">
        <w:rPr>
          <w:lang w:val="nl-NL"/>
        </w:rPr>
        <w:t xml:space="preserve"> công bố trên trang thông tin điện tử của Sở giao dịch chứng khoán.</w:t>
      </w:r>
      <w:r w:rsidR="00C63012" w:rsidRPr="006234AA">
        <w:rPr>
          <w:lang w:val="nl-NL"/>
        </w:rPr>
        <w:t xml:space="preserve"> </w:t>
      </w:r>
      <w:r w:rsidRPr="006234AA">
        <w:rPr>
          <w:lang w:val="nl-NL"/>
        </w:rPr>
        <w:t xml:space="preserve">Trường hợp điều chỉnh </w:t>
      </w:r>
      <w:r w:rsidR="00BA12EB" w:rsidRPr="006234AA">
        <w:rPr>
          <w:lang w:val="nl-NL"/>
        </w:rPr>
        <w:t>giới hạn lệnh</w:t>
      </w:r>
      <w:r w:rsidR="00C63012" w:rsidRPr="006234AA">
        <w:rPr>
          <w:lang w:val="nl-NL"/>
        </w:rPr>
        <w:t>,</w:t>
      </w:r>
      <w:r w:rsidR="00BA12EB" w:rsidRPr="006234AA">
        <w:rPr>
          <w:lang w:val="nl-NL"/>
        </w:rPr>
        <w:t xml:space="preserve"> giới hạn </w:t>
      </w:r>
      <w:r w:rsidR="006F430E" w:rsidRPr="006234AA">
        <w:rPr>
          <w:lang w:val="nl-NL"/>
        </w:rPr>
        <w:t xml:space="preserve">lệnh </w:t>
      </w:r>
      <w:r w:rsidR="00BA12EB" w:rsidRPr="006234AA">
        <w:rPr>
          <w:lang w:val="nl-NL"/>
        </w:rPr>
        <w:t>tích lũy</w:t>
      </w:r>
      <w:r w:rsidR="00C63012" w:rsidRPr="006234AA">
        <w:rPr>
          <w:lang w:val="nl-NL"/>
        </w:rPr>
        <w:t>, Sở giao dịch chứng khoán</w:t>
      </w:r>
      <w:r w:rsidR="00BA12EB" w:rsidRPr="006234AA">
        <w:rPr>
          <w:lang w:val="nl-NL"/>
        </w:rPr>
        <w:t xml:space="preserve"> </w:t>
      </w:r>
      <w:r w:rsidR="00C63012" w:rsidRPr="006234AA">
        <w:rPr>
          <w:lang w:val="nl-NL"/>
        </w:rPr>
        <w:t>phải</w:t>
      </w:r>
      <w:r w:rsidRPr="006234AA">
        <w:rPr>
          <w:lang w:val="nl-NL"/>
        </w:rPr>
        <w:t xml:space="preserve"> công bố thông tin tối thiểu 30 ngày trước khi áp dụng chính thức.</w:t>
      </w:r>
    </w:p>
    <w:p w:rsidR="00DA387C" w:rsidRPr="006234AA" w:rsidRDefault="00C63012" w:rsidP="003C0546">
      <w:pPr>
        <w:spacing w:after="120"/>
        <w:rPr>
          <w:lang w:val="nl-NL"/>
        </w:rPr>
      </w:pPr>
      <w:r w:rsidRPr="006234AA">
        <w:rPr>
          <w:lang w:val="nl-NL"/>
        </w:rPr>
        <w:t>2</w:t>
      </w:r>
      <w:r w:rsidR="00DA387C" w:rsidRPr="006234AA">
        <w:rPr>
          <w:lang w:val="nl-NL"/>
        </w:rPr>
        <w:t xml:space="preserve">. </w:t>
      </w:r>
      <w:r w:rsidR="0005574E" w:rsidRPr="006234AA">
        <w:rPr>
          <w:lang w:val="nl-NL"/>
        </w:rPr>
        <w:t>Trung tâm Lưu ký Chứng khoán</w:t>
      </w:r>
      <w:r w:rsidR="00DA387C" w:rsidRPr="006234AA">
        <w:rPr>
          <w:lang w:val="nl-NL"/>
        </w:rPr>
        <w:t xml:space="preserve"> </w:t>
      </w:r>
      <w:r w:rsidR="003D2584" w:rsidRPr="006234AA">
        <w:rPr>
          <w:lang w:val="nl-NL"/>
        </w:rPr>
        <w:t xml:space="preserve">xác định </w:t>
      </w:r>
      <w:r w:rsidR="00DA387C" w:rsidRPr="006234AA">
        <w:rPr>
          <w:lang w:val="nl-NL"/>
        </w:rPr>
        <w:t>giới hạn vị thế</w:t>
      </w:r>
      <w:r w:rsidRPr="006234AA">
        <w:rPr>
          <w:lang w:val="nl-NL"/>
        </w:rPr>
        <w:t xml:space="preserve"> đối với giao dịch từng loại chứng khoán phái sinh và công bố thông tin trên trang thông tin điện tử của Trung tâm Lưu ký chứng khoán, Sở giao dịch chứng khoán</w:t>
      </w:r>
      <w:r w:rsidR="00DA387C" w:rsidRPr="006234AA">
        <w:rPr>
          <w:lang w:val="nl-NL"/>
        </w:rPr>
        <w:t xml:space="preserve">. </w:t>
      </w:r>
      <w:r w:rsidRPr="006234AA">
        <w:rPr>
          <w:lang w:val="nl-NL"/>
        </w:rPr>
        <w:t>Trường hợp điều chỉnh giới hạn vị thế, Trung tâm Lưu ký chứng khoán phải công bố thông tin tối thiểu 30 ngày trước khi áp dụng chính thức.</w:t>
      </w:r>
    </w:p>
    <w:p w:rsidR="003D2584" w:rsidRPr="006234AA" w:rsidRDefault="003D2584" w:rsidP="003C0546">
      <w:pPr>
        <w:spacing w:after="120"/>
        <w:rPr>
          <w:lang w:val="nl-NL"/>
        </w:rPr>
      </w:pPr>
      <w:r w:rsidRPr="006234AA">
        <w:rPr>
          <w:lang w:val="nl-NL"/>
        </w:rPr>
        <w:lastRenderedPageBreak/>
        <w:t>Giới hạn vị thế quy định tại khoản này không áp dụng đối với các vị thế giao dịch phòng vệ rủi ro, giao dịch hạn chế chênh lệch giá và giao dịch tạo lập thị trường. Trong trường hợp này, nhà đầu tư phải cung cấp cho Trung tâm Lưu ký Chứng khoán và Sở giao dịch chứng khoán chi tiết danh mục chứng khoán cơ sở dùng cho hoạt động phòng vệ rủi ro hoặc hạn chế chênh lệch giá. Số lượng vị thế nắm giữ để phòng vệ rủi ro cho danh mục chứng khoán cơ sở được xác định theo Phụ lục số 21 ban hành kèm theo Thông tư này.</w:t>
      </w:r>
    </w:p>
    <w:p w:rsidR="00DA387C" w:rsidRPr="006234AA" w:rsidRDefault="00DA387C" w:rsidP="003C0546">
      <w:pPr>
        <w:spacing w:after="120"/>
        <w:rPr>
          <w:lang w:val="nl-NL"/>
        </w:rPr>
      </w:pPr>
      <w:r w:rsidRPr="006234AA">
        <w:rPr>
          <w:lang w:val="nl-NL"/>
        </w:rPr>
        <w:t xml:space="preserve">3. Trường hợp vượt giới hạn vị thế, </w:t>
      </w:r>
      <w:r w:rsidR="008573AD" w:rsidRPr="006234AA">
        <w:rPr>
          <w:lang w:val="nl-NL"/>
        </w:rPr>
        <w:t>Trung tâm lưu ký chứng khoán</w:t>
      </w:r>
      <w:r w:rsidRPr="006234AA">
        <w:rPr>
          <w:lang w:val="nl-NL"/>
        </w:rPr>
        <w:t xml:space="preserve"> </w:t>
      </w:r>
      <w:r w:rsidR="00C63012" w:rsidRPr="006234AA">
        <w:rPr>
          <w:lang w:val="nl-NL"/>
        </w:rPr>
        <w:t>y</w:t>
      </w:r>
      <w:r w:rsidRPr="006234AA">
        <w:rPr>
          <w:lang w:val="nl-NL"/>
        </w:rPr>
        <w:t>êu cầu</w:t>
      </w:r>
      <w:r w:rsidR="00880654" w:rsidRPr="006234AA">
        <w:rPr>
          <w:lang w:val="nl-NL"/>
        </w:rPr>
        <w:t xml:space="preserve"> </w:t>
      </w:r>
      <w:r w:rsidRPr="006234AA">
        <w:rPr>
          <w:lang w:val="nl-NL"/>
        </w:rPr>
        <w:t>thành viên bù trừ</w:t>
      </w:r>
      <w:r w:rsidR="001313D0" w:rsidRPr="006234AA">
        <w:rPr>
          <w:lang w:val="nl-NL"/>
        </w:rPr>
        <w:t xml:space="preserve">, </w:t>
      </w:r>
      <w:r w:rsidR="00C63012" w:rsidRPr="006234AA">
        <w:rPr>
          <w:lang w:val="nl-NL"/>
        </w:rPr>
        <w:t>nhà đầu tư</w:t>
      </w:r>
      <w:r w:rsidRPr="006234AA">
        <w:rPr>
          <w:lang w:val="nl-NL"/>
        </w:rPr>
        <w:t xml:space="preserve"> </w:t>
      </w:r>
      <w:r w:rsidR="00C63012" w:rsidRPr="006234AA">
        <w:rPr>
          <w:lang w:val="nl-NL"/>
        </w:rPr>
        <w:t>vượt giới hạn vị thế</w:t>
      </w:r>
      <w:r w:rsidRPr="006234AA">
        <w:rPr>
          <w:lang w:val="nl-NL"/>
        </w:rPr>
        <w:t xml:space="preserve"> </w:t>
      </w:r>
      <w:r w:rsidR="001313D0" w:rsidRPr="006234AA">
        <w:rPr>
          <w:lang w:val="nl-NL"/>
        </w:rPr>
        <w:t>thực hiện giao dịch đối ứng</w:t>
      </w:r>
      <w:r w:rsidR="00C63012" w:rsidRPr="006234AA">
        <w:rPr>
          <w:lang w:val="nl-NL"/>
        </w:rPr>
        <w:t xml:space="preserve"> </w:t>
      </w:r>
      <w:r w:rsidR="001313D0" w:rsidRPr="006234AA">
        <w:rPr>
          <w:lang w:val="nl-NL"/>
        </w:rPr>
        <w:t xml:space="preserve">để </w:t>
      </w:r>
      <w:r w:rsidR="00C63012" w:rsidRPr="006234AA">
        <w:rPr>
          <w:lang w:val="nl-NL"/>
        </w:rPr>
        <w:t xml:space="preserve">đóng bớt vị thế mở </w:t>
      </w:r>
      <w:r w:rsidRPr="006234AA">
        <w:rPr>
          <w:lang w:val="nl-NL"/>
        </w:rPr>
        <w:t xml:space="preserve">trong thời hạn do </w:t>
      </w:r>
      <w:r w:rsidR="0005574E" w:rsidRPr="006234AA">
        <w:rPr>
          <w:lang w:val="nl-NL"/>
        </w:rPr>
        <w:t>Trung tâm Lưu ký Chứng khoán</w:t>
      </w:r>
      <w:r w:rsidRPr="006234AA">
        <w:rPr>
          <w:lang w:val="nl-NL"/>
        </w:rPr>
        <w:t xml:space="preserve"> quy định</w:t>
      </w:r>
      <w:r w:rsidR="001313D0" w:rsidRPr="006234AA">
        <w:rPr>
          <w:lang w:val="nl-NL"/>
        </w:rPr>
        <w:t>. Trường hợp thành viên bù trừ, nhà đầu tư không thực hiện, Trung tâm lưu ký chứng khoán</w:t>
      </w:r>
      <w:r w:rsidR="003D2584" w:rsidRPr="006234AA">
        <w:rPr>
          <w:lang w:val="nl-NL"/>
        </w:rPr>
        <w:t xml:space="preserve"> được thực hiện c</w:t>
      </w:r>
      <w:r w:rsidRPr="006234AA">
        <w:rPr>
          <w:lang w:val="nl-NL"/>
        </w:rPr>
        <w:t xml:space="preserve">ác biện pháp cần thiết khác để bảo đảm an toàn </w:t>
      </w:r>
      <w:r w:rsidR="003D2584" w:rsidRPr="006234AA">
        <w:rPr>
          <w:lang w:val="nl-NL"/>
        </w:rPr>
        <w:t>thị trường</w:t>
      </w:r>
      <w:r w:rsidRPr="006234AA">
        <w:rPr>
          <w:lang w:val="nl-NL"/>
        </w:rPr>
        <w:t>.</w:t>
      </w:r>
    </w:p>
    <w:p w:rsidR="001A4455" w:rsidRPr="006234AA" w:rsidRDefault="001313D0" w:rsidP="003C0546">
      <w:pPr>
        <w:spacing w:after="120"/>
        <w:rPr>
          <w:lang w:val="nl-NL"/>
        </w:rPr>
      </w:pPr>
      <w:r w:rsidRPr="006234AA">
        <w:rPr>
          <w:lang w:val="nl-NL"/>
        </w:rPr>
        <w:t>4</w:t>
      </w:r>
      <w:r w:rsidR="001A4455" w:rsidRPr="006234AA">
        <w:rPr>
          <w:lang w:val="nl-NL"/>
        </w:rPr>
        <w:t xml:space="preserve">. Thành viên giao dịch, thành viên bù trừ, </w:t>
      </w:r>
      <w:r w:rsidR="003D2584" w:rsidRPr="006234AA">
        <w:rPr>
          <w:lang w:val="nl-NL"/>
        </w:rPr>
        <w:t xml:space="preserve">Sở giao dịch chứng khoán, </w:t>
      </w:r>
      <w:r w:rsidR="008573AD" w:rsidRPr="006234AA">
        <w:rPr>
          <w:lang w:val="nl-NL"/>
        </w:rPr>
        <w:t>Trung tâm lưu ký chứng khoán</w:t>
      </w:r>
      <w:r w:rsidR="001A4455" w:rsidRPr="006234AA">
        <w:rPr>
          <w:lang w:val="nl-NL"/>
        </w:rPr>
        <w:t xml:space="preserve"> có trách nhiệm phối hợp, thiết lập hệ thống quản lý và giám sát, bảo đảm </w:t>
      </w:r>
      <w:r w:rsidR="003D2584" w:rsidRPr="006234AA">
        <w:rPr>
          <w:lang w:val="nl-NL"/>
        </w:rPr>
        <w:t xml:space="preserve">hoạt động giao dịch của </w:t>
      </w:r>
      <w:r w:rsidR="001A4455" w:rsidRPr="006234AA">
        <w:rPr>
          <w:lang w:val="nl-NL"/>
        </w:rPr>
        <w:t xml:space="preserve">nhà đầu tư </w:t>
      </w:r>
      <w:r w:rsidR="003D2584" w:rsidRPr="006234AA">
        <w:rPr>
          <w:lang w:val="nl-NL"/>
        </w:rPr>
        <w:t xml:space="preserve">đáp ứng yêu cầu về giới hạn lệnh, giới hạn lệnh tích lũy và giới hạn vị thế quy định </w:t>
      </w:r>
      <w:r w:rsidR="001A4455" w:rsidRPr="006234AA">
        <w:rPr>
          <w:lang w:val="nl-NL"/>
        </w:rPr>
        <w:t>tại Điều này.</w:t>
      </w:r>
    </w:p>
    <w:p w:rsidR="00A8617E" w:rsidRPr="006234AA" w:rsidRDefault="00F45040" w:rsidP="003C0546">
      <w:pPr>
        <w:pStyle w:val="Heading4"/>
        <w:spacing w:after="120"/>
      </w:pPr>
      <w:bookmarkStart w:id="32" w:name="_Toc397003299"/>
      <w:bookmarkStart w:id="33" w:name="_Toc422671940"/>
      <w:r w:rsidRPr="006234AA">
        <w:t>Biên độ giao động giá</w:t>
      </w:r>
      <w:bookmarkEnd w:id="32"/>
      <w:bookmarkEnd w:id="33"/>
    </w:p>
    <w:p w:rsidR="007C5BDA" w:rsidRPr="006234AA" w:rsidRDefault="00DA387C" w:rsidP="003C0546">
      <w:pPr>
        <w:pStyle w:val="ListParagraph"/>
        <w:numPr>
          <w:ilvl w:val="3"/>
          <w:numId w:val="2"/>
        </w:numPr>
        <w:tabs>
          <w:tab w:val="left" w:pos="1134"/>
        </w:tabs>
        <w:spacing w:after="120"/>
        <w:ind w:left="0" w:firstLine="709"/>
      </w:pPr>
      <w:r w:rsidRPr="006234AA">
        <w:t xml:space="preserve">Sở giao dịch chứng khoán </w:t>
      </w:r>
      <w:r w:rsidR="001313D0" w:rsidRPr="006234AA">
        <w:t xml:space="preserve">được </w:t>
      </w:r>
      <w:r w:rsidR="007C5BDA" w:rsidRPr="006234AA">
        <w:t xml:space="preserve">điều chỉnh </w:t>
      </w:r>
      <w:r w:rsidRPr="006234AA">
        <w:t>biên độ dao động giá</w:t>
      </w:r>
      <w:r w:rsidR="007C5BDA" w:rsidRPr="006234AA">
        <w:t xml:space="preserve"> sau khi có ý kiến chấp thuận của Ủy ban Chứng khoán Nhà nước</w:t>
      </w:r>
      <w:r w:rsidRPr="006234AA">
        <w:t xml:space="preserve">. </w:t>
      </w:r>
    </w:p>
    <w:p w:rsidR="00DA387C" w:rsidRPr="006234AA" w:rsidRDefault="007C5BDA" w:rsidP="003C0546">
      <w:pPr>
        <w:pStyle w:val="ListParagraph"/>
        <w:numPr>
          <w:ilvl w:val="3"/>
          <w:numId w:val="2"/>
        </w:numPr>
        <w:tabs>
          <w:tab w:val="left" w:pos="1134"/>
        </w:tabs>
        <w:spacing w:after="120"/>
        <w:ind w:left="0" w:firstLine="709"/>
      </w:pPr>
      <w:r w:rsidRPr="006234AA">
        <w:t>Lệnh giao dịch với mức giá nằm ngoài biên độ dao động giá phải bị</w:t>
      </w:r>
      <w:r w:rsidR="00DA387C" w:rsidRPr="006234AA">
        <w:t xml:space="preserve"> hủy </w:t>
      </w:r>
      <w:r w:rsidRPr="006234AA">
        <w:t>và không được thực hiện, trừ trường hợp theo yêu cầu của Ủy ban Chứng khoán Nhà nước</w:t>
      </w:r>
      <w:r w:rsidR="00DA387C" w:rsidRPr="006234AA">
        <w:t>.</w:t>
      </w:r>
    </w:p>
    <w:p w:rsidR="001F37ED" w:rsidRPr="006234AA" w:rsidRDefault="001F37ED" w:rsidP="003C0546">
      <w:pPr>
        <w:pStyle w:val="Heading4"/>
        <w:spacing w:after="120"/>
      </w:pPr>
      <w:bookmarkStart w:id="34" w:name="_Toc397003300"/>
      <w:bookmarkStart w:id="35" w:name="_Toc422671941"/>
      <w:r w:rsidRPr="006234AA">
        <w:t>Sửa lỗi sau giao dịch</w:t>
      </w:r>
      <w:bookmarkEnd w:id="34"/>
      <w:bookmarkEnd w:id="35"/>
    </w:p>
    <w:p w:rsidR="00DA387C" w:rsidRPr="006234AA" w:rsidRDefault="00DA387C" w:rsidP="003C0546">
      <w:pPr>
        <w:spacing w:after="120"/>
        <w:rPr>
          <w:lang w:val="nl-NL"/>
        </w:rPr>
      </w:pPr>
      <w:r w:rsidRPr="006234AA">
        <w:rPr>
          <w:lang w:val="nl-NL"/>
        </w:rPr>
        <w:t xml:space="preserve">1. Sở giao dịch chứng khoán phối hợp với </w:t>
      </w:r>
      <w:r w:rsidR="008573AD" w:rsidRPr="006234AA">
        <w:rPr>
          <w:lang w:val="nl-NL"/>
        </w:rPr>
        <w:t>Trung tâm lưu ký chứng khoán</w:t>
      </w:r>
      <w:r w:rsidRPr="006234AA">
        <w:rPr>
          <w:lang w:val="nl-NL"/>
        </w:rPr>
        <w:t xml:space="preserve"> thực hiện sửa lỗi sau giao dịch trong các trường hợp sau:</w:t>
      </w:r>
    </w:p>
    <w:p w:rsidR="00DA387C" w:rsidRPr="006234AA" w:rsidRDefault="00DA387C" w:rsidP="003C0546">
      <w:pPr>
        <w:spacing w:after="120"/>
        <w:rPr>
          <w:lang w:val="nl-NL"/>
        </w:rPr>
      </w:pPr>
      <w:r w:rsidRPr="006234AA">
        <w:rPr>
          <w:lang w:val="nl-NL"/>
        </w:rPr>
        <w:t xml:space="preserve">a) Lỗi phát sinh trên hệ thống giao dịch của Sở giao dịch chứng khoán, </w:t>
      </w:r>
      <w:r w:rsidR="008573AD" w:rsidRPr="006234AA">
        <w:rPr>
          <w:lang w:val="nl-NL"/>
        </w:rPr>
        <w:t>Trung tâm lưu ký chứng khoán</w:t>
      </w:r>
      <w:r w:rsidRPr="006234AA">
        <w:rPr>
          <w:lang w:val="nl-NL"/>
        </w:rPr>
        <w:t xml:space="preserve"> và các lỗi vì nguyên nhân bất khả kháng khác;</w:t>
      </w:r>
    </w:p>
    <w:p w:rsidR="00DA387C" w:rsidRPr="006234AA" w:rsidRDefault="00DA387C" w:rsidP="003C0546">
      <w:pPr>
        <w:spacing w:after="120"/>
        <w:rPr>
          <w:lang w:val="nl-NL"/>
        </w:rPr>
      </w:pPr>
      <w:r w:rsidRPr="006234AA">
        <w:rPr>
          <w:lang w:val="nl-NL"/>
        </w:rPr>
        <w:t xml:space="preserve">b) Lỗi giao dịch do thành viên giao dịch, thành viên bù trừ thực hiện, bao gồm </w:t>
      </w:r>
      <w:r w:rsidR="00F057A5" w:rsidRPr="006234AA">
        <w:rPr>
          <w:lang w:val="nl-NL"/>
        </w:rPr>
        <w:t>không thực hiện lệnh hoặc lệnh thực hiện không đúng với yêu cầu của khách hàng</w:t>
      </w:r>
      <w:r w:rsidR="00201ED8" w:rsidRPr="006234AA">
        <w:rPr>
          <w:lang w:val="nl-NL"/>
        </w:rPr>
        <w:t xml:space="preserve"> (</w:t>
      </w:r>
      <w:r w:rsidRPr="006234AA">
        <w:rPr>
          <w:lang w:val="nl-NL"/>
        </w:rPr>
        <w:t>sau đây gọi là lỗi của thành viên</w:t>
      </w:r>
      <w:r w:rsidR="00201ED8" w:rsidRPr="006234AA">
        <w:rPr>
          <w:lang w:val="nl-NL"/>
        </w:rPr>
        <w:t>)</w:t>
      </w:r>
      <w:r w:rsidRPr="006234AA">
        <w:rPr>
          <w:lang w:val="nl-NL"/>
        </w:rPr>
        <w:t>.</w:t>
      </w:r>
    </w:p>
    <w:p w:rsidR="00DA387C" w:rsidRPr="006234AA" w:rsidRDefault="00DA387C" w:rsidP="003C0546">
      <w:pPr>
        <w:spacing w:after="120"/>
        <w:rPr>
          <w:lang w:val="nl-NL"/>
        </w:rPr>
      </w:pPr>
      <w:r w:rsidRPr="006234AA">
        <w:rPr>
          <w:lang w:val="nl-NL"/>
        </w:rPr>
        <w:t xml:space="preserve">2. </w:t>
      </w:r>
      <w:r w:rsidR="00990FDC" w:rsidRPr="006234AA">
        <w:rPr>
          <w:lang w:val="nl-NL"/>
        </w:rPr>
        <w:t>Đối với lỗi của thành viên, v</w:t>
      </w:r>
      <w:r w:rsidRPr="006234AA">
        <w:rPr>
          <w:lang w:val="nl-NL"/>
        </w:rPr>
        <w:t>iệc sửa lỗi sau giao dịch được thực hiện theo nguyên tắc:</w:t>
      </w:r>
    </w:p>
    <w:p w:rsidR="00990FDC" w:rsidRPr="006234AA" w:rsidRDefault="00DA387C" w:rsidP="003C0546">
      <w:pPr>
        <w:spacing w:after="120"/>
        <w:rPr>
          <w:lang w:val="nl-NL"/>
        </w:rPr>
      </w:pPr>
      <w:r w:rsidRPr="006234AA">
        <w:rPr>
          <w:lang w:val="nl-NL"/>
        </w:rPr>
        <w:t>a)</w:t>
      </w:r>
      <w:r w:rsidR="00990FDC" w:rsidRPr="006234AA">
        <w:rPr>
          <w:lang w:val="nl-NL"/>
        </w:rPr>
        <w:t xml:space="preserve"> Trường hợp thành viên không thực hiện lệnh của khách hàng, hoặc thực hiện với quy mô giao dịch ít hơn so với lệnh của khách hàng, thành viên có trách nhiệm thực hiện giao dịch bổ sung cho đủ quy mô lệnh của khách hàng. Phần giao dịch bổ sung nếu được thực hiện với mức giá kém hơn mức giá của khách hàng, thì thành viên phải chịu phần thiệt hại phát sinh, nếu được thực hiện với </w:t>
      </w:r>
      <w:r w:rsidR="00990FDC" w:rsidRPr="006234AA">
        <w:rPr>
          <w:lang w:val="nl-NL"/>
        </w:rPr>
        <w:lastRenderedPageBreak/>
        <w:t>mức giá tốt hơn mức giá của khách hàng, thì phần lợi nhuận phát sinh phải hạch toán cho khách hàng;</w:t>
      </w:r>
      <w:r w:rsidRPr="006234AA">
        <w:rPr>
          <w:lang w:val="nl-NL"/>
        </w:rPr>
        <w:t xml:space="preserve"> </w:t>
      </w:r>
    </w:p>
    <w:p w:rsidR="00990FDC" w:rsidRPr="006234AA" w:rsidRDefault="00990FDC" w:rsidP="003C0546">
      <w:pPr>
        <w:spacing w:after="120"/>
        <w:rPr>
          <w:lang w:val="nl-NL"/>
        </w:rPr>
      </w:pPr>
      <w:r w:rsidRPr="006234AA">
        <w:rPr>
          <w:lang w:val="nl-NL"/>
        </w:rPr>
        <w:t xml:space="preserve">b) Trường hợp thành viên thực hiện giao dịch với quy mô nhiều hơn lệnh của khách hàng, </w:t>
      </w:r>
      <w:r w:rsidR="00E85163" w:rsidRPr="006234AA">
        <w:rPr>
          <w:lang w:val="nl-NL"/>
        </w:rPr>
        <w:t>hoặc không đúng với thông tin tại lệnh của khách hàng, liên quan tới tháng đáo hạn, giá thực hiện, loại tài sản cơ sở, sai loại lệnh thì vị thế giao dịch lỗi</w:t>
      </w:r>
      <w:r w:rsidRPr="006234AA">
        <w:rPr>
          <w:lang w:val="nl-NL"/>
        </w:rPr>
        <w:t xml:space="preserve"> </w:t>
      </w:r>
      <w:r w:rsidR="00DA387C" w:rsidRPr="006234AA">
        <w:rPr>
          <w:lang w:val="nl-NL"/>
        </w:rPr>
        <w:t xml:space="preserve">được điều chỉnh về tài khoản </w:t>
      </w:r>
      <w:r w:rsidR="00DE5893" w:rsidRPr="006234AA">
        <w:rPr>
          <w:lang w:val="nl-NL"/>
        </w:rPr>
        <w:t xml:space="preserve">tự doanh </w:t>
      </w:r>
      <w:r w:rsidRPr="006234AA">
        <w:rPr>
          <w:lang w:val="nl-NL"/>
        </w:rPr>
        <w:t>của thành viên này. Lợi nhuận, thiệt hại phát sinh từ vị thế giao dịch do lỗi của thành viên, kể cả chi phí giao dịch, được hạch toán vào tài khoản của thành viên. Trường hợp thiệt hại là quá lớn, theo yêu cầu của thành viên tạo lỗi, sau khi có sự chấp thuận của Ủy ban Chứng khoán Nhà nước, Sở giao dịch chứng khoán phối hợp với Trung tâm lưu ký chứng khoán xác lập thời điểm thanh lý vị thế phù hợp cho thành viên nêu trên</w:t>
      </w:r>
      <w:r w:rsidR="00E85163" w:rsidRPr="006234AA">
        <w:rPr>
          <w:lang w:val="nl-NL"/>
        </w:rPr>
        <w:t>.</w:t>
      </w:r>
    </w:p>
    <w:p w:rsidR="00201ED8" w:rsidRPr="006234AA" w:rsidRDefault="00990FDC" w:rsidP="003C0546">
      <w:pPr>
        <w:spacing w:after="120"/>
        <w:rPr>
          <w:lang w:val="nl-NL"/>
        </w:rPr>
      </w:pPr>
      <w:r w:rsidRPr="006234AA">
        <w:rPr>
          <w:lang w:val="nl-NL"/>
        </w:rPr>
        <w:t>3.</w:t>
      </w:r>
      <w:r w:rsidR="00DA387C" w:rsidRPr="006234AA">
        <w:rPr>
          <w:lang w:val="nl-NL"/>
        </w:rPr>
        <w:t xml:space="preserve"> Đối với lỗi của khách hàng: </w:t>
      </w:r>
      <w:r w:rsidR="00556B22" w:rsidRPr="006234AA">
        <w:rPr>
          <w:lang w:val="nl-NL"/>
        </w:rPr>
        <w:t>t</w:t>
      </w:r>
      <w:r w:rsidR="00DA387C" w:rsidRPr="006234AA">
        <w:rPr>
          <w:lang w:val="nl-NL"/>
        </w:rPr>
        <w:t xml:space="preserve">hực hiện theo hướng dẫn của Sở giao dịch chứng khoán, </w:t>
      </w:r>
      <w:r w:rsidR="008573AD" w:rsidRPr="006234AA">
        <w:rPr>
          <w:lang w:val="nl-NL"/>
        </w:rPr>
        <w:t>Trung tâm lưu ký chứng khoán</w:t>
      </w:r>
      <w:r w:rsidR="00E85163" w:rsidRPr="006234AA">
        <w:rPr>
          <w:lang w:val="nl-NL"/>
        </w:rPr>
        <w:t>.</w:t>
      </w:r>
    </w:p>
    <w:p w:rsidR="00DF41E2" w:rsidRPr="006234AA" w:rsidRDefault="00201ED8" w:rsidP="003C0546">
      <w:pPr>
        <w:spacing w:after="120"/>
        <w:rPr>
          <w:lang w:val="nl-NL"/>
        </w:rPr>
      </w:pPr>
      <w:r w:rsidRPr="006234AA">
        <w:rPr>
          <w:lang w:val="nl-NL"/>
        </w:rPr>
        <w:t xml:space="preserve">4. </w:t>
      </w:r>
      <w:r w:rsidR="00DF41E2" w:rsidRPr="006234AA">
        <w:rPr>
          <w:lang w:val="nl-NL"/>
        </w:rPr>
        <w:t xml:space="preserve">Trường hợp việc sửa lỗi dẫn tới vượt giới hạn vị thế, thành viên giao dịch, khách hàng phải thực hiện các giao dịch đối ứng tại ngày giao dịch kế tiếp để đóng bớt phần vị thế mở vượt giới hạn. </w:t>
      </w:r>
    </w:p>
    <w:p w:rsidR="00DA387C" w:rsidRPr="006234AA" w:rsidRDefault="00201ED8" w:rsidP="003C0546">
      <w:pPr>
        <w:spacing w:after="120"/>
        <w:rPr>
          <w:lang w:val="nl-NL"/>
        </w:rPr>
      </w:pPr>
      <w:r w:rsidRPr="006234AA">
        <w:rPr>
          <w:lang w:val="nl-NL"/>
        </w:rPr>
        <w:t>5</w:t>
      </w:r>
      <w:r w:rsidR="00DA387C" w:rsidRPr="006234AA">
        <w:rPr>
          <w:lang w:val="nl-NL"/>
        </w:rPr>
        <w:t xml:space="preserve">. </w:t>
      </w:r>
      <w:r w:rsidRPr="006234AA">
        <w:rPr>
          <w:lang w:val="nl-NL"/>
        </w:rPr>
        <w:t xml:space="preserve">Các quy chế của </w:t>
      </w:r>
      <w:r w:rsidR="00DA387C" w:rsidRPr="006234AA">
        <w:rPr>
          <w:lang w:val="nl-NL"/>
        </w:rPr>
        <w:t xml:space="preserve">Sở giao dịch chứng khoán, </w:t>
      </w:r>
      <w:r w:rsidR="008573AD" w:rsidRPr="006234AA">
        <w:rPr>
          <w:lang w:val="nl-NL"/>
        </w:rPr>
        <w:t>Trung tâm lưu ký chứng khoán</w:t>
      </w:r>
      <w:r w:rsidR="00DA387C" w:rsidRPr="006234AA">
        <w:rPr>
          <w:lang w:val="nl-NL"/>
        </w:rPr>
        <w:t xml:space="preserve"> </w:t>
      </w:r>
      <w:r w:rsidRPr="006234AA">
        <w:rPr>
          <w:lang w:val="nl-NL"/>
        </w:rPr>
        <w:t>phải hướng dẫn</w:t>
      </w:r>
      <w:r w:rsidR="00DA387C" w:rsidRPr="006234AA">
        <w:rPr>
          <w:lang w:val="nl-NL"/>
        </w:rPr>
        <w:t xml:space="preserve"> trình tự, thủ tục</w:t>
      </w:r>
      <w:r w:rsidRPr="006234AA">
        <w:rPr>
          <w:lang w:val="nl-NL"/>
        </w:rPr>
        <w:t xml:space="preserve"> sửa lỗi sau giao dịch</w:t>
      </w:r>
      <w:r w:rsidR="00DA387C" w:rsidRPr="006234AA">
        <w:rPr>
          <w:lang w:val="nl-NL"/>
        </w:rPr>
        <w:t xml:space="preserve">, cách thức hạch toán và trách nhiệm của các bên liên quan đến. </w:t>
      </w:r>
    </w:p>
    <w:p w:rsidR="00DF3219" w:rsidRPr="006234AA" w:rsidRDefault="00DF3219" w:rsidP="003C0546">
      <w:pPr>
        <w:spacing w:after="120"/>
        <w:rPr>
          <w:lang w:val="nl-NL"/>
        </w:rPr>
      </w:pPr>
    </w:p>
    <w:p w:rsidR="00627372" w:rsidRPr="006234AA" w:rsidRDefault="00627372" w:rsidP="003C0546">
      <w:pPr>
        <w:pStyle w:val="Heading2"/>
        <w:spacing w:after="120"/>
      </w:pPr>
      <w:bookmarkStart w:id="36" w:name="_Toc397003301"/>
      <w:bookmarkStart w:id="37" w:name="_Toc422671942"/>
      <w:r w:rsidRPr="006234AA">
        <w:t>Chương II</w:t>
      </w:r>
      <w:r w:rsidR="00F80B4E" w:rsidRPr="006234AA">
        <w:t>I</w:t>
      </w:r>
      <w:bookmarkEnd w:id="36"/>
      <w:bookmarkEnd w:id="37"/>
    </w:p>
    <w:p w:rsidR="00627372" w:rsidRPr="006234AA" w:rsidRDefault="00627372" w:rsidP="003C0546">
      <w:pPr>
        <w:pStyle w:val="Heading2"/>
        <w:spacing w:after="120"/>
      </w:pPr>
      <w:bookmarkStart w:id="38" w:name="_Toc397003302"/>
      <w:bookmarkStart w:id="39" w:name="_Toc422671943"/>
      <w:r w:rsidRPr="006234AA">
        <w:t>HỢP ĐỒNG TƯƠNG LAI</w:t>
      </w:r>
      <w:bookmarkEnd w:id="38"/>
      <w:bookmarkEnd w:id="39"/>
      <w:r w:rsidRPr="006234AA">
        <w:t xml:space="preserve"> </w:t>
      </w:r>
    </w:p>
    <w:p w:rsidR="00627372" w:rsidRPr="006234AA" w:rsidRDefault="00627372" w:rsidP="003C0546">
      <w:pPr>
        <w:pStyle w:val="Heading3"/>
        <w:spacing w:after="120"/>
      </w:pPr>
      <w:bookmarkStart w:id="40" w:name="_Toc397003303"/>
      <w:bookmarkStart w:id="41" w:name="_Toc422671944"/>
      <w:r w:rsidRPr="006234AA">
        <w:t>Mục 1</w:t>
      </w:r>
      <w:bookmarkEnd w:id="40"/>
      <w:bookmarkEnd w:id="41"/>
    </w:p>
    <w:p w:rsidR="00627372" w:rsidRPr="006234AA" w:rsidRDefault="00627372" w:rsidP="003C0546">
      <w:pPr>
        <w:pStyle w:val="Heading3"/>
        <w:spacing w:after="120"/>
      </w:pPr>
      <w:bookmarkStart w:id="42" w:name="_Toc397003304"/>
      <w:bookmarkStart w:id="43" w:name="_Toc422671945"/>
      <w:r w:rsidRPr="006234AA">
        <w:t>HỢP ĐỒNG TƯƠNG LAI CHỈ SỐ</w:t>
      </w:r>
      <w:bookmarkEnd w:id="42"/>
      <w:bookmarkEnd w:id="43"/>
    </w:p>
    <w:p w:rsidR="00627372" w:rsidRPr="006234AA" w:rsidRDefault="00627372" w:rsidP="003C0546">
      <w:pPr>
        <w:spacing w:after="120"/>
        <w:rPr>
          <w:lang w:val="nl-NL"/>
        </w:rPr>
      </w:pPr>
    </w:p>
    <w:p w:rsidR="00627372" w:rsidRPr="006234AA" w:rsidRDefault="00B866E6" w:rsidP="003C0546">
      <w:pPr>
        <w:pStyle w:val="Heading4"/>
        <w:spacing w:after="120"/>
      </w:pPr>
      <w:bookmarkStart w:id="44" w:name="_Toc397003305"/>
      <w:bookmarkStart w:id="45" w:name="_Toc422671946"/>
      <w:r w:rsidRPr="006234AA">
        <w:t>Nội dung h</w:t>
      </w:r>
      <w:r w:rsidR="00627372" w:rsidRPr="006234AA">
        <w:t>ợp đồng</w:t>
      </w:r>
      <w:r w:rsidR="00471708" w:rsidRPr="006234AA">
        <w:t xml:space="preserve"> tương lai</w:t>
      </w:r>
      <w:bookmarkEnd w:id="44"/>
      <w:bookmarkEnd w:id="45"/>
    </w:p>
    <w:p w:rsidR="00DA387C" w:rsidRPr="006234AA" w:rsidRDefault="00DA387C" w:rsidP="003C0546">
      <w:pPr>
        <w:spacing w:after="120"/>
        <w:rPr>
          <w:lang w:val="nl-NL"/>
        </w:rPr>
      </w:pPr>
      <w:r w:rsidRPr="006234AA">
        <w:rPr>
          <w:lang w:val="nl-NL"/>
        </w:rPr>
        <w:t xml:space="preserve">1. Hợp đồng tương lai chỉ số được Sở giao dịch chứng khoán </w:t>
      </w:r>
      <w:r w:rsidR="002C1622" w:rsidRPr="006234AA">
        <w:rPr>
          <w:lang w:val="nl-NL"/>
        </w:rPr>
        <w:t xml:space="preserve">thiết kế và phải </w:t>
      </w:r>
      <w:r w:rsidRPr="006234AA">
        <w:rPr>
          <w:lang w:val="nl-NL"/>
        </w:rPr>
        <w:t xml:space="preserve">bao gồm </w:t>
      </w:r>
      <w:r w:rsidR="002C1622" w:rsidRPr="006234AA">
        <w:rPr>
          <w:lang w:val="nl-NL"/>
        </w:rPr>
        <w:t>đầy đủ</w:t>
      </w:r>
      <w:r w:rsidRPr="006234AA">
        <w:rPr>
          <w:lang w:val="nl-NL"/>
        </w:rPr>
        <w:t xml:space="preserve"> các nội dung sau:</w:t>
      </w:r>
    </w:p>
    <w:p w:rsidR="00DA387C" w:rsidRPr="006234AA" w:rsidRDefault="00DA387C" w:rsidP="003C0546">
      <w:pPr>
        <w:spacing w:after="120"/>
        <w:rPr>
          <w:lang w:val="nl-NL"/>
        </w:rPr>
      </w:pPr>
      <w:r w:rsidRPr="006234AA">
        <w:rPr>
          <w:lang w:val="nl-NL"/>
        </w:rPr>
        <w:t>a) Tên hợp đồng;</w:t>
      </w:r>
    </w:p>
    <w:p w:rsidR="00DA387C" w:rsidRPr="006234AA" w:rsidRDefault="00DA387C" w:rsidP="003C0546">
      <w:pPr>
        <w:spacing w:after="120"/>
        <w:rPr>
          <w:lang w:val="nl-NL"/>
        </w:rPr>
      </w:pPr>
      <w:r w:rsidRPr="006234AA">
        <w:rPr>
          <w:lang w:val="nl-NL"/>
        </w:rPr>
        <w:t>b) Mã hợp đồng;</w:t>
      </w:r>
    </w:p>
    <w:p w:rsidR="00DA387C" w:rsidRPr="006234AA" w:rsidRDefault="00DA387C" w:rsidP="003C0546">
      <w:pPr>
        <w:spacing w:after="120"/>
        <w:rPr>
          <w:lang w:val="nl-NL"/>
        </w:rPr>
      </w:pPr>
      <w:r w:rsidRPr="006234AA">
        <w:rPr>
          <w:lang w:val="nl-NL"/>
        </w:rPr>
        <w:t>c) Tài sản cơ sở;</w:t>
      </w:r>
    </w:p>
    <w:p w:rsidR="00DA387C" w:rsidRPr="006234AA" w:rsidRDefault="00DA387C" w:rsidP="003C0546">
      <w:pPr>
        <w:spacing w:after="120"/>
        <w:rPr>
          <w:lang w:val="nl-NL"/>
        </w:rPr>
      </w:pPr>
      <w:r w:rsidRPr="006234AA">
        <w:rPr>
          <w:lang w:val="nl-NL"/>
        </w:rPr>
        <w:t>d) Giá trị hợp đồng;</w:t>
      </w:r>
    </w:p>
    <w:p w:rsidR="00DA387C" w:rsidRPr="006234AA" w:rsidRDefault="00DA387C" w:rsidP="003C0546">
      <w:pPr>
        <w:spacing w:after="120"/>
        <w:rPr>
          <w:lang w:val="nl-NL"/>
        </w:rPr>
      </w:pPr>
      <w:r w:rsidRPr="006234AA">
        <w:rPr>
          <w:lang w:val="nl-NL"/>
        </w:rPr>
        <w:t>đ) Tháng đáo hạn;</w:t>
      </w:r>
    </w:p>
    <w:p w:rsidR="00DA387C" w:rsidRPr="006234AA" w:rsidRDefault="00DA387C" w:rsidP="003C0546">
      <w:pPr>
        <w:spacing w:after="120"/>
        <w:rPr>
          <w:lang w:val="nl-NL"/>
        </w:rPr>
      </w:pPr>
      <w:r w:rsidRPr="006234AA">
        <w:rPr>
          <w:lang w:val="nl-NL"/>
        </w:rPr>
        <w:t>e) Giờ giao dịch;</w:t>
      </w:r>
    </w:p>
    <w:p w:rsidR="00DA387C" w:rsidRPr="006234AA" w:rsidRDefault="00DA387C" w:rsidP="003C0546">
      <w:pPr>
        <w:spacing w:after="120"/>
        <w:rPr>
          <w:lang w:val="nl-NL"/>
        </w:rPr>
      </w:pPr>
      <w:r w:rsidRPr="006234AA">
        <w:rPr>
          <w:lang w:val="nl-NL"/>
        </w:rPr>
        <w:t>g) Ngày giao dịch cuối cùng</w:t>
      </w:r>
      <w:r w:rsidR="00DA1CA7" w:rsidRPr="006234AA">
        <w:rPr>
          <w:lang w:val="nl-NL"/>
        </w:rPr>
        <w:t xml:space="preserve"> (last trading day)</w:t>
      </w:r>
      <w:r w:rsidRPr="006234AA">
        <w:rPr>
          <w:lang w:val="nl-NL"/>
        </w:rPr>
        <w:t>;</w:t>
      </w:r>
    </w:p>
    <w:p w:rsidR="00DA387C" w:rsidRPr="006234AA" w:rsidRDefault="00DA387C" w:rsidP="003C0546">
      <w:pPr>
        <w:spacing w:after="120"/>
        <w:rPr>
          <w:lang w:val="nl-NL"/>
        </w:rPr>
      </w:pPr>
      <w:r w:rsidRPr="006234AA">
        <w:rPr>
          <w:lang w:val="nl-NL"/>
        </w:rPr>
        <w:lastRenderedPageBreak/>
        <w:t>h) Ngày thanh toán cuối cùng</w:t>
      </w:r>
      <w:r w:rsidR="00DA1CA7" w:rsidRPr="006234AA">
        <w:rPr>
          <w:lang w:val="nl-NL"/>
        </w:rPr>
        <w:t xml:space="preserve"> (final settlement day) </w:t>
      </w:r>
      <w:r w:rsidRPr="006234AA">
        <w:rPr>
          <w:lang w:val="nl-NL"/>
        </w:rPr>
        <w:t>;</w:t>
      </w:r>
    </w:p>
    <w:p w:rsidR="00DA387C" w:rsidRPr="006234AA" w:rsidRDefault="00DA387C" w:rsidP="003C0546">
      <w:pPr>
        <w:spacing w:after="120"/>
        <w:rPr>
          <w:lang w:val="nl-NL"/>
        </w:rPr>
      </w:pPr>
      <w:r w:rsidRPr="006234AA">
        <w:rPr>
          <w:lang w:val="nl-NL"/>
        </w:rPr>
        <w:t>i) Phương thức thanh toán;</w:t>
      </w:r>
    </w:p>
    <w:p w:rsidR="00DA387C" w:rsidRPr="006234AA" w:rsidRDefault="00DA387C" w:rsidP="003C0546">
      <w:pPr>
        <w:spacing w:after="120"/>
        <w:rPr>
          <w:lang w:val="nl-NL"/>
        </w:rPr>
      </w:pPr>
      <w:r w:rsidRPr="006234AA">
        <w:rPr>
          <w:lang w:val="nl-NL"/>
        </w:rPr>
        <w:t>k) Bước giá, đơn vị yết giá;</w:t>
      </w:r>
    </w:p>
    <w:p w:rsidR="00DA387C" w:rsidRPr="006234AA" w:rsidRDefault="00DA387C" w:rsidP="003C0546">
      <w:pPr>
        <w:spacing w:after="120"/>
        <w:rPr>
          <w:lang w:val="nl-NL"/>
        </w:rPr>
      </w:pPr>
      <w:r w:rsidRPr="006234AA">
        <w:rPr>
          <w:lang w:val="nl-NL"/>
        </w:rPr>
        <w:t>l) Biên độ dao động giá;</w:t>
      </w:r>
    </w:p>
    <w:p w:rsidR="00DA387C" w:rsidRPr="006234AA" w:rsidRDefault="00DA387C" w:rsidP="003C0546">
      <w:pPr>
        <w:spacing w:after="120"/>
        <w:rPr>
          <w:lang w:val="nl-NL"/>
        </w:rPr>
      </w:pPr>
      <w:r w:rsidRPr="006234AA">
        <w:rPr>
          <w:lang w:val="nl-NL"/>
        </w:rPr>
        <w:t>m) Ngày niêm yết;</w:t>
      </w:r>
    </w:p>
    <w:p w:rsidR="00DA387C" w:rsidRPr="006234AA" w:rsidRDefault="00DA387C" w:rsidP="003C0546">
      <w:pPr>
        <w:spacing w:after="120"/>
        <w:rPr>
          <w:lang w:val="nl-NL"/>
        </w:rPr>
      </w:pPr>
      <w:r w:rsidRPr="006234AA">
        <w:rPr>
          <w:lang w:val="nl-NL"/>
        </w:rPr>
        <w:t>n) Phương pháp xác định giá thanh toán hàng ngày;</w:t>
      </w:r>
    </w:p>
    <w:p w:rsidR="00DA387C" w:rsidRPr="006234AA" w:rsidRDefault="00DA387C" w:rsidP="003C0546">
      <w:pPr>
        <w:spacing w:after="120"/>
        <w:rPr>
          <w:lang w:val="nl-NL"/>
        </w:rPr>
      </w:pPr>
      <w:r w:rsidRPr="006234AA">
        <w:rPr>
          <w:lang w:val="nl-NL"/>
        </w:rPr>
        <w:t>o) Phương pháp xác định giá thanh toán cuối cùng;</w:t>
      </w:r>
    </w:p>
    <w:p w:rsidR="00DA387C" w:rsidRPr="006234AA" w:rsidRDefault="00DA387C" w:rsidP="003C0546">
      <w:pPr>
        <w:spacing w:after="120"/>
        <w:rPr>
          <w:lang w:val="nl-NL"/>
        </w:rPr>
      </w:pPr>
      <w:r w:rsidRPr="006234AA">
        <w:rPr>
          <w:lang w:val="nl-NL"/>
        </w:rPr>
        <w:t>p) Giới hạn vị thế;</w:t>
      </w:r>
    </w:p>
    <w:p w:rsidR="00DA387C" w:rsidRPr="006234AA" w:rsidRDefault="00DA387C" w:rsidP="003C0546">
      <w:pPr>
        <w:spacing w:after="120"/>
        <w:rPr>
          <w:lang w:val="nl-NL"/>
        </w:rPr>
      </w:pPr>
      <w:r w:rsidRPr="006234AA">
        <w:rPr>
          <w:lang w:val="nl-NL"/>
        </w:rPr>
        <w:t>q) Giới hạn lệnh</w:t>
      </w:r>
      <w:r w:rsidR="00532E70" w:rsidRPr="006234AA">
        <w:rPr>
          <w:lang w:val="nl-NL"/>
        </w:rPr>
        <w:t>.</w:t>
      </w:r>
    </w:p>
    <w:p w:rsidR="00DA387C" w:rsidRPr="006234AA" w:rsidRDefault="00DA387C" w:rsidP="003C0546">
      <w:pPr>
        <w:spacing w:after="120"/>
        <w:rPr>
          <w:lang w:val="nl-NL"/>
        </w:rPr>
      </w:pPr>
      <w:r w:rsidRPr="006234AA">
        <w:rPr>
          <w:lang w:val="nl-NL"/>
        </w:rPr>
        <w:t xml:space="preserve">2. </w:t>
      </w:r>
      <w:r w:rsidR="002C1622" w:rsidRPr="006234AA">
        <w:rPr>
          <w:lang w:val="nl-NL"/>
        </w:rPr>
        <w:t>Chi tiết</w:t>
      </w:r>
      <w:r w:rsidR="00471708" w:rsidRPr="006234AA">
        <w:rPr>
          <w:lang w:val="nl-NL"/>
        </w:rPr>
        <w:t xml:space="preserve"> </w:t>
      </w:r>
      <w:r w:rsidR="0074239C" w:rsidRPr="006234AA">
        <w:rPr>
          <w:lang w:val="nl-NL"/>
        </w:rPr>
        <w:t xml:space="preserve">nội dung </w:t>
      </w:r>
      <w:r w:rsidRPr="006234AA">
        <w:rPr>
          <w:lang w:val="nl-NL"/>
        </w:rPr>
        <w:t xml:space="preserve">hợp đồng tương lai chỉ số thực hiện theo hướng dẫn tại </w:t>
      </w:r>
      <w:r w:rsidR="00866B6A" w:rsidRPr="006234AA">
        <w:rPr>
          <w:lang w:val="nl-NL"/>
        </w:rPr>
        <w:t>P</w:t>
      </w:r>
      <w:r w:rsidRPr="006234AA">
        <w:rPr>
          <w:lang w:val="nl-NL"/>
        </w:rPr>
        <w:t>hụ lục số 1 ban hành kèm theo Thông tư này</w:t>
      </w:r>
      <w:r w:rsidR="002C1622" w:rsidRPr="006234AA">
        <w:rPr>
          <w:lang w:val="nl-NL"/>
        </w:rPr>
        <w:t xml:space="preserve"> và được Ủy ban Chứng khoán Nhà nước chấp thuận trước khi </w:t>
      </w:r>
      <w:r w:rsidR="00DA70ED" w:rsidRPr="006234AA">
        <w:rPr>
          <w:lang w:val="nl-NL"/>
        </w:rPr>
        <w:t>đưa vào</w:t>
      </w:r>
      <w:r w:rsidR="002C1622" w:rsidRPr="006234AA">
        <w:rPr>
          <w:lang w:val="nl-NL"/>
        </w:rPr>
        <w:t xml:space="preserve"> giao dịch.</w:t>
      </w:r>
    </w:p>
    <w:p w:rsidR="00627372" w:rsidRPr="006234AA" w:rsidRDefault="00627372" w:rsidP="003C0546">
      <w:pPr>
        <w:pStyle w:val="Heading4"/>
        <w:spacing w:after="120"/>
      </w:pPr>
      <w:bookmarkStart w:id="46" w:name="_Toc397003306"/>
      <w:bookmarkStart w:id="47" w:name="_Toc422671947"/>
      <w:r w:rsidRPr="006234AA">
        <w:t>Tài sản cơ sở</w:t>
      </w:r>
      <w:bookmarkEnd w:id="46"/>
      <w:bookmarkEnd w:id="47"/>
    </w:p>
    <w:p w:rsidR="00532E70" w:rsidRPr="006234AA" w:rsidRDefault="00532E70" w:rsidP="003C0546">
      <w:pPr>
        <w:spacing w:after="120"/>
        <w:rPr>
          <w:lang w:val="nl-NL"/>
        </w:rPr>
      </w:pPr>
      <w:r w:rsidRPr="006234AA">
        <w:rPr>
          <w:lang w:val="nl-NL"/>
        </w:rPr>
        <w:t>1. Tài sản cơ sở của hợp đồng tương lai chỉ số là chỉ số chứng khoán</w:t>
      </w:r>
      <w:r w:rsidR="00201ED8" w:rsidRPr="006234AA">
        <w:rPr>
          <w:lang w:val="nl-NL"/>
        </w:rPr>
        <w:t xml:space="preserve"> (sau đây gọi là chỉ số cơ sở)</w:t>
      </w:r>
      <w:r w:rsidRPr="006234AA">
        <w:rPr>
          <w:lang w:val="nl-NL"/>
        </w:rPr>
        <w:t xml:space="preserve"> </w:t>
      </w:r>
      <w:r w:rsidR="00B866E6" w:rsidRPr="006234AA">
        <w:rPr>
          <w:lang w:val="nl-NL"/>
        </w:rPr>
        <w:t xml:space="preserve">do Sở giao dịch chứng khoán tại Việt Nam </w:t>
      </w:r>
      <w:r w:rsidR="00201ED8" w:rsidRPr="006234AA">
        <w:rPr>
          <w:lang w:val="nl-NL"/>
        </w:rPr>
        <w:t>xây dựng</w:t>
      </w:r>
      <w:r w:rsidRPr="006234AA">
        <w:rPr>
          <w:lang w:val="nl-NL"/>
        </w:rPr>
        <w:t xml:space="preserve"> và quản lý.</w:t>
      </w:r>
    </w:p>
    <w:p w:rsidR="00532E70" w:rsidRPr="006234AA" w:rsidRDefault="00532E70" w:rsidP="003C0546">
      <w:pPr>
        <w:spacing w:after="120"/>
        <w:rPr>
          <w:lang w:val="nl-NL"/>
        </w:rPr>
      </w:pPr>
      <w:r w:rsidRPr="006234AA">
        <w:rPr>
          <w:lang w:val="nl-NL"/>
        </w:rPr>
        <w:t>2. Chỉ số cơ sở phải đáp ứng đầy đủ các điều kiện sau:</w:t>
      </w:r>
    </w:p>
    <w:p w:rsidR="00532E70" w:rsidRPr="006234AA" w:rsidRDefault="00532E70" w:rsidP="003C0546">
      <w:pPr>
        <w:spacing w:after="120"/>
        <w:rPr>
          <w:lang w:val="nl-NL"/>
        </w:rPr>
      </w:pPr>
      <w:r w:rsidRPr="006234AA">
        <w:rPr>
          <w:lang w:val="nl-NL"/>
        </w:rPr>
        <w:t>a) Được xây dựng dựa trên các chứng khoán đang niêm yết trên Sở giao dịch chứng khoán;</w:t>
      </w:r>
    </w:p>
    <w:p w:rsidR="00532E70" w:rsidRPr="006234AA" w:rsidRDefault="00532E70" w:rsidP="003C0546">
      <w:pPr>
        <w:spacing w:after="120"/>
        <w:rPr>
          <w:lang w:val="nl-NL"/>
        </w:rPr>
      </w:pPr>
      <w:r w:rsidRPr="006234AA">
        <w:rPr>
          <w:lang w:val="nl-NL"/>
        </w:rPr>
        <w:t>b) Có mục tiêu cụ thể, rõ ràng, có tính đại diện cao, thể hiện đặc trưng của thị trường hoặc nhóm ngành nghề, lĩnh vực;</w:t>
      </w:r>
    </w:p>
    <w:p w:rsidR="00532E70" w:rsidRPr="006234AA" w:rsidRDefault="00532E70" w:rsidP="003C0546">
      <w:pPr>
        <w:spacing w:after="120"/>
        <w:rPr>
          <w:lang w:val="nl-NL"/>
        </w:rPr>
      </w:pPr>
      <w:r w:rsidRPr="006234AA">
        <w:rPr>
          <w:lang w:val="nl-NL"/>
        </w:rPr>
        <w:t>c) Danh mục chứng khoán của chỉ số phải đa dạng và bao gồm tối thiểu ba mươi (30) cổ phiếu. Tỷ trọng của mỗi cổ phiếu trong danh mục không được vượt quá 20% giá trị của chỉ số;</w:t>
      </w:r>
    </w:p>
    <w:p w:rsidR="00532E70" w:rsidRPr="006234AA" w:rsidRDefault="00532E70" w:rsidP="003C0546">
      <w:pPr>
        <w:spacing w:after="120"/>
        <w:rPr>
          <w:lang w:val="nl-NL"/>
        </w:rPr>
      </w:pPr>
      <w:r w:rsidRPr="006234AA">
        <w:rPr>
          <w:lang w:val="nl-NL"/>
        </w:rPr>
        <w:t xml:space="preserve">d) </w:t>
      </w:r>
      <w:r w:rsidR="00201ED8" w:rsidRPr="006234AA">
        <w:rPr>
          <w:lang w:val="nl-NL"/>
        </w:rPr>
        <w:t>Đáp ứng c</w:t>
      </w:r>
      <w:r w:rsidRPr="006234AA">
        <w:rPr>
          <w:lang w:val="nl-NL"/>
        </w:rPr>
        <w:t xml:space="preserve">ác </w:t>
      </w:r>
      <w:r w:rsidR="00201ED8" w:rsidRPr="006234AA">
        <w:rPr>
          <w:lang w:val="nl-NL"/>
        </w:rPr>
        <w:t>tiêu chí</w:t>
      </w:r>
      <w:r w:rsidRPr="006234AA">
        <w:rPr>
          <w:lang w:val="nl-NL"/>
        </w:rPr>
        <w:t xml:space="preserve"> khác của Sở giao dịch chứng khoán.</w:t>
      </w:r>
    </w:p>
    <w:p w:rsidR="00532E70" w:rsidRPr="006234AA" w:rsidRDefault="00532E70" w:rsidP="003C0546">
      <w:pPr>
        <w:spacing w:after="120"/>
        <w:rPr>
          <w:lang w:val="nl-NL"/>
        </w:rPr>
      </w:pPr>
      <w:r w:rsidRPr="006234AA">
        <w:rPr>
          <w:lang w:val="nl-NL"/>
        </w:rPr>
        <w:t>3. Trường hợp chỉ số cơ sở đã không còn đáp ứng đầy đủ các điều kiện quy định tại khoản 2 Điều này. Sở giao dịch chứng khoán không được</w:t>
      </w:r>
      <w:r w:rsidR="003D65E8" w:rsidRPr="006234AA">
        <w:rPr>
          <w:lang w:val="nl-NL"/>
        </w:rPr>
        <w:t xml:space="preserve"> tổ chức giao dịch </w:t>
      </w:r>
      <w:r w:rsidRPr="006234AA">
        <w:rPr>
          <w:lang w:val="nl-NL"/>
        </w:rPr>
        <w:t xml:space="preserve">hợp đồng tương </w:t>
      </w:r>
      <w:r w:rsidR="00FB790E" w:rsidRPr="006234AA">
        <w:rPr>
          <w:lang w:val="nl-NL"/>
        </w:rPr>
        <w:t>lai</w:t>
      </w:r>
      <w:r w:rsidRPr="006234AA">
        <w:rPr>
          <w:lang w:val="nl-NL"/>
        </w:rPr>
        <w:t xml:space="preserve"> chỉ số dựa trên chỉ số cở sở đó</w:t>
      </w:r>
      <w:r w:rsidR="005938B0" w:rsidRPr="006234AA">
        <w:rPr>
          <w:lang w:val="nl-NL"/>
        </w:rPr>
        <w:t xml:space="preserve"> cho chu kỳ giao dịch mới</w:t>
      </w:r>
      <w:r w:rsidRPr="006234AA">
        <w:rPr>
          <w:lang w:val="nl-NL"/>
        </w:rPr>
        <w:t>.</w:t>
      </w:r>
    </w:p>
    <w:p w:rsidR="00627372" w:rsidRPr="006234AA" w:rsidRDefault="00E468C1" w:rsidP="003C0546">
      <w:pPr>
        <w:pStyle w:val="Heading4"/>
        <w:spacing w:after="120"/>
      </w:pPr>
      <w:bookmarkStart w:id="48" w:name="_Toc397003307"/>
      <w:bookmarkStart w:id="49" w:name="_Toc422671948"/>
      <w:r w:rsidRPr="006234AA">
        <w:t>G</w:t>
      </w:r>
      <w:r w:rsidR="00204568" w:rsidRPr="006234AA">
        <w:t>iá trị hợp đồng</w:t>
      </w:r>
      <w:bookmarkEnd w:id="48"/>
      <w:bookmarkEnd w:id="49"/>
    </w:p>
    <w:p w:rsidR="002C1622" w:rsidRPr="006234AA" w:rsidRDefault="00E468C1" w:rsidP="003C0546">
      <w:pPr>
        <w:spacing w:after="120"/>
        <w:rPr>
          <w:lang w:val="nl-NL"/>
        </w:rPr>
      </w:pPr>
      <w:r w:rsidRPr="006234AA">
        <w:rPr>
          <w:lang w:val="nl-NL"/>
        </w:rPr>
        <w:t>1</w:t>
      </w:r>
      <w:r w:rsidR="00204568" w:rsidRPr="006234AA">
        <w:rPr>
          <w:lang w:val="nl-NL"/>
        </w:rPr>
        <w:t xml:space="preserve">. Giá trị hợp đồng </w:t>
      </w:r>
      <w:r w:rsidR="002C1622" w:rsidRPr="006234AA">
        <w:rPr>
          <w:lang w:val="nl-NL"/>
        </w:rPr>
        <w:t>tương lai chỉ số được xác định như sau:</w:t>
      </w:r>
    </w:p>
    <w:p w:rsidR="007955D9" w:rsidRPr="006234AA" w:rsidRDefault="002C1622" w:rsidP="003C0546">
      <w:pPr>
        <w:spacing w:after="120"/>
        <w:ind w:firstLine="0"/>
        <w:rPr>
          <w:lang w:val="nl-NL"/>
        </w:rPr>
      </w:pPr>
      <w:r w:rsidRPr="006234AA">
        <w:rPr>
          <w:lang w:val="nl-NL"/>
        </w:rPr>
        <w:t xml:space="preserve">Giá trị hợp đồng = </w:t>
      </w:r>
      <w:r w:rsidR="007955D9" w:rsidRPr="006234AA">
        <w:rPr>
          <w:lang w:val="nl-NL"/>
        </w:rPr>
        <w:t>Giá</w:t>
      </w:r>
      <w:r w:rsidRPr="006234AA">
        <w:rPr>
          <w:lang w:val="nl-NL"/>
        </w:rPr>
        <w:t xml:space="preserve"> tương lai </w:t>
      </w:r>
      <w:r w:rsidR="007955D9" w:rsidRPr="006234AA">
        <w:rPr>
          <w:lang w:val="nl-NL"/>
        </w:rPr>
        <w:t>tài sản cơ sở</w:t>
      </w:r>
      <w:r w:rsidR="001B2F6E" w:rsidRPr="006234AA">
        <w:rPr>
          <w:lang w:val="nl-NL"/>
        </w:rPr>
        <w:t xml:space="preserve"> (chỉ số tương lai)</w:t>
      </w:r>
      <w:r w:rsidR="007955D9" w:rsidRPr="006234AA">
        <w:rPr>
          <w:lang w:val="nl-NL"/>
        </w:rPr>
        <w:t xml:space="preserve"> </w:t>
      </w:r>
      <w:r w:rsidRPr="006234AA">
        <w:rPr>
          <w:lang w:val="nl-NL"/>
        </w:rPr>
        <w:t xml:space="preserve">× Hệ số </w:t>
      </w:r>
      <w:r w:rsidR="007955D9" w:rsidRPr="006234AA">
        <w:rPr>
          <w:lang w:val="nl-NL"/>
        </w:rPr>
        <w:t>nhân của hợp đồng</w:t>
      </w:r>
    </w:p>
    <w:p w:rsidR="00504249" w:rsidRPr="006234AA" w:rsidRDefault="001B2F6E" w:rsidP="003C0546">
      <w:pPr>
        <w:spacing w:after="120"/>
        <w:ind w:firstLine="0"/>
        <w:rPr>
          <w:lang w:val="nl-NL"/>
        </w:rPr>
      </w:pPr>
      <w:r w:rsidRPr="006234AA">
        <w:rPr>
          <w:lang w:val="nl-NL"/>
        </w:rPr>
        <w:t>t</w:t>
      </w:r>
      <w:r w:rsidR="007955D9" w:rsidRPr="006234AA">
        <w:rPr>
          <w:lang w:val="nl-NL"/>
        </w:rPr>
        <w:t>rong đó, hệ số nhân của hợp đồng được tính theo đơn vị VND</w:t>
      </w:r>
      <w:r w:rsidRPr="006234AA">
        <w:rPr>
          <w:lang w:val="nl-NL"/>
        </w:rPr>
        <w:t xml:space="preserve"> và do Sở giao dịch chứng khoán quy định</w:t>
      </w:r>
      <w:r w:rsidR="00635E2A" w:rsidRPr="006234AA">
        <w:rPr>
          <w:lang w:val="nl-NL"/>
        </w:rPr>
        <w:t xml:space="preserve"> cho từng loại hợp đồng cụ thể</w:t>
      </w:r>
      <w:r w:rsidRPr="006234AA">
        <w:rPr>
          <w:lang w:val="nl-NL"/>
        </w:rPr>
        <w:t>;</w:t>
      </w:r>
      <w:r w:rsidR="002C1622" w:rsidRPr="006234AA">
        <w:rPr>
          <w:lang w:val="nl-NL"/>
        </w:rPr>
        <w:t xml:space="preserve"> </w:t>
      </w:r>
    </w:p>
    <w:p w:rsidR="007955D9" w:rsidRPr="006234AA" w:rsidRDefault="007955D9" w:rsidP="003C0546">
      <w:pPr>
        <w:spacing w:after="120"/>
        <w:rPr>
          <w:lang w:val="nl-NL"/>
        </w:rPr>
      </w:pPr>
      <w:r w:rsidRPr="006234AA">
        <w:rPr>
          <w:lang w:val="nl-NL"/>
        </w:rPr>
        <w:lastRenderedPageBreak/>
        <w:t>2. G</w:t>
      </w:r>
      <w:r w:rsidR="00F50E02" w:rsidRPr="006234AA">
        <w:rPr>
          <w:lang w:val="nl-NL"/>
        </w:rPr>
        <w:t xml:space="preserve">iá trị thanh toán </w:t>
      </w:r>
      <w:r w:rsidR="00635E2A" w:rsidRPr="006234AA">
        <w:rPr>
          <w:lang w:val="nl-NL"/>
        </w:rPr>
        <w:t xml:space="preserve">cuối ngày </w:t>
      </w:r>
      <w:r w:rsidR="00F50E02" w:rsidRPr="006234AA">
        <w:rPr>
          <w:lang w:val="nl-NL"/>
        </w:rPr>
        <w:t xml:space="preserve">của hợp đồng </w:t>
      </w:r>
      <w:r w:rsidRPr="006234AA">
        <w:rPr>
          <w:lang w:val="nl-NL"/>
        </w:rPr>
        <w:t xml:space="preserve">tương lai chỉ số </w:t>
      </w:r>
      <w:r w:rsidR="00F50E02" w:rsidRPr="006234AA">
        <w:rPr>
          <w:lang w:val="nl-NL"/>
        </w:rPr>
        <w:t>được xác định</w:t>
      </w:r>
      <w:r w:rsidRPr="006234AA">
        <w:rPr>
          <w:lang w:val="nl-NL"/>
        </w:rPr>
        <w:t xml:space="preserve"> như sau:</w:t>
      </w:r>
    </w:p>
    <w:p w:rsidR="00D41EFD" w:rsidRPr="006234AA" w:rsidRDefault="007955D9" w:rsidP="00D41EFD">
      <w:pPr>
        <w:spacing w:after="120"/>
        <w:ind w:firstLine="0"/>
        <w:rPr>
          <w:lang w:val="nl-NL"/>
        </w:rPr>
      </w:pPr>
      <w:r w:rsidRPr="006234AA">
        <w:rPr>
          <w:lang w:val="nl-NL"/>
        </w:rPr>
        <w:t xml:space="preserve">Giá trị </w:t>
      </w:r>
      <w:r w:rsidR="001B2F6E" w:rsidRPr="006234AA">
        <w:rPr>
          <w:lang w:val="nl-NL"/>
        </w:rPr>
        <w:t xml:space="preserve">thanh toán </w:t>
      </w:r>
      <w:r w:rsidRPr="006234AA">
        <w:rPr>
          <w:lang w:val="nl-NL"/>
        </w:rPr>
        <w:t>cuối ngày của hợp đồng = Giá thanh toán cuối ngày × Hệ số nhân của hợp đồng</w:t>
      </w:r>
      <w:r w:rsidR="00E75144" w:rsidRPr="006234AA">
        <w:rPr>
          <w:lang w:val="nl-NL"/>
        </w:rPr>
        <w:t>.</w:t>
      </w:r>
    </w:p>
    <w:p w:rsidR="001B2F6E" w:rsidRPr="006234AA" w:rsidRDefault="001B2F6E" w:rsidP="003C0546">
      <w:pPr>
        <w:spacing w:after="120"/>
        <w:ind w:firstLine="720"/>
        <w:rPr>
          <w:lang w:val="nl-NL"/>
        </w:rPr>
      </w:pPr>
      <w:r w:rsidRPr="006234AA">
        <w:rPr>
          <w:lang w:val="nl-NL"/>
        </w:rPr>
        <w:t>3. Giá trị thanh toán cuối cùng của hợp đồng tương lai chỉ số được xác định như sau:</w:t>
      </w:r>
    </w:p>
    <w:p w:rsidR="001B2F6E" w:rsidRPr="006234AA" w:rsidRDefault="001B2F6E" w:rsidP="003C0546">
      <w:pPr>
        <w:spacing w:after="120"/>
        <w:ind w:firstLine="0"/>
        <w:rPr>
          <w:lang w:val="nl-NL"/>
        </w:rPr>
      </w:pPr>
      <w:r w:rsidRPr="006234AA">
        <w:rPr>
          <w:lang w:val="nl-NL"/>
        </w:rPr>
        <w:t>Giá trị thanh toán cuối cùng của hợp đồng = Giá thanh toán cuối cùng × Hệ số nhân của hợp đồng</w:t>
      </w:r>
      <w:r w:rsidR="00E75144" w:rsidRPr="006234AA">
        <w:rPr>
          <w:lang w:val="nl-NL"/>
        </w:rPr>
        <w:t>.</w:t>
      </w:r>
    </w:p>
    <w:p w:rsidR="00627372" w:rsidRPr="006234AA" w:rsidRDefault="00627372" w:rsidP="003C0546">
      <w:pPr>
        <w:pStyle w:val="Heading4"/>
        <w:spacing w:after="120"/>
      </w:pPr>
      <w:bookmarkStart w:id="50" w:name="_Toc397003308"/>
      <w:bookmarkStart w:id="51" w:name="_Toc422671949"/>
      <w:r w:rsidRPr="006234AA">
        <w:t>Tháng đáo hạn</w:t>
      </w:r>
      <w:bookmarkEnd w:id="50"/>
      <w:r w:rsidR="002C1622" w:rsidRPr="006234AA">
        <w:t>, giờ giao dịch</w:t>
      </w:r>
      <w:bookmarkEnd w:id="51"/>
    </w:p>
    <w:p w:rsidR="00532E70" w:rsidRPr="006234AA" w:rsidRDefault="00532E70" w:rsidP="003C0546">
      <w:pPr>
        <w:spacing w:after="120"/>
        <w:rPr>
          <w:lang w:val="nl-NL"/>
        </w:rPr>
      </w:pPr>
      <w:r w:rsidRPr="006234AA">
        <w:rPr>
          <w:lang w:val="nl-NL"/>
        </w:rPr>
        <w:t xml:space="preserve">1. </w:t>
      </w:r>
      <w:r w:rsidR="00DA70ED" w:rsidRPr="006234AA">
        <w:rPr>
          <w:lang w:val="nl-NL"/>
        </w:rPr>
        <w:t xml:space="preserve">Tùy thuộc vào </w:t>
      </w:r>
      <w:r w:rsidR="00635E2A" w:rsidRPr="006234AA">
        <w:rPr>
          <w:lang w:val="nl-NL"/>
        </w:rPr>
        <w:t xml:space="preserve">từng hợp đồng tương lai chỉ số </w:t>
      </w:r>
      <w:r w:rsidR="00DA70ED" w:rsidRPr="006234AA">
        <w:rPr>
          <w:lang w:val="nl-NL"/>
        </w:rPr>
        <w:t xml:space="preserve">cụ thể, </w:t>
      </w:r>
      <w:r w:rsidRPr="006234AA">
        <w:rPr>
          <w:lang w:val="nl-NL"/>
        </w:rPr>
        <w:t xml:space="preserve">Sở giao dịch chứng khoán </w:t>
      </w:r>
      <w:r w:rsidR="002C1622" w:rsidRPr="006234AA">
        <w:rPr>
          <w:lang w:val="nl-NL"/>
        </w:rPr>
        <w:t xml:space="preserve">được </w:t>
      </w:r>
      <w:r w:rsidRPr="006234AA">
        <w:rPr>
          <w:lang w:val="nl-NL"/>
        </w:rPr>
        <w:t xml:space="preserve">lựa chọn </w:t>
      </w:r>
      <w:r w:rsidR="0061798B" w:rsidRPr="006234AA">
        <w:rPr>
          <w:lang w:val="nl-NL"/>
        </w:rPr>
        <w:t>tháng</w:t>
      </w:r>
      <w:r w:rsidR="002C1622" w:rsidRPr="006234AA">
        <w:rPr>
          <w:lang w:val="nl-NL"/>
        </w:rPr>
        <w:t xml:space="preserve"> đáo hạn vào </w:t>
      </w:r>
      <w:r w:rsidRPr="006234AA">
        <w:rPr>
          <w:lang w:val="nl-NL"/>
        </w:rPr>
        <w:t>tháng hiện tại, tháng kế tiếp</w:t>
      </w:r>
      <w:r w:rsidR="0061798B" w:rsidRPr="006234AA">
        <w:rPr>
          <w:lang w:val="nl-NL"/>
        </w:rPr>
        <w:t>, hoặc</w:t>
      </w:r>
      <w:r w:rsidRPr="006234AA">
        <w:rPr>
          <w:lang w:val="nl-NL"/>
        </w:rPr>
        <w:t xml:space="preserve"> các tháng cuối </w:t>
      </w:r>
      <w:r w:rsidR="0061798B" w:rsidRPr="006234AA">
        <w:rPr>
          <w:lang w:val="nl-NL"/>
        </w:rPr>
        <w:t>q</w:t>
      </w:r>
      <w:r w:rsidRPr="006234AA">
        <w:rPr>
          <w:lang w:val="nl-NL"/>
        </w:rPr>
        <w:t>uý ( tháng 3, tháng 6, tháng 9 và tháng 12).</w:t>
      </w:r>
    </w:p>
    <w:p w:rsidR="00627372" w:rsidRPr="006234AA" w:rsidRDefault="00DA70ED" w:rsidP="003C0546">
      <w:pPr>
        <w:spacing w:after="120"/>
        <w:rPr>
          <w:lang w:val="pt-BR"/>
        </w:rPr>
      </w:pPr>
      <w:r w:rsidRPr="006234AA">
        <w:rPr>
          <w:lang w:val="pt-BR"/>
        </w:rPr>
        <w:t>2. Sở giao dịch chứng khoán hướng dẫn chi tiết về g</w:t>
      </w:r>
      <w:r w:rsidR="00627372" w:rsidRPr="006234AA">
        <w:rPr>
          <w:lang w:val="pt-BR"/>
        </w:rPr>
        <w:t xml:space="preserve">iờ giao dịch </w:t>
      </w:r>
      <w:r w:rsidRPr="006234AA">
        <w:rPr>
          <w:lang w:val="pt-BR"/>
        </w:rPr>
        <w:t>trong các ngày giao dịch thông thường và</w:t>
      </w:r>
      <w:r w:rsidR="00627372" w:rsidRPr="006234AA">
        <w:rPr>
          <w:lang w:val="pt-BR"/>
        </w:rPr>
        <w:t xml:space="preserve"> ngày giao dịch cuối cùng. </w:t>
      </w:r>
    </w:p>
    <w:p w:rsidR="00627372" w:rsidRPr="006234AA" w:rsidRDefault="00627372" w:rsidP="003C0546">
      <w:pPr>
        <w:pStyle w:val="Heading4"/>
        <w:spacing w:after="120"/>
      </w:pPr>
      <w:bookmarkStart w:id="52" w:name="_Toc397003310"/>
      <w:bookmarkStart w:id="53" w:name="_Toc422671950"/>
      <w:r w:rsidRPr="006234AA">
        <w:t>Ngày giao dịch cuối cùng, ngày thanh toán cuối cùng</w:t>
      </w:r>
      <w:bookmarkEnd w:id="52"/>
      <w:bookmarkEnd w:id="53"/>
    </w:p>
    <w:p w:rsidR="00532E70" w:rsidRPr="006234AA" w:rsidRDefault="00532E70" w:rsidP="003C0546">
      <w:pPr>
        <w:spacing w:after="120"/>
        <w:rPr>
          <w:lang w:val="pt-BR"/>
        </w:rPr>
      </w:pPr>
      <w:r w:rsidRPr="006234AA">
        <w:rPr>
          <w:lang w:val="pt-BR"/>
        </w:rPr>
        <w:t xml:space="preserve">1. Ngày giao dịch cuối cùng là </w:t>
      </w:r>
      <w:r w:rsidR="007212E7" w:rsidRPr="006234AA">
        <w:rPr>
          <w:lang w:val="pt-BR"/>
        </w:rPr>
        <w:t xml:space="preserve">một </w:t>
      </w:r>
      <w:r w:rsidRPr="006234AA">
        <w:rPr>
          <w:lang w:val="pt-BR"/>
        </w:rPr>
        <w:t xml:space="preserve">ngày </w:t>
      </w:r>
      <w:r w:rsidR="009724B5" w:rsidRPr="006234AA">
        <w:rPr>
          <w:lang w:val="pt-BR"/>
        </w:rPr>
        <w:t>làm việc</w:t>
      </w:r>
      <w:r w:rsidR="007212E7" w:rsidRPr="006234AA">
        <w:rPr>
          <w:lang w:val="pt-BR"/>
        </w:rPr>
        <w:t xml:space="preserve"> nhất định</w:t>
      </w:r>
      <w:r w:rsidR="009724B5" w:rsidRPr="006234AA">
        <w:rPr>
          <w:lang w:val="pt-BR"/>
        </w:rPr>
        <w:t xml:space="preserve"> </w:t>
      </w:r>
      <w:r w:rsidRPr="006234AA">
        <w:rPr>
          <w:lang w:val="pt-BR"/>
        </w:rPr>
        <w:t>trong tháng đáo hạn do Sở giao dịch chứng khoán quy định cho từng hợp đồng cụ thể</w:t>
      </w:r>
      <w:r w:rsidR="00DA1CA7" w:rsidRPr="006234AA">
        <w:rPr>
          <w:lang w:val="pt-BR"/>
        </w:rPr>
        <w:t xml:space="preserve"> (ngày T)</w:t>
      </w:r>
      <w:r w:rsidRPr="006234AA">
        <w:rPr>
          <w:lang w:val="pt-BR"/>
        </w:rPr>
        <w:t>. Nếu ngày này là ngày nghỉ thì ngày giao dịch cuối cùng sẽ được điều chỉnh sang ngày giao dịch liền kề trước đó. Các hợp đồng đáo hạn trong tháng bị chấm dứt giao dịch ngay sau khi đóng cửa thị trường tại ngày giao dịch cuối cùng hoặc một ngày khác theo quy định của Sở giao dịch chứng khoán.</w:t>
      </w:r>
    </w:p>
    <w:p w:rsidR="00532E70" w:rsidRPr="006234AA" w:rsidRDefault="00532E70" w:rsidP="003C0546">
      <w:pPr>
        <w:spacing w:after="120"/>
        <w:rPr>
          <w:lang w:val="pt-BR"/>
        </w:rPr>
      </w:pPr>
      <w:r w:rsidRPr="006234AA">
        <w:rPr>
          <w:lang w:val="pt-BR"/>
        </w:rPr>
        <w:t>2. Ngày thanh toán cuối cùng là ngày giao dịch kế tiếp ngay sau ngày giao dịch cuối cùng được quy định tại khoản 1 Điều này</w:t>
      </w:r>
      <w:r w:rsidR="00DA1CA7" w:rsidRPr="006234AA">
        <w:rPr>
          <w:lang w:val="pt-BR"/>
        </w:rPr>
        <w:t xml:space="preserve"> (ngày T+1)</w:t>
      </w:r>
      <w:r w:rsidRPr="006234AA">
        <w:rPr>
          <w:lang w:val="pt-BR"/>
        </w:rPr>
        <w:t>. Trường hợp cần thiết</w:t>
      </w:r>
      <w:r w:rsidR="0061798B" w:rsidRPr="006234AA">
        <w:rPr>
          <w:lang w:val="pt-BR"/>
        </w:rPr>
        <w:t xml:space="preserve"> để bảo vệ quyền và lợi ích của nhà đầu tư</w:t>
      </w:r>
      <w:r w:rsidRPr="006234AA">
        <w:rPr>
          <w:lang w:val="pt-BR"/>
        </w:rPr>
        <w:t xml:space="preserve">, Sở giao dịch chứng khoán </w:t>
      </w:r>
      <w:r w:rsidR="0061798B" w:rsidRPr="006234AA">
        <w:rPr>
          <w:lang w:val="pt-BR"/>
        </w:rPr>
        <w:t xml:space="preserve">được </w:t>
      </w:r>
      <w:r w:rsidRPr="006234AA">
        <w:rPr>
          <w:lang w:val="pt-BR"/>
        </w:rPr>
        <w:t xml:space="preserve">thay đổi ngày thanh toán cuối cùng nhưng phải công bố trước </w:t>
      </w:r>
      <w:r w:rsidR="0061798B" w:rsidRPr="006234AA">
        <w:rPr>
          <w:lang w:val="pt-BR"/>
        </w:rPr>
        <w:t xml:space="preserve">ngày dự kiến làm ngày thanh toán cuối cùng </w:t>
      </w:r>
      <w:r w:rsidRPr="006234AA">
        <w:rPr>
          <w:lang w:val="pt-BR"/>
        </w:rPr>
        <w:t xml:space="preserve">ít nhất là </w:t>
      </w:r>
      <w:r w:rsidR="0061798B" w:rsidRPr="006234AA">
        <w:rPr>
          <w:lang w:val="pt-BR"/>
        </w:rPr>
        <w:t>ba mươi (30) ngày</w:t>
      </w:r>
      <w:r w:rsidRPr="006234AA">
        <w:rPr>
          <w:lang w:val="pt-BR"/>
        </w:rPr>
        <w:t>.</w:t>
      </w:r>
    </w:p>
    <w:p w:rsidR="00627372" w:rsidRPr="006234AA" w:rsidRDefault="00627372" w:rsidP="003C0546">
      <w:pPr>
        <w:pStyle w:val="Heading4"/>
        <w:spacing w:after="120"/>
      </w:pPr>
      <w:bookmarkStart w:id="54" w:name="_Toc397003311"/>
      <w:bookmarkStart w:id="55" w:name="_Toc422671951"/>
      <w:r w:rsidRPr="006234AA">
        <w:t>Phương thức thanh toán</w:t>
      </w:r>
      <w:bookmarkEnd w:id="54"/>
      <w:bookmarkEnd w:id="55"/>
    </w:p>
    <w:p w:rsidR="00532E70" w:rsidRPr="006234AA" w:rsidRDefault="00532E70" w:rsidP="003C0546">
      <w:pPr>
        <w:spacing w:after="120"/>
        <w:rPr>
          <w:lang w:val="nl-NL"/>
        </w:rPr>
      </w:pPr>
      <w:r w:rsidRPr="006234AA">
        <w:rPr>
          <w:lang w:val="nl-NL"/>
        </w:rPr>
        <w:t xml:space="preserve">1. Việc thanh toán cho vị thế mở hợp đồng tương lai chỉ số khi đáo hạn được thực hiện bằng tiền theo nguyên tắc sau: </w:t>
      </w:r>
    </w:p>
    <w:p w:rsidR="00532E70" w:rsidRPr="006234AA" w:rsidRDefault="00532E70" w:rsidP="003C0546">
      <w:pPr>
        <w:spacing w:after="120"/>
        <w:rPr>
          <w:lang w:val="nl-NL"/>
        </w:rPr>
      </w:pPr>
      <w:r w:rsidRPr="006234AA">
        <w:rPr>
          <w:lang w:val="nl-NL"/>
        </w:rPr>
        <w:t xml:space="preserve">a) Giá trị thanh toán </w:t>
      </w:r>
      <w:r w:rsidR="00B15C45" w:rsidRPr="006234AA">
        <w:rPr>
          <w:lang w:val="nl-NL"/>
        </w:rPr>
        <w:t xml:space="preserve">đối với các vị thế mở đứng tên thành viên bù trừ được Trung tâm lưu ký chứng khoán </w:t>
      </w:r>
      <w:r w:rsidRPr="006234AA">
        <w:rPr>
          <w:lang w:val="nl-NL"/>
        </w:rPr>
        <w:t>xác định trên cơ sở chênh lệch giá thanh toán cuối ngày tại ngày giao dịch liền trước ngày giao dịch cuối cùng và giá thanh toán cuối c</w:t>
      </w:r>
      <w:r w:rsidR="00B15C45" w:rsidRPr="006234AA">
        <w:rPr>
          <w:lang w:val="nl-NL"/>
        </w:rPr>
        <w:t xml:space="preserve">ùng, nhân với số lượng chứng khoán của vị thế </w:t>
      </w:r>
      <w:r w:rsidRPr="006234AA">
        <w:rPr>
          <w:lang w:val="nl-NL"/>
        </w:rPr>
        <w:t xml:space="preserve">và hệ số </w:t>
      </w:r>
      <w:r w:rsidR="00B15C45" w:rsidRPr="006234AA">
        <w:rPr>
          <w:lang w:val="nl-NL"/>
        </w:rPr>
        <w:t>giá một đơn vị chỉ số.</w:t>
      </w:r>
    </w:p>
    <w:p w:rsidR="00B15C45" w:rsidRPr="006234AA" w:rsidRDefault="00B15C45" w:rsidP="003C0546">
      <w:pPr>
        <w:spacing w:after="120"/>
        <w:rPr>
          <w:lang w:val="nl-NL"/>
        </w:rPr>
      </w:pPr>
      <w:r w:rsidRPr="006234AA">
        <w:rPr>
          <w:lang w:val="nl-NL"/>
        </w:rPr>
        <w:t>Các vị thế mở đứng tên thành viên bù trừ quy định tại điểm này bao gồm vị thế mở trong giao dịch của thành viên bù trừ, vị thế mở của các thành viên không bù trừ, vị thế mở của khách hàng môi giới và khách hàng ủy thác bù trừ, thanh toán;</w:t>
      </w:r>
    </w:p>
    <w:p w:rsidR="00A25E9A" w:rsidRPr="006234AA" w:rsidRDefault="00A25E9A" w:rsidP="003C0546">
      <w:pPr>
        <w:spacing w:after="120"/>
        <w:rPr>
          <w:lang w:val="nl-NL"/>
        </w:rPr>
      </w:pPr>
      <w:r w:rsidRPr="006234AA">
        <w:rPr>
          <w:lang w:val="nl-NL"/>
        </w:rPr>
        <w:lastRenderedPageBreak/>
        <w:t xml:space="preserve">b) Thành viên bù trừ có nghĩa vụ thực hiện thanh toán cho khách hàng ngay sau khi tiếp nhận thanh toán từ Trung tâm Lưu ký chứng khoán. </w:t>
      </w:r>
    </w:p>
    <w:p w:rsidR="00532E70" w:rsidRPr="006234AA" w:rsidRDefault="00532E70" w:rsidP="003C0546">
      <w:pPr>
        <w:spacing w:after="120"/>
        <w:rPr>
          <w:lang w:val="nl-NL"/>
        </w:rPr>
      </w:pPr>
      <w:r w:rsidRPr="006234AA">
        <w:rPr>
          <w:lang w:val="nl-NL"/>
        </w:rPr>
        <w:t xml:space="preserve">2. </w:t>
      </w:r>
      <w:r w:rsidR="005049A4" w:rsidRPr="006234AA">
        <w:rPr>
          <w:lang w:val="nl-NL"/>
        </w:rPr>
        <w:t>T</w:t>
      </w:r>
      <w:r w:rsidRPr="006234AA">
        <w:rPr>
          <w:lang w:val="nl-NL"/>
        </w:rPr>
        <w:t>rình tự</w:t>
      </w:r>
      <w:r w:rsidR="005049A4" w:rsidRPr="006234AA">
        <w:rPr>
          <w:lang w:val="nl-NL"/>
        </w:rPr>
        <w:t>,</w:t>
      </w:r>
      <w:r w:rsidRPr="006234AA">
        <w:rPr>
          <w:lang w:val="nl-NL"/>
        </w:rPr>
        <w:t xml:space="preserve"> thủ tục thanh toán hợp đồng tương lai khi đáo hạn</w:t>
      </w:r>
      <w:r w:rsidR="005049A4" w:rsidRPr="006234AA">
        <w:rPr>
          <w:lang w:val="nl-NL"/>
        </w:rPr>
        <w:t xml:space="preserve"> thực hiện theo quy chế của Trung tâm Lưu ký chứng khoán</w:t>
      </w:r>
      <w:r w:rsidRPr="006234AA">
        <w:rPr>
          <w:lang w:val="nl-NL"/>
        </w:rPr>
        <w:t>.</w:t>
      </w:r>
    </w:p>
    <w:p w:rsidR="00627372" w:rsidRPr="006234AA" w:rsidRDefault="00627372" w:rsidP="003C0546">
      <w:pPr>
        <w:pStyle w:val="Heading4"/>
        <w:spacing w:after="120"/>
      </w:pPr>
      <w:bookmarkStart w:id="56" w:name="_Toc397003312"/>
      <w:bookmarkStart w:id="57" w:name="_Toc422671952"/>
      <w:r w:rsidRPr="006234AA">
        <w:t>Bước giá, đơn vị yết giá</w:t>
      </w:r>
      <w:bookmarkEnd w:id="56"/>
      <w:r w:rsidR="00B15C45" w:rsidRPr="006234AA">
        <w:t>, biên độ dao động giá</w:t>
      </w:r>
      <w:bookmarkEnd w:id="57"/>
    </w:p>
    <w:p w:rsidR="00B15C45" w:rsidRPr="006234AA" w:rsidRDefault="00627372" w:rsidP="003C0546">
      <w:pPr>
        <w:pStyle w:val="ListParagraph"/>
        <w:numPr>
          <w:ilvl w:val="3"/>
          <w:numId w:val="2"/>
        </w:numPr>
        <w:tabs>
          <w:tab w:val="left" w:pos="1134"/>
        </w:tabs>
        <w:spacing w:after="120"/>
        <w:ind w:left="0" w:firstLine="709"/>
        <w:rPr>
          <w:lang w:val="pt-BR"/>
        </w:rPr>
      </w:pPr>
      <w:r w:rsidRPr="006234AA">
        <w:rPr>
          <w:lang w:val="pt-BR"/>
        </w:rPr>
        <w:t xml:space="preserve">Bước giá, đơn vị yết giá của hợp đồng tương lai chỉ số do </w:t>
      </w:r>
      <w:r w:rsidR="009541A8" w:rsidRPr="006234AA">
        <w:rPr>
          <w:lang w:val="pt-BR"/>
        </w:rPr>
        <w:t>Sở giao dịch chứng khoán</w:t>
      </w:r>
      <w:r w:rsidRPr="006234AA">
        <w:rPr>
          <w:lang w:val="pt-BR"/>
        </w:rPr>
        <w:t xml:space="preserve"> quy định cho từng hợp đồng trên cơ sở điểm chỉ số và được quy đổi ra </w:t>
      </w:r>
      <w:r w:rsidR="00A17971" w:rsidRPr="006234AA">
        <w:rPr>
          <w:lang w:val="pt-BR"/>
        </w:rPr>
        <w:t xml:space="preserve">mức </w:t>
      </w:r>
      <w:r w:rsidRPr="006234AA">
        <w:rPr>
          <w:lang w:val="pt-BR"/>
        </w:rPr>
        <w:t xml:space="preserve">tiền tương </w:t>
      </w:r>
      <w:r w:rsidR="00A17971" w:rsidRPr="006234AA">
        <w:rPr>
          <w:lang w:val="pt-BR"/>
        </w:rPr>
        <w:t>ứng</w:t>
      </w:r>
      <w:r w:rsidRPr="006234AA">
        <w:rPr>
          <w:lang w:val="pt-BR"/>
        </w:rPr>
        <w:t>.</w:t>
      </w:r>
    </w:p>
    <w:p w:rsidR="00256C1E" w:rsidRPr="006234AA" w:rsidRDefault="00532E70" w:rsidP="003C0546">
      <w:pPr>
        <w:pStyle w:val="ListParagraph"/>
        <w:numPr>
          <w:ilvl w:val="3"/>
          <w:numId w:val="2"/>
        </w:numPr>
        <w:tabs>
          <w:tab w:val="left" w:pos="1134"/>
        </w:tabs>
        <w:spacing w:after="120"/>
        <w:ind w:left="0" w:firstLine="709"/>
        <w:rPr>
          <w:lang w:val="pt-BR"/>
        </w:rPr>
      </w:pPr>
      <w:r w:rsidRPr="006234AA">
        <w:t>Biên độ dao động giá được xác định theo tỷ lệ phần trăm so với giá tham chiếu của hợp đồng.</w:t>
      </w:r>
      <w:r w:rsidR="00256C1E" w:rsidRPr="006234AA">
        <w:t xml:space="preserve"> </w:t>
      </w:r>
      <w:r w:rsidRPr="006234AA">
        <w:rPr>
          <w:lang w:val="pt-BR"/>
        </w:rPr>
        <w:t xml:space="preserve">Sở giao dịch chứng khoán </w:t>
      </w:r>
      <w:r w:rsidR="00256C1E" w:rsidRPr="006234AA">
        <w:rPr>
          <w:lang w:val="pt-BR"/>
        </w:rPr>
        <w:t>được điều chỉnh biên độ dao động giá sau khi Ủy ban Chứng khoán Nhà nước chấp thuận</w:t>
      </w:r>
      <w:r w:rsidRPr="006234AA">
        <w:rPr>
          <w:lang w:val="pt-BR"/>
        </w:rPr>
        <w:t xml:space="preserve">. </w:t>
      </w:r>
    </w:p>
    <w:p w:rsidR="00256C1E" w:rsidRPr="006234AA" w:rsidRDefault="00532E70" w:rsidP="003C0546">
      <w:pPr>
        <w:pStyle w:val="ListParagraph"/>
        <w:numPr>
          <w:ilvl w:val="3"/>
          <w:numId w:val="2"/>
        </w:numPr>
        <w:tabs>
          <w:tab w:val="left" w:pos="1134"/>
        </w:tabs>
        <w:spacing w:after="120"/>
        <w:ind w:left="0" w:firstLine="709"/>
        <w:rPr>
          <w:lang w:val="pt-BR"/>
        </w:rPr>
      </w:pPr>
      <w:r w:rsidRPr="006234AA">
        <w:t xml:space="preserve">Biên độ dao động giá có thể được xác lập riêng cho ngày phát sinh giao dịch đầu tiên, ngày giao dịch cuối cùng và cho ngày giao dịch khác. </w:t>
      </w:r>
    </w:p>
    <w:p w:rsidR="00532E70" w:rsidRPr="006234AA" w:rsidRDefault="00532E70" w:rsidP="003C0546">
      <w:pPr>
        <w:pStyle w:val="ListParagraph"/>
        <w:numPr>
          <w:ilvl w:val="3"/>
          <w:numId w:val="2"/>
        </w:numPr>
        <w:tabs>
          <w:tab w:val="left" w:pos="1134"/>
        </w:tabs>
        <w:spacing w:after="120"/>
        <w:ind w:left="0" w:firstLine="709"/>
        <w:rPr>
          <w:lang w:val="pt-BR"/>
        </w:rPr>
      </w:pPr>
      <w:r w:rsidRPr="006234AA">
        <w:t>Biên độ dao động giá không áp dụng trong giao dịch các trường hợp sau:</w:t>
      </w:r>
    </w:p>
    <w:p w:rsidR="00532E70" w:rsidRPr="006234AA" w:rsidRDefault="00532E70" w:rsidP="003C0546">
      <w:pPr>
        <w:spacing w:after="120"/>
        <w:ind w:firstLine="709"/>
        <w:rPr>
          <w:lang w:val="nl-NL"/>
        </w:rPr>
      </w:pPr>
      <w:r w:rsidRPr="006234AA">
        <w:rPr>
          <w:lang w:val="nl-NL"/>
        </w:rPr>
        <w:t xml:space="preserve">a) Là hợp đồng tương lai đáo hạn trong tháng hiện tại; </w:t>
      </w:r>
    </w:p>
    <w:p w:rsidR="00532E70" w:rsidRPr="006234AA" w:rsidRDefault="00532E70" w:rsidP="003C0546">
      <w:pPr>
        <w:spacing w:after="120"/>
        <w:ind w:firstLine="709"/>
        <w:rPr>
          <w:lang w:val="nl-NL"/>
        </w:rPr>
      </w:pPr>
      <w:r w:rsidRPr="006234AA">
        <w:rPr>
          <w:lang w:val="nl-NL"/>
        </w:rPr>
        <w:t>b) Là hợp đồng tương lai đáo hạn trong tháng kế tiếp trong năm (05) ngày giao dịch liền kề trước ngày giao dịch cuối cùng của hợp đồng tương lai trong tháng hiện tại;</w:t>
      </w:r>
    </w:p>
    <w:p w:rsidR="00532E70" w:rsidRPr="006234AA" w:rsidRDefault="00532E70" w:rsidP="003C0546">
      <w:pPr>
        <w:spacing w:after="120"/>
        <w:ind w:firstLine="709"/>
        <w:rPr>
          <w:lang w:val="nl-NL"/>
        </w:rPr>
      </w:pPr>
      <w:r w:rsidRPr="006234AA">
        <w:rPr>
          <w:lang w:val="nl-NL"/>
        </w:rPr>
        <w:t>c) Các trường hợp khác nếu Sở giao dịch chứng khoán xét thấy là cần thiết và sau khi được Ủy ban Chứng khoán Nhà nước chấp thuận.</w:t>
      </w:r>
    </w:p>
    <w:p w:rsidR="00627372" w:rsidRPr="006234AA" w:rsidRDefault="00627372" w:rsidP="003C0546">
      <w:pPr>
        <w:pStyle w:val="Heading4"/>
        <w:spacing w:after="120"/>
        <w:ind w:left="0" w:firstLine="567"/>
      </w:pPr>
      <w:bookmarkStart w:id="58" w:name="_Toc397003314"/>
      <w:bookmarkStart w:id="59" w:name="_Toc422671953"/>
      <w:r w:rsidRPr="006234AA">
        <w:t>Giá</w:t>
      </w:r>
      <w:r w:rsidR="00092C8D" w:rsidRPr="006234AA">
        <w:t xml:space="preserve"> tham chiếu</w:t>
      </w:r>
      <w:bookmarkEnd w:id="58"/>
      <w:r w:rsidR="004E033C" w:rsidRPr="006234AA">
        <w:t>, giá thanh toán cuối ngày</w:t>
      </w:r>
      <w:r w:rsidR="004834AE" w:rsidRPr="006234AA">
        <w:t>, giá thanh toán cuối cùng</w:t>
      </w:r>
      <w:bookmarkEnd w:id="59"/>
    </w:p>
    <w:p w:rsidR="00532E70" w:rsidRPr="006234AA" w:rsidRDefault="00532E70" w:rsidP="003C0546">
      <w:pPr>
        <w:spacing w:after="120"/>
        <w:rPr>
          <w:lang w:val="nl-NL"/>
        </w:rPr>
      </w:pPr>
      <w:r w:rsidRPr="006234AA">
        <w:rPr>
          <w:lang w:val="nl-NL"/>
        </w:rPr>
        <w:t>1. Giá tham chiếu của hợp đồng tương lai chỉ số được Sở giao dịch chứng khoán xác định</w:t>
      </w:r>
      <w:r w:rsidR="004E033C" w:rsidRPr="006234AA">
        <w:rPr>
          <w:lang w:val="nl-NL"/>
        </w:rPr>
        <w:t xml:space="preserve"> </w:t>
      </w:r>
      <w:r w:rsidRPr="006234AA">
        <w:rPr>
          <w:lang w:val="nl-NL"/>
        </w:rPr>
        <w:t>h</w:t>
      </w:r>
      <w:r w:rsidR="00C32585" w:rsidRPr="006234AA">
        <w:rPr>
          <w:lang w:val="nl-NL"/>
        </w:rPr>
        <w:t>ằng ngày theo nguyên tắc sau:</w:t>
      </w:r>
    </w:p>
    <w:p w:rsidR="00C32585" w:rsidRPr="006234AA" w:rsidRDefault="00C32585" w:rsidP="003C0546">
      <w:pPr>
        <w:spacing w:after="120"/>
        <w:rPr>
          <w:lang w:val="nl-NL"/>
        </w:rPr>
      </w:pPr>
      <w:r w:rsidRPr="006234AA">
        <w:rPr>
          <w:lang w:val="nl-NL"/>
        </w:rPr>
        <w:t>a) C</w:t>
      </w:r>
      <w:r w:rsidR="00532E70" w:rsidRPr="006234AA">
        <w:rPr>
          <w:lang w:val="nl-NL"/>
        </w:rPr>
        <w:t xml:space="preserve">ho </w:t>
      </w:r>
      <w:r w:rsidRPr="006234AA">
        <w:rPr>
          <w:lang w:val="nl-NL"/>
        </w:rPr>
        <w:t xml:space="preserve">tới khi </w:t>
      </w:r>
      <w:r w:rsidR="00532E70" w:rsidRPr="006234AA">
        <w:rPr>
          <w:lang w:val="nl-NL"/>
        </w:rPr>
        <w:t xml:space="preserve">phát sinh giao dịch đầu tiên của hợp đồng, giá tham chiếu là giá lý thuyết của hợp đồng xác định theo quy định tại </w:t>
      </w:r>
      <w:r w:rsidR="004162A5" w:rsidRPr="006234AA">
        <w:rPr>
          <w:lang w:val="nl-NL"/>
        </w:rPr>
        <w:t>P</w:t>
      </w:r>
      <w:r w:rsidR="00532E70" w:rsidRPr="006234AA">
        <w:rPr>
          <w:lang w:val="nl-NL"/>
        </w:rPr>
        <w:t xml:space="preserve">hụ lục số </w:t>
      </w:r>
      <w:r w:rsidR="00F407AD" w:rsidRPr="006234AA">
        <w:rPr>
          <w:lang w:val="nl-NL"/>
        </w:rPr>
        <w:t>11</w:t>
      </w:r>
      <w:r w:rsidR="004162A5" w:rsidRPr="006234AA">
        <w:rPr>
          <w:lang w:val="nl-NL"/>
        </w:rPr>
        <w:t xml:space="preserve"> </w:t>
      </w:r>
      <w:r w:rsidR="00532E70" w:rsidRPr="006234AA">
        <w:rPr>
          <w:lang w:val="nl-NL"/>
        </w:rPr>
        <w:t>ban hành kèm theo Thông tư này</w:t>
      </w:r>
      <w:r w:rsidRPr="006234AA">
        <w:rPr>
          <w:lang w:val="nl-NL"/>
        </w:rPr>
        <w:t>;</w:t>
      </w:r>
    </w:p>
    <w:p w:rsidR="004E033C" w:rsidRPr="006234AA" w:rsidRDefault="00C32585" w:rsidP="003C0546">
      <w:pPr>
        <w:spacing w:after="120"/>
        <w:rPr>
          <w:lang w:val="nl-NL"/>
        </w:rPr>
      </w:pPr>
      <w:r w:rsidRPr="006234AA">
        <w:rPr>
          <w:lang w:val="nl-NL"/>
        </w:rPr>
        <w:t>b)</w:t>
      </w:r>
      <w:r w:rsidR="004E033C" w:rsidRPr="006234AA">
        <w:rPr>
          <w:lang w:val="nl-NL"/>
        </w:rPr>
        <w:t xml:space="preserve"> </w:t>
      </w:r>
      <w:r w:rsidR="00532E70" w:rsidRPr="006234AA">
        <w:rPr>
          <w:lang w:val="nl-NL"/>
        </w:rPr>
        <w:t xml:space="preserve">Sau ngày phát sinh giao dịch đầu tiên, giá tham chiếu là giá thanh toán </w:t>
      </w:r>
      <w:r w:rsidR="004E033C" w:rsidRPr="006234AA">
        <w:rPr>
          <w:lang w:val="nl-NL"/>
        </w:rPr>
        <w:t xml:space="preserve">cuối ngày </w:t>
      </w:r>
      <w:r w:rsidR="00532E70" w:rsidRPr="006234AA">
        <w:rPr>
          <w:lang w:val="nl-NL"/>
        </w:rPr>
        <w:t>của ngày giao dịch liền trước.</w:t>
      </w:r>
    </w:p>
    <w:p w:rsidR="00627372" w:rsidRPr="006234AA" w:rsidRDefault="00C32585" w:rsidP="003C0546">
      <w:pPr>
        <w:spacing w:after="120"/>
        <w:rPr>
          <w:lang w:val="nl-NL"/>
        </w:rPr>
      </w:pPr>
      <w:r w:rsidRPr="006234AA">
        <w:rPr>
          <w:lang w:val="nl-NL"/>
        </w:rPr>
        <w:t>2</w:t>
      </w:r>
      <w:r w:rsidR="00532E70" w:rsidRPr="006234AA">
        <w:rPr>
          <w:lang w:val="pt-BR"/>
        </w:rPr>
        <w:t>. Giá thanh toán cuối ngày</w:t>
      </w:r>
      <w:r w:rsidR="004834AE" w:rsidRPr="006234AA">
        <w:rPr>
          <w:lang w:val="pt-BR"/>
        </w:rPr>
        <w:t>, giá thanh toán cuối cùng</w:t>
      </w:r>
      <w:r w:rsidR="00532E70" w:rsidRPr="006234AA">
        <w:rPr>
          <w:lang w:val="pt-BR"/>
        </w:rPr>
        <w:t xml:space="preserve"> của hợp đồng tương lai chỉ số </w:t>
      </w:r>
      <w:r w:rsidRPr="006234AA">
        <w:rPr>
          <w:lang w:val="pt-BR"/>
        </w:rPr>
        <w:t>do</w:t>
      </w:r>
      <w:r w:rsidR="00532E70" w:rsidRPr="006234AA">
        <w:rPr>
          <w:lang w:val="pt-BR"/>
        </w:rPr>
        <w:t xml:space="preserve"> Sở giao dịch chứng khoán</w:t>
      </w:r>
      <w:r w:rsidR="000F7AC9" w:rsidRPr="006234AA">
        <w:rPr>
          <w:lang w:val="nl-NL"/>
        </w:rPr>
        <w:t xml:space="preserve"> xác định</w:t>
      </w:r>
      <w:r w:rsidR="008D000E" w:rsidRPr="006234AA">
        <w:rPr>
          <w:lang w:val="nl-NL"/>
        </w:rPr>
        <w:t xml:space="preserve"> theo </w:t>
      </w:r>
      <w:r w:rsidR="00640304" w:rsidRPr="006234AA">
        <w:rPr>
          <w:lang w:val="nl-NL"/>
        </w:rPr>
        <w:t xml:space="preserve">quy chế của </w:t>
      </w:r>
      <w:r w:rsidR="004834AE" w:rsidRPr="006234AA">
        <w:rPr>
          <w:lang w:val="nl-NL"/>
        </w:rPr>
        <w:t>Sở giao dịch chứng khoán</w:t>
      </w:r>
      <w:r w:rsidR="00640304" w:rsidRPr="006234AA">
        <w:rPr>
          <w:lang w:val="nl-NL"/>
        </w:rPr>
        <w:t xml:space="preserve">. </w:t>
      </w:r>
    </w:p>
    <w:p w:rsidR="00A51E79" w:rsidRPr="006234AA" w:rsidRDefault="00A51E79" w:rsidP="003C0546">
      <w:pPr>
        <w:spacing w:after="120"/>
        <w:rPr>
          <w:lang w:val="nl-NL"/>
        </w:rPr>
      </w:pPr>
    </w:p>
    <w:p w:rsidR="00627372" w:rsidRPr="006234AA" w:rsidRDefault="00627372" w:rsidP="003C0546">
      <w:pPr>
        <w:pStyle w:val="Heading3"/>
        <w:spacing w:after="120"/>
      </w:pPr>
      <w:bookmarkStart w:id="60" w:name="_Toc397003317"/>
      <w:bookmarkStart w:id="61" w:name="_Toc422671954"/>
      <w:r w:rsidRPr="006234AA">
        <w:t>Mục 2</w:t>
      </w:r>
      <w:bookmarkEnd w:id="60"/>
      <w:bookmarkEnd w:id="61"/>
    </w:p>
    <w:p w:rsidR="00627372" w:rsidRPr="006234AA" w:rsidRDefault="00627372" w:rsidP="003C0546">
      <w:pPr>
        <w:pStyle w:val="Heading3"/>
        <w:spacing w:after="120"/>
      </w:pPr>
      <w:bookmarkStart w:id="62" w:name="_Toc397003318"/>
      <w:bookmarkStart w:id="63" w:name="_Toc422671955"/>
      <w:r w:rsidRPr="006234AA">
        <w:t>HỢP ĐỒNG TƯƠNG LAI TRÁI PHIẾU CHÍNH PHỦ</w:t>
      </w:r>
      <w:bookmarkEnd w:id="62"/>
      <w:bookmarkEnd w:id="63"/>
    </w:p>
    <w:p w:rsidR="00EF58EA" w:rsidRPr="006234AA" w:rsidRDefault="00EF58EA" w:rsidP="003C0546">
      <w:pPr>
        <w:spacing w:after="120"/>
        <w:rPr>
          <w:lang w:val="nl-NL"/>
        </w:rPr>
      </w:pPr>
    </w:p>
    <w:p w:rsidR="00627372" w:rsidRPr="006234AA" w:rsidRDefault="00471708" w:rsidP="003C0546">
      <w:pPr>
        <w:pStyle w:val="Heading4"/>
        <w:spacing w:after="120"/>
      </w:pPr>
      <w:bookmarkStart w:id="64" w:name="_Toc397003319"/>
      <w:bookmarkStart w:id="65" w:name="_Toc422671956"/>
      <w:r w:rsidRPr="006234AA">
        <w:lastRenderedPageBreak/>
        <w:t>Nội dung h</w:t>
      </w:r>
      <w:r w:rsidR="00627372" w:rsidRPr="006234AA">
        <w:t>ợp đồng</w:t>
      </w:r>
      <w:r w:rsidRPr="006234AA">
        <w:t xml:space="preserve"> tương lai trái phiếu Chính phủ</w:t>
      </w:r>
      <w:bookmarkEnd w:id="64"/>
      <w:bookmarkEnd w:id="65"/>
    </w:p>
    <w:p w:rsidR="00532E70" w:rsidRPr="006234AA" w:rsidRDefault="00532E70" w:rsidP="003C0546">
      <w:pPr>
        <w:spacing w:after="120"/>
        <w:rPr>
          <w:lang w:val="nl-NL"/>
        </w:rPr>
      </w:pPr>
      <w:r w:rsidRPr="006234AA">
        <w:rPr>
          <w:lang w:val="nl-NL"/>
        </w:rPr>
        <w:t>1. Hợp đồng tương lai trái phiếu được Sở giao dịch chứng khoán xác lập bao gồm tối thiểu các nội dung sau:</w:t>
      </w:r>
    </w:p>
    <w:p w:rsidR="00532E70" w:rsidRPr="006234AA" w:rsidRDefault="00532E70" w:rsidP="003C0546">
      <w:pPr>
        <w:spacing w:after="120"/>
        <w:rPr>
          <w:lang w:val="nl-NL"/>
        </w:rPr>
      </w:pPr>
      <w:r w:rsidRPr="006234AA">
        <w:rPr>
          <w:lang w:val="nl-NL"/>
        </w:rPr>
        <w:t>a) Tên hợp đồng;</w:t>
      </w:r>
    </w:p>
    <w:p w:rsidR="00532E70" w:rsidRPr="006234AA" w:rsidRDefault="00532E70" w:rsidP="003C0546">
      <w:pPr>
        <w:spacing w:after="120"/>
        <w:rPr>
          <w:lang w:val="nl-NL"/>
        </w:rPr>
      </w:pPr>
      <w:r w:rsidRPr="006234AA">
        <w:rPr>
          <w:lang w:val="nl-NL"/>
        </w:rPr>
        <w:t>b) Mã hợp đồng;</w:t>
      </w:r>
    </w:p>
    <w:p w:rsidR="00532E70" w:rsidRPr="006234AA" w:rsidRDefault="00532E70" w:rsidP="003C0546">
      <w:pPr>
        <w:spacing w:after="120"/>
        <w:rPr>
          <w:lang w:val="nl-NL"/>
        </w:rPr>
      </w:pPr>
      <w:r w:rsidRPr="006234AA">
        <w:rPr>
          <w:lang w:val="nl-NL"/>
        </w:rPr>
        <w:t>c) Tài sản cơ sở;</w:t>
      </w:r>
    </w:p>
    <w:p w:rsidR="00532E70" w:rsidRPr="006234AA" w:rsidRDefault="00532E70" w:rsidP="003C0546">
      <w:pPr>
        <w:spacing w:after="120"/>
        <w:rPr>
          <w:lang w:val="nl-NL"/>
        </w:rPr>
      </w:pPr>
      <w:r w:rsidRPr="006234AA">
        <w:rPr>
          <w:lang w:val="nl-NL"/>
        </w:rPr>
        <w:t>d) Trái phiếu chuyển giao;</w:t>
      </w:r>
    </w:p>
    <w:p w:rsidR="00532E70" w:rsidRPr="006234AA" w:rsidRDefault="00532E70" w:rsidP="003C0546">
      <w:pPr>
        <w:spacing w:after="120"/>
        <w:rPr>
          <w:lang w:val="nl-NL"/>
        </w:rPr>
      </w:pPr>
      <w:r w:rsidRPr="006234AA">
        <w:rPr>
          <w:lang w:val="nl-NL"/>
        </w:rPr>
        <w:t>đ) Giá trị hợp đồng;</w:t>
      </w:r>
    </w:p>
    <w:p w:rsidR="00532E70" w:rsidRPr="006234AA" w:rsidRDefault="00532E70" w:rsidP="003C0546">
      <w:pPr>
        <w:spacing w:after="120"/>
        <w:rPr>
          <w:lang w:val="nl-NL"/>
        </w:rPr>
      </w:pPr>
      <w:r w:rsidRPr="006234AA">
        <w:rPr>
          <w:lang w:val="nl-NL"/>
        </w:rPr>
        <w:t>e) Tháng đáo hạn;</w:t>
      </w:r>
    </w:p>
    <w:p w:rsidR="00532E70" w:rsidRPr="006234AA" w:rsidRDefault="00532E70" w:rsidP="003C0546">
      <w:pPr>
        <w:spacing w:after="120"/>
        <w:rPr>
          <w:lang w:val="nl-NL"/>
        </w:rPr>
      </w:pPr>
      <w:r w:rsidRPr="006234AA">
        <w:rPr>
          <w:lang w:val="nl-NL"/>
        </w:rPr>
        <w:t>g) Giờ giao dịch;</w:t>
      </w:r>
    </w:p>
    <w:p w:rsidR="00532E70" w:rsidRPr="006234AA" w:rsidRDefault="00532E70" w:rsidP="003C0546">
      <w:pPr>
        <w:spacing w:after="120"/>
        <w:rPr>
          <w:lang w:val="nl-NL"/>
        </w:rPr>
      </w:pPr>
      <w:r w:rsidRPr="006234AA">
        <w:rPr>
          <w:lang w:val="nl-NL"/>
        </w:rPr>
        <w:t>h) Ngày giao dịch cuối cùng</w:t>
      </w:r>
      <w:r w:rsidR="00DA1CA7" w:rsidRPr="006234AA">
        <w:rPr>
          <w:lang w:val="nl-NL"/>
        </w:rPr>
        <w:t xml:space="preserve"> (last trading day)</w:t>
      </w:r>
      <w:r w:rsidRPr="006234AA">
        <w:rPr>
          <w:lang w:val="nl-NL"/>
        </w:rPr>
        <w:t>;</w:t>
      </w:r>
    </w:p>
    <w:p w:rsidR="00532E70" w:rsidRPr="006234AA" w:rsidRDefault="00532E70" w:rsidP="003C0546">
      <w:pPr>
        <w:spacing w:after="120"/>
        <w:rPr>
          <w:lang w:val="nl-NL"/>
        </w:rPr>
      </w:pPr>
      <w:r w:rsidRPr="006234AA">
        <w:rPr>
          <w:lang w:val="nl-NL"/>
        </w:rPr>
        <w:t>i) Ngày thanh toán cuối cùng</w:t>
      </w:r>
      <w:r w:rsidR="00DA1CA7" w:rsidRPr="006234AA">
        <w:rPr>
          <w:lang w:val="nl-NL"/>
        </w:rPr>
        <w:t xml:space="preserve"> (final settlement day)</w:t>
      </w:r>
      <w:r w:rsidRPr="006234AA">
        <w:rPr>
          <w:lang w:val="nl-NL"/>
        </w:rPr>
        <w:t>;</w:t>
      </w:r>
    </w:p>
    <w:p w:rsidR="00532E70" w:rsidRPr="006234AA" w:rsidRDefault="00532E70" w:rsidP="003C0546">
      <w:pPr>
        <w:spacing w:after="120"/>
        <w:rPr>
          <w:lang w:val="nl-NL"/>
        </w:rPr>
      </w:pPr>
      <w:r w:rsidRPr="006234AA">
        <w:rPr>
          <w:lang w:val="nl-NL"/>
        </w:rPr>
        <w:t>k) Phương thức thanh toán;</w:t>
      </w:r>
    </w:p>
    <w:p w:rsidR="00532E70" w:rsidRPr="006234AA" w:rsidRDefault="00532E70" w:rsidP="003C0546">
      <w:pPr>
        <w:spacing w:after="120"/>
        <w:rPr>
          <w:lang w:val="nl-NL"/>
        </w:rPr>
      </w:pPr>
      <w:r w:rsidRPr="006234AA">
        <w:rPr>
          <w:lang w:val="nl-NL"/>
        </w:rPr>
        <w:t>l) Bước giá, đơn vị yết giá;</w:t>
      </w:r>
    </w:p>
    <w:p w:rsidR="00532E70" w:rsidRPr="006234AA" w:rsidRDefault="00532E70" w:rsidP="003C0546">
      <w:pPr>
        <w:spacing w:after="120"/>
        <w:rPr>
          <w:lang w:val="nl-NL"/>
        </w:rPr>
      </w:pPr>
      <w:r w:rsidRPr="006234AA">
        <w:rPr>
          <w:lang w:val="nl-NL"/>
        </w:rPr>
        <w:t>m) Biên độ dao động giá;</w:t>
      </w:r>
    </w:p>
    <w:p w:rsidR="00532E70" w:rsidRPr="006234AA" w:rsidRDefault="00532E70" w:rsidP="003C0546">
      <w:pPr>
        <w:spacing w:after="120"/>
        <w:rPr>
          <w:lang w:val="nl-NL"/>
        </w:rPr>
      </w:pPr>
      <w:r w:rsidRPr="006234AA">
        <w:rPr>
          <w:lang w:val="nl-NL"/>
        </w:rPr>
        <w:t>n) Giới hạn vị thế;</w:t>
      </w:r>
    </w:p>
    <w:p w:rsidR="00532E70" w:rsidRPr="006234AA" w:rsidRDefault="00532E70" w:rsidP="003C0546">
      <w:pPr>
        <w:spacing w:after="120"/>
        <w:rPr>
          <w:lang w:val="nl-NL"/>
        </w:rPr>
      </w:pPr>
      <w:r w:rsidRPr="006234AA">
        <w:rPr>
          <w:lang w:val="nl-NL"/>
        </w:rPr>
        <w:t>o) Ngày niêm yết;</w:t>
      </w:r>
    </w:p>
    <w:p w:rsidR="00532E70" w:rsidRPr="006234AA" w:rsidRDefault="00532E70" w:rsidP="003C0546">
      <w:pPr>
        <w:spacing w:after="120"/>
        <w:rPr>
          <w:lang w:val="nl-NL"/>
        </w:rPr>
      </w:pPr>
      <w:r w:rsidRPr="006234AA">
        <w:rPr>
          <w:lang w:val="nl-NL"/>
        </w:rPr>
        <w:t>p) Phương pháp xác định giá thanh toán cuối ngày ;</w:t>
      </w:r>
    </w:p>
    <w:p w:rsidR="00532E70" w:rsidRPr="006234AA" w:rsidRDefault="00532E70" w:rsidP="003C0546">
      <w:pPr>
        <w:spacing w:after="120"/>
        <w:rPr>
          <w:lang w:val="nl-NL"/>
        </w:rPr>
      </w:pPr>
      <w:r w:rsidRPr="006234AA">
        <w:rPr>
          <w:lang w:val="nl-NL"/>
        </w:rPr>
        <w:t>q) Phương pháp xác định giá thanh toán cuối cùng.</w:t>
      </w:r>
    </w:p>
    <w:p w:rsidR="00532E70" w:rsidRPr="006234AA" w:rsidRDefault="00532E70" w:rsidP="003C0546">
      <w:pPr>
        <w:spacing w:after="120"/>
        <w:rPr>
          <w:lang w:val="nl-NL"/>
        </w:rPr>
      </w:pPr>
      <w:r w:rsidRPr="006234AA">
        <w:rPr>
          <w:lang w:val="nl-NL"/>
        </w:rPr>
        <w:t xml:space="preserve">2. </w:t>
      </w:r>
      <w:r w:rsidR="0074239C" w:rsidRPr="006234AA">
        <w:rPr>
          <w:lang w:val="nl-NL"/>
        </w:rPr>
        <w:t xml:space="preserve">Chi tiết nội dung </w:t>
      </w:r>
      <w:r w:rsidRPr="006234AA">
        <w:rPr>
          <w:lang w:val="nl-NL"/>
        </w:rPr>
        <w:t xml:space="preserve">hợp đồng tương lai trái phiếu thực hiện theo hướng dẫn tại </w:t>
      </w:r>
      <w:r w:rsidR="004162A5" w:rsidRPr="006234AA">
        <w:rPr>
          <w:lang w:val="nl-NL"/>
        </w:rPr>
        <w:t>P</w:t>
      </w:r>
      <w:r w:rsidRPr="006234AA">
        <w:rPr>
          <w:lang w:val="nl-NL"/>
        </w:rPr>
        <w:t>hụ lục số 2 ban hành kèm theo Thông tư này</w:t>
      </w:r>
      <w:r w:rsidR="0074239C" w:rsidRPr="006234AA">
        <w:rPr>
          <w:lang w:val="nl-NL"/>
        </w:rPr>
        <w:t xml:space="preserve"> và được Ủy ban Chứng khoán Nhà nước chấp thuận trước khi đưa vào giao dịch</w:t>
      </w:r>
      <w:r w:rsidRPr="006234AA">
        <w:rPr>
          <w:lang w:val="nl-NL"/>
        </w:rPr>
        <w:t>.</w:t>
      </w:r>
    </w:p>
    <w:p w:rsidR="00627372" w:rsidRPr="006234AA" w:rsidRDefault="00616959" w:rsidP="003C0546">
      <w:pPr>
        <w:pStyle w:val="Heading4"/>
        <w:spacing w:after="120"/>
      </w:pPr>
      <w:bookmarkStart w:id="66" w:name="_Toc397003320"/>
      <w:bookmarkStart w:id="67" w:name="_Toc422671957"/>
      <w:r w:rsidRPr="006234AA">
        <w:t>T</w:t>
      </w:r>
      <w:r w:rsidR="00627372" w:rsidRPr="006234AA">
        <w:t>ài sản cơ sở</w:t>
      </w:r>
      <w:bookmarkEnd w:id="66"/>
      <w:r w:rsidR="004A19EC" w:rsidRPr="006234AA">
        <w:t>, tài sản có thể chuyển giao</w:t>
      </w:r>
      <w:bookmarkEnd w:id="67"/>
    </w:p>
    <w:p w:rsidR="00532E70" w:rsidRPr="006234AA" w:rsidRDefault="00532E70" w:rsidP="003C0546">
      <w:pPr>
        <w:spacing w:after="120"/>
        <w:rPr>
          <w:lang w:val="nl-NL"/>
        </w:rPr>
      </w:pPr>
      <w:r w:rsidRPr="006234AA">
        <w:rPr>
          <w:lang w:val="nl-NL"/>
        </w:rPr>
        <w:t xml:space="preserve">1. </w:t>
      </w:r>
      <w:r w:rsidR="008A77F5" w:rsidRPr="006234AA">
        <w:rPr>
          <w:lang w:val="nl-NL"/>
        </w:rPr>
        <w:t xml:space="preserve">Tài sản cơ sở của </w:t>
      </w:r>
      <w:r w:rsidRPr="006234AA">
        <w:rPr>
          <w:lang w:val="nl-NL"/>
        </w:rPr>
        <w:t xml:space="preserve">hợp đồng tương lai trái phiếu </w:t>
      </w:r>
      <w:r w:rsidR="008A77F5" w:rsidRPr="006234AA">
        <w:rPr>
          <w:lang w:val="nl-NL"/>
        </w:rPr>
        <w:t>C</w:t>
      </w:r>
      <w:r w:rsidRPr="006234AA">
        <w:rPr>
          <w:lang w:val="nl-NL"/>
        </w:rPr>
        <w:t xml:space="preserve">hính phủ </w:t>
      </w:r>
      <w:r w:rsidR="000041B5" w:rsidRPr="006234AA">
        <w:rPr>
          <w:lang w:val="nl-NL"/>
        </w:rPr>
        <w:t xml:space="preserve">là trái phiếu Chính phủ hoặc là loại trái phiếu </w:t>
      </w:r>
      <w:r w:rsidR="00401EAF" w:rsidRPr="006234AA">
        <w:rPr>
          <w:lang w:val="nl-NL"/>
        </w:rPr>
        <w:t xml:space="preserve">giả định </w:t>
      </w:r>
      <w:r w:rsidR="000041B5" w:rsidRPr="006234AA">
        <w:rPr>
          <w:lang w:val="nl-NL"/>
        </w:rPr>
        <w:t xml:space="preserve">có một số đặc trưng cơ bản của các trái phiếu Chính phủ đang giao dịch trên thị trường cơ sở. </w:t>
      </w:r>
    </w:p>
    <w:p w:rsidR="00532E70" w:rsidRPr="006234AA" w:rsidRDefault="00532E70" w:rsidP="003C0546">
      <w:pPr>
        <w:spacing w:after="120"/>
        <w:rPr>
          <w:lang w:val="nl-NL"/>
        </w:rPr>
      </w:pPr>
      <w:r w:rsidRPr="006234AA">
        <w:rPr>
          <w:lang w:val="nl-NL"/>
        </w:rPr>
        <w:t>2.</w:t>
      </w:r>
      <w:r w:rsidR="000041B5" w:rsidRPr="006234AA">
        <w:rPr>
          <w:lang w:val="nl-NL"/>
        </w:rPr>
        <w:t xml:space="preserve"> Sở giao dịch chứng khoán quyết định tiêu chí lựa chọn các đặc trưng, thông số về tài sản</w:t>
      </w:r>
      <w:r w:rsidR="00174EEF" w:rsidRPr="006234AA">
        <w:rPr>
          <w:lang w:val="nl-NL"/>
        </w:rPr>
        <w:t xml:space="preserve"> cơ sở </w:t>
      </w:r>
      <w:r w:rsidR="000041B5" w:rsidRPr="006234AA">
        <w:rPr>
          <w:lang w:val="nl-NL"/>
        </w:rPr>
        <w:t xml:space="preserve">của </w:t>
      </w:r>
      <w:r w:rsidR="00174EEF" w:rsidRPr="006234AA">
        <w:rPr>
          <w:lang w:val="nl-NL"/>
        </w:rPr>
        <w:t xml:space="preserve">hợp đồng tương lai trái phiếu chính phủ </w:t>
      </w:r>
      <w:r w:rsidR="000041B5" w:rsidRPr="006234AA">
        <w:rPr>
          <w:lang w:val="nl-NL"/>
        </w:rPr>
        <w:t>sau khi Ủy ban Chứng khoán chấp thuận</w:t>
      </w:r>
      <w:r w:rsidRPr="006234AA">
        <w:rPr>
          <w:lang w:val="nl-NL"/>
        </w:rPr>
        <w:t>.</w:t>
      </w:r>
    </w:p>
    <w:p w:rsidR="00532E70" w:rsidRPr="006234AA" w:rsidRDefault="004A19EC" w:rsidP="003C0546">
      <w:pPr>
        <w:spacing w:after="120"/>
        <w:rPr>
          <w:lang w:val="nl-NL"/>
        </w:rPr>
      </w:pPr>
      <w:r w:rsidRPr="006234AA">
        <w:rPr>
          <w:lang w:val="nl-NL"/>
        </w:rPr>
        <w:t>3</w:t>
      </w:r>
      <w:r w:rsidR="00532E70" w:rsidRPr="006234AA">
        <w:rPr>
          <w:lang w:val="nl-NL"/>
        </w:rPr>
        <w:t xml:space="preserve">. Sở giao dịch chứng khoán </w:t>
      </w:r>
      <w:r w:rsidR="00DC331F" w:rsidRPr="006234AA">
        <w:rPr>
          <w:lang w:val="nl-NL"/>
        </w:rPr>
        <w:t xml:space="preserve">phối hợp </w:t>
      </w:r>
      <w:r w:rsidR="00085D28" w:rsidRPr="006234AA">
        <w:rPr>
          <w:lang w:val="nl-NL"/>
        </w:rPr>
        <w:t>với</w:t>
      </w:r>
      <w:r w:rsidR="00532E70" w:rsidRPr="006234AA">
        <w:rPr>
          <w:lang w:val="nl-NL"/>
        </w:rPr>
        <w:t xml:space="preserve"> </w:t>
      </w:r>
      <w:r w:rsidR="008573AD" w:rsidRPr="006234AA">
        <w:rPr>
          <w:lang w:val="nl-NL"/>
        </w:rPr>
        <w:t>Trung tâm lưu ký chứng khoán</w:t>
      </w:r>
      <w:r w:rsidR="00DC331F" w:rsidRPr="006234AA">
        <w:rPr>
          <w:lang w:val="nl-NL"/>
        </w:rPr>
        <w:t xml:space="preserve"> </w:t>
      </w:r>
      <w:r w:rsidR="00085D28" w:rsidRPr="006234AA">
        <w:rPr>
          <w:lang w:val="nl-NL"/>
        </w:rPr>
        <w:t>xác định loại trái phiếu mà bên bán có thể lựa chọn và chuyển giao</w:t>
      </w:r>
      <w:r w:rsidR="00DC331F" w:rsidRPr="006234AA">
        <w:rPr>
          <w:lang w:val="nl-NL"/>
        </w:rPr>
        <w:t xml:space="preserve"> </w:t>
      </w:r>
      <w:r w:rsidR="00085D28" w:rsidRPr="006234AA">
        <w:rPr>
          <w:lang w:val="nl-NL"/>
        </w:rPr>
        <w:t>cho bên mua sau khi đáo hạn hợp đồng tương lai trái phiếu Chính phủ (</w:t>
      </w:r>
      <w:r w:rsidR="00DC331F" w:rsidRPr="006234AA">
        <w:rPr>
          <w:lang w:val="nl-NL"/>
        </w:rPr>
        <w:t xml:space="preserve">sau </w:t>
      </w:r>
      <w:r w:rsidR="00085D28" w:rsidRPr="006234AA">
        <w:rPr>
          <w:lang w:val="nl-NL"/>
        </w:rPr>
        <w:t>đây gọi là trái phiếu có thể chuyển giao). T</w:t>
      </w:r>
      <w:r w:rsidR="00532E70" w:rsidRPr="006234AA">
        <w:rPr>
          <w:lang w:val="nl-NL"/>
        </w:rPr>
        <w:t>rái phiếu này phải thỏa mãn đầy đủ các điều kiện</w:t>
      </w:r>
      <w:r w:rsidR="009B4B01" w:rsidRPr="006234AA">
        <w:rPr>
          <w:lang w:val="nl-NL"/>
        </w:rPr>
        <w:t xml:space="preserve"> sau</w:t>
      </w:r>
      <w:r w:rsidR="00532E70" w:rsidRPr="006234AA">
        <w:rPr>
          <w:lang w:val="nl-NL"/>
        </w:rPr>
        <w:t>:</w:t>
      </w:r>
    </w:p>
    <w:p w:rsidR="00532E70" w:rsidRPr="006234AA" w:rsidRDefault="00532E70" w:rsidP="003C0546">
      <w:pPr>
        <w:spacing w:after="120"/>
        <w:rPr>
          <w:lang w:val="nl-NL"/>
        </w:rPr>
      </w:pPr>
      <w:r w:rsidRPr="006234AA">
        <w:rPr>
          <w:lang w:val="nl-NL"/>
        </w:rPr>
        <w:lastRenderedPageBreak/>
        <w:t xml:space="preserve">a) Là trái phiếu </w:t>
      </w:r>
      <w:r w:rsidR="00085D28" w:rsidRPr="006234AA">
        <w:rPr>
          <w:lang w:val="nl-NL"/>
        </w:rPr>
        <w:t>C</w:t>
      </w:r>
      <w:r w:rsidRPr="006234AA">
        <w:rPr>
          <w:lang w:val="nl-NL"/>
        </w:rPr>
        <w:t xml:space="preserve">hính phủ và được </w:t>
      </w:r>
      <w:r w:rsidR="00085D28" w:rsidRPr="006234AA">
        <w:rPr>
          <w:lang w:val="nl-NL"/>
        </w:rPr>
        <w:t xml:space="preserve">đăng ký, </w:t>
      </w:r>
      <w:r w:rsidRPr="006234AA">
        <w:rPr>
          <w:lang w:val="nl-NL"/>
        </w:rPr>
        <w:t>lưu ký tập trung tại Trung tâm Lưu ký Chứng khoán;</w:t>
      </w:r>
    </w:p>
    <w:p w:rsidR="00085D28" w:rsidRPr="006234AA" w:rsidRDefault="00532E70" w:rsidP="003C0546">
      <w:pPr>
        <w:spacing w:after="120"/>
        <w:rPr>
          <w:lang w:val="nl-NL"/>
        </w:rPr>
      </w:pPr>
      <w:r w:rsidRPr="006234AA">
        <w:rPr>
          <w:lang w:val="nl-NL"/>
        </w:rPr>
        <w:t xml:space="preserve">b) </w:t>
      </w:r>
      <w:r w:rsidR="00085D28" w:rsidRPr="006234AA">
        <w:rPr>
          <w:lang w:val="nl-NL"/>
        </w:rPr>
        <w:t>L</w:t>
      </w:r>
      <w:r w:rsidRPr="006234AA">
        <w:rPr>
          <w:lang w:val="nl-NL"/>
        </w:rPr>
        <w:t>ãi suất cuống phiếu cố định, được trả định kỳ hàng năm</w:t>
      </w:r>
      <w:r w:rsidR="00085D28" w:rsidRPr="006234AA">
        <w:rPr>
          <w:lang w:val="nl-NL"/>
        </w:rPr>
        <w:t>. Tiền gốc trái phiếu được thanh toán một lần tại thời điểm đáo hạn;</w:t>
      </w:r>
    </w:p>
    <w:p w:rsidR="00532E70" w:rsidRPr="006234AA" w:rsidRDefault="00532E70" w:rsidP="003C0546">
      <w:pPr>
        <w:spacing w:after="120"/>
        <w:rPr>
          <w:lang w:val="nl-NL"/>
        </w:rPr>
      </w:pPr>
      <w:r w:rsidRPr="006234AA">
        <w:rPr>
          <w:lang w:val="nl-NL"/>
        </w:rPr>
        <w:t>c) Giá trị phát hành không thấp hơn 3.000 tỷ đồng;</w:t>
      </w:r>
    </w:p>
    <w:p w:rsidR="00C5203A" w:rsidRPr="006234AA" w:rsidRDefault="00085D28" w:rsidP="003C0546">
      <w:pPr>
        <w:spacing w:after="120"/>
        <w:rPr>
          <w:lang w:val="nl-NL"/>
        </w:rPr>
      </w:pPr>
      <w:r w:rsidRPr="006234AA">
        <w:rPr>
          <w:lang w:val="nl-NL"/>
        </w:rPr>
        <w:t>d</w:t>
      </w:r>
      <w:r w:rsidR="00532E70" w:rsidRPr="006234AA">
        <w:rPr>
          <w:lang w:val="nl-NL"/>
        </w:rPr>
        <w:t xml:space="preserve">) Thời gian đáo hạn còn lại </w:t>
      </w:r>
      <w:r w:rsidRPr="006234AA">
        <w:rPr>
          <w:lang w:val="nl-NL"/>
        </w:rPr>
        <w:t xml:space="preserve">và các điều kiện khác </w:t>
      </w:r>
      <w:r w:rsidR="00C5203A" w:rsidRPr="006234AA">
        <w:rPr>
          <w:lang w:val="nl-NL"/>
        </w:rPr>
        <w:t xml:space="preserve">thực hiện theo hướng dẫn của Sở giao dịch chứng khoán, </w:t>
      </w:r>
      <w:r w:rsidR="008573AD" w:rsidRPr="006234AA">
        <w:rPr>
          <w:lang w:val="nl-NL"/>
        </w:rPr>
        <w:t>Trung tâm lưu ký chứng khoán</w:t>
      </w:r>
      <w:r w:rsidR="00C5203A" w:rsidRPr="006234AA">
        <w:rPr>
          <w:lang w:val="nl-NL"/>
        </w:rPr>
        <w:t>.</w:t>
      </w:r>
    </w:p>
    <w:p w:rsidR="00904409" w:rsidRPr="006234AA" w:rsidRDefault="00523601" w:rsidP="004B1525">
      <w:pPr>
        <w:spacing w:after="120"/>
        <w:rPr>
          <w:lang w:val="nl-NL"/>
        </w:rPr>
      </w:pPr>
      <w:r w:rsidRPr="006234AA">
        <w:rPr>
          <w:lang w:val="nl-NL"/>
        </w:rPr>
        <w:t>4</w:t>
      </w:r>
      <w:r w:rsidR="00532E70" w:rsidRPr="006234AA">
        <w:rPr>
          <w:lang w:val="nl-NL"/>
        </w:rPr>
        <w:t>. Sở giao dịch chứng khoán phải công bố</w:t>
      </w:r>
      <w:r w:rsidR="00904409" w:rsidRPr="006234AA">
        <w:rPr>
          <w:lang w:val="nl-NL"/>
        </w:rPr>
        <w:t xml:space="preserve"> danh sách các trái phiếu dưới đây trên trang thông tin điện tử của Sở giao dịch chứng khoán.</w:t>
      </w:r>
      <w:r w:rsidR="00532E70" w:rsidRPr="006234AA">
        <w:rPr>
          <w:lang w:val="nl-NL"/>
        </w:rPr>
        <w:t xml:space="preserve"> </w:t>
      </w:r>
    </w:p>
    <w:p w:rsidR="00904409" w:rsidRPr="006234AA" w:rsidRDefault="00904409" w:rsidP="004B1525">
      <w:pPr>
        <w:spacing w:after="120"/>
        <w:rPr>
          <w:lang w:val="nl-NL"/>
        </w:rPr>
      </w:pPr>
      <w:r w:rsidRPr="006234AA">
        <w:rPr>
          <w:lang w:val="nl-NL"/>
        </w:rPr>
        <w:t>a) D</w:t>
      </w:r>
      <w:r w:rsidR="00532E70" w:rsidRPr="006234AA">
        <w:rPr>
          <w:lang w:val="nl-NL"/>
        </w:rPr>
        <w:t>anh sách các trái phiếu có thể chuyển giao và hệ số chuyển đổi của từng loại trái phiếu</w:t>
      </w:r>
      <w:r w:rsidR="004B1525" w:rsidRPr="006234AA">
        <w:rPr>
          <w:lang w:val="nl-NL"/>
        </w:rPr>
        <w:t xml:space="preserve"> (đối với hợp đồng tương lai trái phiếu thanh toán bằng phương thức chuyển giao tài sản cơ sở); </w:t>
      </w:r>
    </w:p>
    <w:p w:rsidR="00532E70" w:rsidRPr="006234AA" w:rsidRDefault="00904409" w:rsidP="004B1525">
      <w:pPr>
        <w:spacing w:after="120"/>
        <w:rPr>
          <w:lang w:val="nl-NL"/>
        </w:rPr>
      </w:pPr>
      <w:r w:rsidRPr="006234AA">
        <w:rPr>
          <w:lang w:val="nl-NL"/>
        </w:rPr>
        <w:t>b) D</w:t>
      </w:r>
      <w:r w:rsidR="004B1525" w:rsidRPr="006234AA">
        <w:rPr>
          <w:lang w:val="nl-NL"/>
        </w:rPr>
        <w:t xml:space="preserve">anh sách các trái phiếu được sử dụng để xác định giá thanh toán (đối với hợp đồng tương lai trái phiếu thanh toán bằng tiền). </w:t>
      </w:r>
    </w:p>
    <w:p w:rsidR="00904409" w:rsidRPr="006234AA" w:rsidRDefault="00523601" w:rsidP="003C0546">
      <w:pPr>
        <w:spacing w:after="120"/>
        <w:rPr>
          <w:lang w:val="nl-NL"/>
        </w:rPr>
      </w:pPr>
      <w:r w:rsidRPr="006234AA">
        <w:rPr>
          <w:lang w:val="nl-NL"/>
        </w:rPr>
        <w:t>5</w:t>
      </w:r>
      <w:r w:rsidR="00532E70" w:rsidRPr="006234AA">
        <w:rPr>
          <w:lang w:val="nl-NL"/>
        </w:rPr>
        <w:t>.</w:t>
      </w:r>
      <w:r w:rsidR="00904409" w:rsidRPr="006234AA">
        <w:rPr>
          <w:lang w:val="nl-NL"/>
        </w:rPr>
        <w:t xml:space="preserve"> Việc công bố thông tin danh sách các trái phiếu nêu trên được thực hiện từ ngày làm việc trước ngày giao dịch đầu tiên của hợp đồng tương lai liên quan, cho tới ngày thanh toán cuối cùng.</w:t>
      </w:r>
      <w:r w:rsidR="00532E70" w:rsidRPr="006234AA">
        <w:rPr>
          <w:lang w:val="nl-NL"/>
        </w:rPr>
        <w:t xml:space="preserve"> </w:t>
      </w:r>
    </w:p>
    <w:p w:rsidR="00532E70" w:rsidRPr="006234AA" w:rsidRDefault="004B1525" w:rsidP="003C0546">
      <w:pPr>
        <w:spacing w:after="120"/>
        <w:rPr>
          <w:lang w:val="nl-NL"/>
        </w:rPr>
      </w:pPr>
      <w:r w:rsidRPr="006234AA">
        <w:rPr>
          <w:lang w:val="nl-NL"/>
        </w:rPr>
        <w:t xml:space="preserve">Sở giao dịch chứng khoán có trách nhiệm cập nhật danh sách các trái phiếu nêu trên khi phát sinh loại trái phiếu đáp ứng điều kiện chuyển giao hoặc đáp ứng điều kiện để xác định giá thanh toán. </w:t>
      </w:r>
      <w:r w:rsidR="00532E70" w:rsidRPr="006234AA">
        <w:rPr>
          <w:lang w:val="nl-NL"/>
        </w:rPr>
        <w:t xml:space="preserve">Danh sách </w:t>
      </w:r>
      <w:r w:rsidR="007710C1" w:rsidRPr="006234AA">
        <w:rPr>
          <w:lang w:val="nl-NL"/>
        </w:rPr>
        <w:t xml:space="preserve">cuối cùng </w:t>
      </w:r>
      <w:r w:rsidRPr="006234AA">
        <w:rPr>
          <w:lang w:val="nl-NL"/>
        </w:rPr>
        <w:t xml:space="preserve">các trái phiếu có thể chuyển giao hoặc được sử dụng để xác định giá thanh toán </w:t>
      </w:r>
      <w:r w:rsidR="00523601" w:rsidRPr="006234AA">
        <w:rPr>
          <w:lang w:val="nl-NL"/>
        </w:rPr>
        <w:t xml:space="preserve">cuối cùng </w:t>
      </w:r>
      <w:r w:rsidR="00532E70" w:rsidRPr="006234AA">
        <w:rPr>
          <w:lang w:val="nl-NL"/>
        </w:rPr>
        <w:t xml:space="preserve">được công bố vào ngày mùng 10 của tháng đáo hạn. </w:t>
      </w:r>
      <w:r w:rsidR="007710C1" w:rsidRPr="006234AA">
        <w:rPr>
          <w:lang w:val="nl-NL"/>
        </w:rPr>
        <w:t xml:space="preserve">Sau thời điểm nêu trên, Sở giao dịch chứng khoán không cập nhật vào danh sách bất kỳ loại trái phiếu nào khác, kể cả khi đáp ứng điều kiện chuyển giao hoặc sử dụng để xác định giá thanh toán cuối cùng.  </w:t>
      </w:r>
    </w:p>
    <w:p w:rsidR="00532E70" w:rsidRPr="006234AA" w:rsidRDefault="00523601" w:rsidP="003C0546">
      <w:pPr>
        <w:spacing w:after="120"/>
        <w:rPr>
          <w:lang w:val="nl-NL"/>
        </w:rPr>
      </w:pPr>
      <w:r w:rsidRPr="006234AA">
        <w:rPr>
          <w:lang w:val="nl-NL"/>
        </w:rPr>
        <w:t>6</w:t>
      </w:r>
      <w:r w:rsidR="00532E70" w:rsidRPr="006234AA">
        <w:rPr>
          <w:lang w:val="nl-NL"/>
        </w:rPr>
        <w:t>. Trong trường hợp chuyển giao vật chất, bên bán có thể lựa chọn một</w:t>
      </w:r>
      <w:r w:rsidR="00406725" w:rsidRPr="006234AA">
        <w:rPr>
          <w:lang w:val="nl-NL"/>
        </w:rPr>
        <w:t xml:space="preserve"> hoặc một số trái phiếu</w:t>
      </w:r>
      <w:r w:rsidR="00532E70" w:rsidRPr="006234AA">
        <w:rPr>
          <w:lang w:val="nl-NL"/>
        </w:rPr>
        <w:t xml:space="preserve"> trong </w:t>
      </w:r>
      <w:r w:rsidR="001B15F8" w:rsidRPr="006234AA">
        <w:rPr>
          <w:lang w:val="nl-NL"/>
        </w:rPr>
        <w:t>danh sách trái phiếu có thể chuyển giao</w:t>
      </w:r>
      <w:r w:rsidRPr="006234AA">
        <w:rPr>
          <w:lang w:val="nl-NL"/>
        </w:rPr>
        <w:t xml:space="preserve"> thực hiện hợp đồng</w:t>
      </w:r>
      <w:r w:rsidR="00532E70" w:rsidRPr="006234AA">
        <w:rPr>
          <w:lang w:val="nl-NL"/>
        </w:rPr>
        <w:t>.</w:t>
      </w:r>
      <w:r w:rsidR="009F3DE8" w:rsidRPr="006234AA">
        <w:rPr>
          <w:lang w:val="nl-NL"/>
        </w:rPr>
        <w:t xml:space="preserve"> Trong trường hợp thanh toán bằng tiền, giá thanh toán cuối cùng là giá bình </w:t>
      </w:r>
      <w:r w:rsidR="004B1525" w:rsidRPr="006234AA">
        <w:rPr>
          <w:lang w:val="nl-NL"/>
        </w:rPr>
        <w:t xml:space="preserve">quân </w:t>
      </w:r>
      <w:r w:rsidR="009F3DE8" w:rsidRPr="006234AA">
        <w:rPr>
          <w:lang w:val="nl-NL"/>
        </w:rPr>
        <w:t>theo trọng số</w:t>
      </w:r>
      <w:r w:rsidR="004B1525" w:rsidRPr="006234AA">
        <w:rPr>
          <w:lang w:val="nl-NL"/>
        </w:rPr>
        <w:t xml:space="preserve"> của danh sách các trái phiếu được sử dụng để xác định giá thanh toán cuối cùng.  </w:t>
      </w:r>
    </w:p>
    <w:p w:rsidR="00627372" w:rsidRPr="006234AA" w:rsidRDefault="00627372" w:rsidP="003C0546">
      <w:pPr>
        <w:pStyle w:val="Heading4"/>
        <w:spacing w:after="120"/>
      </w:pPr>
      <w:bookmarkStart w:id="68" w:name="_Toc397003322"/>
      <w:bookmarkStart w:id="69" w:name="_Toc422671958"/>
      <w:r w:rsidRPr="006234AA">
        <w:t>Giá trị hợp đồng</w:t>
      </w:r>
      <w:bookmarkEnd w:id="68"/>
      <w:bookmarkEnd w:id="69"/>
    </w:p>
    <w:p w:rsidR="00532E70" w:rsidRPr="006234AA" w:rsidRDefault="00532E70" w:rsidP="003C0546">
      <w:pPr>
        <w:spacing w:after="120"/>
        <w:rPr>
          <w:lang w:val="nl-NL"/>
        </w:rPr>
      </w:pPr>
      <w:r w:rsidRPr="006234AA">
        <w:rPr>
          <w:lang w:val="nl-NL"/>
        </w:rPr>
        <w:t xml:space="preserve">1. Giá trị hợp đồng của hợp đồng tương lai trái phiếu </w:t>
      </w:r>
      <w:r w:rsidR="001B2F6E" w:rsidRPr="006234AA">
        <w:rPr>
          <w:lang w:val="nl-NL"/>
        </w:rPr>
        <w:t>C</w:t>
      </w:r>
      <w:r w:rsidRPr="006234AA">
        <w:rPr>
          <w:lang w:val="nl-NL"/>
        </w:rPr>
        <w:t xml:space="preserve">hính phủ được xác định như sau: </w:t>
      </w:r>
    </w:p>
    <w:p w:rsidR="00532E70" w:rsidRPr="006234AA" w:rsidRDefault="00532E70" w:rsidP="003C0546">
      <w:pPr>
        <w:spacing w:after="120"/>
        <w:ind w:firstLine="0"/>
        <w:rPr>
          <w:lang w:val="nl-NL"/>
        </w:rPr>
      </w:pPr>
      <w:r w:rsidRPr="006234AA">
        <w:rPr>
          <w:lang w:val="nl-NL"/>
        </w:rPr>
        <w:t xml:space="preserve">Giá trị hợp đồng = Giá </w:t>
      </w:r>
      <w:r w:rsidR="00635E2A" w:rsidRPr="006234AA">
        <w:rPr>
          <w:lang w:val="nl-NL"/>
        </w:rPr>
        <w:t xml:space="preserve">yết </w:t>
      </w:r>
      <w:r w:rsidR="001B2F6E" w:rsidRPr="006234AA">
        <w:rPr>
          <w:lang w:val="nl-NL"/>
        </w:rPr>
        <w:t xml:space="preserve">tương lai của tài sản cơ sở </w:t>
      </w:r>
      <w:r w:rsidRPr="006234AA">
        <w:rPr>
          <w:lang w:val="nl-NL"/>
        </w:rPr>
        <w:t xml:space="preserve">× Hệ số </w:t>
      </w:r>
      <w:r w:rsidR="00755D18" w:rsidRPr="006234AA">
        <w:rPr>
          <w:lang w:val="nl-NL"/>
        </w:rPr>
        <w:t xml:space="preserve">nhân của </w:t>
      </w:r>
      <w:r w:rsidRPr="006234AA">
        <w:rPr>
          <w:lang w:val="nl-NL"/>
        </w:rPr>
        <w:t>hợp đồng</w:t>
      </w:r>
      <w:r w:rsidR="00E75144" w:rsidRPr="006234AA">
        <w:rPr>
          <w:lang w:val="nl-NL"/>
        </w:rPr>
        <w:t>.</w:t>
      </w:r>
    </w:p>
    <w:p w:rsidR="00635E2A" w:rsidRPr="006234AA" w:rsidRDefault="00635E2A" w:rsidP="003C0546">
      <w:pPr>
        <w:spacing w:after="120"/>
        <w:rPr>
          <w:lang w:val="nl-NL"/>
        </w:rPr>
      </w:pPr>
      <w:r w:rsidRPr="006234AA">
        <w:rPr>
          <w:lang w:val="nl-NL"/>
        </w:rPr>
        <w:t>2. Giá trị thanh toán cuối ngày của hợp đồng tương lai trái phiếu Chính phủ được xác định như sau:</w:t>
      </w:r>
    </w:p>
    <w:p w:rsidR="00635E2A" w:rsidRPr="006234AA" w:rsidRDefault="00635E2A" w:rsidP="003C0546">
      <w:pPr>
        <w:spacing w:after="120"/>
        <w:ind w:firstLine="0"/>
        <w:rPr>
          <w:lang w:val="nl-NL"/>
        </w:rPr>
      </w:pPr>
      <w:r w:rsidRPr="006234AA">
        <w:rPr>
          <w:lang w:val="nl-NL"/>
        </w:rPr>
        <w:lastRenderedPageBreak/>
        <w:t>Giá trị thanh toán cuối ngày của hợp đồng = Giá yết tương lai cuối ngày × Hệ số nhân của hợp đồng</w:t>
      </w:r>
      <w:r w:rsidR="00E75144" w:rsidRPr="006234AA">
        <w:rPr>
          <w:lang w:val="nl-NL"/>
        </w:rPr>
        <w:t>.</w:t>
      </w:r>
    </w:p>
    <w:p w:rsidR="00627372" w:rsidRPr="006234AA" w:rsidRDefault="00627372" w:rsidP="003C0546">
      <w:pPr>
        <w:pStyle w:val="Heading4"/>
        <w:spacing w:after="120"/>
      </w:pPr>
      <w:bookmarkStart w:id="70" w:name="_Toc397003323"/>
      <w:bookmarkStart w:id="71" w:name="_Toc422671959"/>
      <w:r w:rsidRPr="006234AA">
        <w:t>Tháng đáo hạn</w:t>
      </w:r>
      <w:bookmarkEnd w:id="70"/>
      <w:r w:rsidR="00635E2A" w:rsidRPr="006234AA">
        <w:t>, giờ giao dịch</w:t>
      </w:r>
      <w:bookmarkEnd w:id="71"/>
    </w:p>
    <w:p w:rsidR="00532E70" w:rsidRPr="006234AA" w:rsidRDefault="00532E70" w:rsidP="003C0546">
      <w:pPr>
        <w:spacing w:after="120"/>
        <w:rPr>
          <w:lang w:val="nl-NL"/>
        </w:rPr>
      </w:pPr>
      <w:r w:rsidRPr="006234AA">
        <w:rPr>
          <w:lang w:val="nl-NL"/>
        </w:rPr>
        <w:t xml:space="preserve">1. </w:t>
      </w:r>
      <w:r w:rsidR="00635E2A" w:rsidRPr="006234AA">
        <w:rPr>
          <w:lang w:val="nl-NL"/>
        </w:rPr>
        <w:t xml:space="preserve">Tùy thuộc vào từng hợp đồng tương lai trái phiếu Chính phủ cụ thể, </w:t>
      </w:r>
      <w:r w:rsidRPr="006234AA">
        <w:rPr>
          <w:lang w:val="nl-NL"/>
        </w:rPr>
        <w:t xml:space="preserve">Sở giao dịch chứng khoán </w:t>
      </w:r>
      <w:r w:rsidR="00635E2A" w:rsidRPr="006234AA">
        <w:rPr>
          <w:lang w:val="nl-NL"/>
        </w:rPr>
        <w:t xml:space="preserve">được </w:t>
      </w:r>
      <w:r w:rsidRPr="006234AA">
        <w:rPr>
          <w:lang w:val="nl-NL"/>
        </w:rPr>
        <w:t xml:space="preserve">lựa chọn </w:t>
      </w:r>
      <w:r w:rsidR="00635E2A" w:rsidRPr="006234AA">
        <w:rPr>
          <w:lang w:val="nl-NL"/>
        </w:rPr>
        <w:t xml:space="preserve">tháng đáo hạn vào </w:t>
      </w:r>
      <w:r w:rsidR="00A66BE8" w:rsidRPr="006234AA">
        <w:rPr>
          <w:lang w:val="nl-NL"/>
        </w:rPr>
        <w:t>tháng hiện tại, tháng kế tiếp</w:t>
      </w:r>
      <w:r w:rsidR="00482CFF" w:rsidRPr="006234AA">
        <w:rPr>
          <w:lang w:val="nl-NL"/>
        </w:rPr>
        <w:t>, hoặc</w:t>
      </w:r>
      <w:r w:rsidR="00A66BE8" w:rsidRPr="006234AA">
        <w:rPr>
          <w:lang w:val="nl-NL"/>
        </w:rPr>
        <w:t xml:space="preserve"> tháng cuối của các Quý (trong số các tháng 3, tháng 6, tháng 9 và tháng 12)</w:t>
      </w:r>
      <w:r w:rsidRPr="006234AA">
        <w:rPr>
          <w:lang w:val="nl-NL"/>
        </w:rPr>
        <w:t>.</w:t>
      </w:r>
    </w:p>
    <w:p w:rsidR="00627372" w:rsidRPr="006234AA" w:rsidRDefault="00532E70" w:rsidP="003C0546">
      <w:pPr>
        <w:spacing w:after="120"/>
        <w:rPr>
          <w:lang w:val="nl-NL"/>
        </w:rPr>
      </w:pPr>
      <w:r w:rsidRPr="006234AA">
        <w:rPr>
          <w:lang w:val="nl-NL"/>
        </w:rPr>
        <w:t xml:space="preserve">2. Sở giao dịch chứng khoán </w:t>
      </w:r>
      <w:r w:rsidR="00482CFF" w:rsidRPr="006234AA">
        <w:rPr>
          <w:lang w:val="nl-NL"/>
        </w:rPr>
        <w:t>hướng dẫn chi tiết về giờ giao dịch trong các ngày giao dịch thông thường và ngày giao dịch</w:t>
      </w:r>
      <w:r w:rsidR="00627372" w:rsidRPr="006234AA">
        <w:rPr>
          <w:lang w:val="pt-BR"/>
        </w:rPr>
        <w:t xml:space="preserve"> cuối cùng. </w:t>
      </w:r>
    </w:p>
    <w:p w:rsidR="00627372" w:rsidRPr="006234AA" w:rsidRDefault="00627372" w:rsidP="003C0546">
      <w:pPr>
        <w:pStyle w:val="Heading4"/>
        <w:spacing w:after="120"/>
      </w:pPr>
      <w:bookmarkStart w:id="72" w:name="_Toc397003325"/>
      <w:bookmarkStart w:id="73" w:name="_Toc422671960"/>
      <w:r w:rsidRPr="006234AA">
        <w:t>Ngày giao dịch cuối cùng</w:t>
      </w:r>
      <w:bookmarkEnd w:id="72"/>
      <w:r w:rsidR="00635E2A" w:rsidRPr="006234AA">
        <w:t xml:space="preserve">, </w:t>
      </w:r>
      <w:bookmarkStart w:id="74" w:name="_Toc397003326"/>
      <w:r w:rsidR="00635E2A" w:rsidRPr="006234AA">
        <w:t>ngày thanh toán cuối cùng</w:t>
      </w:r>
      <w:bookmarkEnd w:id="73"/>
      <w:bookmarkEnd w:id="74"/>
    </w:p>
    <w:p w:rsidR="00D533F6" w:rsidRPr="006234AA" w:rsidRDefault="00532E70" w:rsidP="003C0546">
      <w:pPr>
        <w:spacing w:after="120"/>
        <w:rPr>
          <w:lang w:val="nl-NL"/>
        </w:rPr>
      </w:pPr>
      <w:r w:rsidRPr="006234AA">
        <w:rPr>
          <w:lang w:val="nl-NL"/>
        </w:rPr>
        <w:t xml:space="preserve">1. Ngày giao dịch cuối cùng </w:t>
      </w:r>
      <w:r w:rsidR="00482CFF" w:rsidRPr="006234AA">
        <w:rPr>
          <w:lang w:val="nl-NL"/>
        </w:rPr>
        <w:t xml:space="preserve">là một ngày làm việc nhất định trong tháng đáo hạn do Sở giao dịch chứng khoán </w:t>
      </w:r>
      <w:r w:rsidRPr="006234AA">
        <w:rPr>
          <w:lang w:val="nl-NL"/>
        </w:rPr>
        <w:t>quy định</w:t>
      </w:r>
      <w:r w:rsidR="00482CFF" w:rsidRPr="006234AA">
        <w:rPr>
          <w:lang w:val="nl-NL"/>
        </w:rPr>
        <w:t xml:space="preserve"> cho từng hợp đồng cụ thể</w:t>
      </w:r>
      <w:r w:rsidR="00DA1CA7" w:rsidRPr="006234AA">
        <w:rPr>
          <w:lang w:val="nl-NL"/>
        </w:rPr>
        <w:t xml:space="preserve"> (ngày T)</w:t>
      </w:r>
      <w:r w:rsidRPr="006234AA">
        <w:rPr>
          <w:lang w:val="nl-NL"/>
        </w:rPr>
        <w:t xml:space="preserve">. Nếu ngày này là ngày nghỉ thì ngày giao dịch cuối cùng sẽ được điều chỉnh sang ngày giao dịch liền kề trước đó. Các </w:t>
      </w:r>
      <w:r w:rsidR="00D533F6" w:rsidRPr="006234AA">
        <w:rPr>
          <w:lang w:val="nl-NL"/>
        </w:rPr>
        <w:t xml:space="preserve">vị thế còn mở sau ngày giao dịch cuối cùng được thanh lý </w:t>
      </w:r>
      <w:r w:rsidR="003369CB" w:rsidRPr="006234AA">
        <w:rPr>
          <w:lang w:val="nl-NL"/>
        </w:rPr>
        <w:t>dưới hình thức thực thi hợp đồng, trong đó bên bán chuyển giao tài sản cơ sở, bên mua thực hiện thanh toán theo các điều khoản tại hợp đồng. Việc thanh toán, chuyển giao tài sản cơ sở thực hiện thông qua các thành viên bù trừ của các bên tham gia giao dịch và quy chế của Sở giao dịch chứng khoán, Trung tâm Lưu ký chứng khoán</w:t>
      </w:r>
      <w:r w:rsidR="009C0155" w:rsidRPr="006234AA">
        <w:rPr>
          <w:lang w:val="nl-NL"/>
        </w:rPr>
        <w:t>.</w:t>
      </w:r>
    </w:p>
    <w:p w:rsidR="00627372" w:rsidRPr="006234AA" w:rsidRDefault="00482CFF" w:rsidP="003C0546">
      <w:pPr>
        <w:spacing w:after="120"/>
        <w:rPr>
          <w:lang w:val="pt-BR"/>
        </w:rPr>
      </w:pPr>
      <w:r w:rsidRPr="006234AA">
        <w:rPr>
          <w:lang w:val="pt-BR"/>
        </w:rPr>
        <w:t>2</w:t>
      </w:r>
      <w:r w:rsidR="00E27761" w:rsidRPr="006234AA">
        <w:rPr>
          <w:lang w:val="pt-BR"/>
        </w:rPr>
        <w:t xml:space="preserve">. </w:t>
      </w:r>
      <w:r w:rsidR="00627372" w:rsidRPr="006234AA">
        <w:rPr>
          <w:lang w:val="pt-BR"/>
        </w:rPr>
        <w:t xml:space="preserve">Ngày thanh toán cuối cùng </w:t>
      </w:r>
      <w:r w:rsidRPr="006234AA">
        <w:rPr>
          <w:lang w:val="pt-BR"/>
        </w:rPr>
        <w:t>là</w:t>
      </w:r>
      <w:r w:rsidR="00627372" w:rsidRPr="006234AA">
        <w:rPr>
          <w:lang w:val="pt-BR"/>
        </w:rPr>
        <w:t xml:space="preserve"> ngày giao dịch </w:t>
      </w:r>
      <w:r w:rsidR="00DA1CA7" w:rsidRPr="006234AA">
        <w:rPr>
          <w:lang w:val="pt-BR"/>
        </w:rPr>
        <w:t xml:space="preserve">thứ hai sau ngày giao dịch cuối cùng (ngày T+2) hoặc một ngày giao dịch khác trong tháng đáo hạn sau ngày giao dịch cuối cùng </w:t>
      </w:r>
      <w:r w:rsidRPr="006234AA">
        <w:rPr>
          <w:lang w:val="pt-BR"/>
        </w:rPr>
        <w:t>do Sở giao dịch chứng khoán phối hợp với Trung tâm Lưu ký chứng khoán xác định cho từng hợp đồng cụ thể</w:t>
      </w:r>
      <w:r w:rsidR="00627372" w:rsidRPr="006234AA">
        <w:rPr>
          <w:lang w:val="pt-BR"/>
        </w:rPr>
        <w:t>.</w:t>
      </w:r>
      <w:r w:rsidR="00E27761" w:rsidRPr="006234AA">
        <w:rPr>
          <w:lang w:val="pt-BR"/>
        </w:rPr>
        <w:t xml:space="preserve"> Trường hợp cần thiết nhằm bảo vệ </w:t>
      </w:r>
      <w:r w:rsidRPr="006234AA">
        <w:rPr>
          <w:lang w:val="pt-BR"/>
        </w:rPr>
        <w:t xml:space="preserve">quyền và </w:t>
      </w:r>
      <w:r w:rsidR="00E27761" w:rsidRPr="006234AA">
        <w:rPr>
          <w:lang w:val="pt-BR"/>
        </w:rPr>
        <w:t>lợi ích</w:t>
      </w:r>
      <w:r w:rsidRPr="006234AA">
        <w:rPr>
          <w:lang w:val="pt-BR"/>
        </w:rPr>
        <w:t xml:space="preserve"> hợp pháp của</w:t>
      </w:r>
      <w:r w:rsidR="00E27761" w:rsidRPr="006234AA">
        <w:rPr>
          <w:lang w:val="pt-BR"/>
        </w:rPr>
        <w:t xml:space="preserve"> </w:t>
      </w:r>
      <w:r w:rsidRPr="006234AA">
        <w:rPr>
          <w:lang w:val="pt-BR"/>
        </w:rPr>
        <w:t>nhà</w:t>
      </w:r>
      <w:r w:rsidR="00E27761" w:rsidRPr="006234AA">
        <w:rPr>
          <w:lang w:val="pt-BR"/>
        </w:rPr>
        <w:t xml:space="preserve"> đầu tư, Sở giao dịch chứng khoán </w:t>
      </w:r>
      <w:r w:rsidRPr="006234AA">
        <w:rPr>
          <w:lang w:val="pt-BR"/>
        </w:rPr>
        <w:t xml:space="preserve">được </w:t>
      </w:r>
      <w:r w:rsidR="00E27761" w:rsidRPr="006234AA">
        <w:rPr>
          <w:lang w:val="pt-BR"/>
        </w:rPr>
        <w:t>thay đổi ngày thanh toán cuối cùng nhưng phải công bố trước</w:t>
      </w:r>
      <w:r w:rsidRPr="006234AA">
        <w:rPr>
          <w:lang w:val="pt-BR"/>
        </w:rPr>
        <w:t xml:space="preserve"> ngày dự kiến làm ngày thanh toán cuối cùng</w:t>
      </w:r>
      <w:r w:rsidR="00E27761" w:rsidRPr="006234AA">
        <w:rPr>
          <w:lang w:val="pt-BR"/>
        </w:rPr>
        <w:t xml:space="preserve"> ít nhất là </w:t>
      </w:r>
      <w:r w:rsidRPr="006234AA">
        <w:rPr>
          <w:lang w:val="pt-BR"/>
        </w:rPr>
        <w:t>ba mươi (30) ngày</w:t>
      </w:r>
      <w:r w:rsidR="00E27761" w:rsidRPr="006234AA">
        <w:rPr>
          <w:lang w:val="pt-BR"/>
        </w:rPr>
        <w:t>.</w:t>
      </w:r>
      <w:r w:rsidR="00627372" w:rsidRPr="006234AA">
        <w:rPr>
          <w:lang w:val="pt-BR"/>
        </w:rPr>
        <w:t xml:space="preserve"> </w:t>
      </w:r>
    </w:p>
    <w:p w:rsidR="00627372" w:rsidRPr="006234AA" w:rsidRDefault="00627372" w:rsidP="003C0546">
      <w:pPr>
        <w:pStyle w:val="Heading4"/>
        <w:spacing w:after="120"/>
      </w:pPr>
      <w:bookmarkStart w:id="75" w:name="_Toc397003327"/>
      <w:bookmarkStart w:id="76" w:name="_Toc422671961"/>
      <w:r w:rsidRPr="006234AA">
        <w:t>Bước giá, đơn vị yết giá</w:t>
      </w:r>
      <w:bookmarkEnd w:id="75"/>
      <w:r w:rsidR="00635E2A" w:rsidRPr="006234AA">
        <w:t>, biên độ dao động giá</w:t>
      </w:r>
      <w:bookmarkEnd w:id="76"/>
    </w:p>
    <w:p w:rsidR="00627372" w:rsidRPr="006234AA" w:rsidRDefault="00256C1E" w:rsidP="003C0546">
      <w:pPr>
        <w:spacing w:after="120"/>
        <w:rPr>
          <w:b/>
          <w:bCs/>
          <w:lang w:val="pt-BR"/>
        </w:rPr>
      </w:pPr>
      <w:r w:rsidRPr="006234AA">
        <w:rPr>
          <w:lang w:val="pt-BR"/>
        </w:rPr>
        <w:t xml:space="preserve">1. </w:t>
      </w:r>
      <w:r w:rsidR="00627372" w:rsidRPr="006234AA">
        <w:rPr>
          <w:lang w:val="pt-BR"/>
        </w:rPr>
        <w:t>Bước giá</w:t>
      </w:r>
      <w:r w:rsidRPr="006234AA">
        <w:rPr>
          <w:lang w:val="pt-BR"/>
        </w:rPr>
        <w:t xml:space="preserve">, </w:t>
      </w:r>
      <w:r w:rsidR="00627372" w:rsidRPr="006234AA">
        <w:rPr>
          <w:lang w:val="pt-BR"/>
        </w:rPr>
        <w:t xml:space="preserve">đơn vị yết giá của hợp đồng tương lai </w:t>
      </w:r>
      <w:r w:rsidR="00CC5ECB" w:rsidRPr="006234AA">
        <w:rPr>
          <w:lang w:val="pt-BR"/>
        </w:rPr>
        <w:t>trái phiếu</w:t>
      </w:r>
      <w:r w:rsidR="00627372" w:rsidRPr="006234AA">
        <w:rPr>
          <w:lang w:val="pt-BR"/>
        </w:rPr>
        <w:t xml:space="preserve"> </w:t>
      </w:r>
      <w:r w:rsidRPr="006234AA">
        <w:rPr>
          <w:lang w:val="pt-BR"/>
        </w:rPr>
        <w:t xml:space="preserve">Chính phủ </w:t>
      </w:r>
      <w:r w:rsidR="00627372" w:rsidRPr="006234AA">
        <w:rPr>
          <w:lang w:val="pt-BR"/>
        </w:rPr>
        <w:t xml:space="preserve">do </w:t>
      </w:r>
      <w:r w:rsidR="009541A8" w:rsidRPr="006234AA">
        <w:rPr>
          <w:lang w:val="pt-BR"/>
        </w:rPr>
        <w:t>Sở giao dịch chứng khoán</w:t>
      </w:r>
      <w:r w:rsidR="00627372" w:rsidRPr="006234AA">
        <w:rPr>
          <w:lang w:val="pt-BR"/>
        </w:rPr>
        <w:t xml:space="preserve"> quy định cho từng hợp đồng trên cơ sở điểm phần trăm</w:t>
      </w:r>
      <w:r w:rsidR="00784FF7" w:rsidRPr="006234AA">
        <w:rPr>
          <w:lang w:val="pt-BR"/>
        </w:rPr>
        <w:t xml:space="preserve"> </w:t>
      </w:r>
      <w:r w:rsidR="00627372" w:rsidRPr="006234AA">
        <w:rPr>
          <w:lang w:val="pt-BR"/>
        </w:rPr>
        <w:t xml:space="preserve">của giá trị hợp đồng và được quy đổi ra </w:t>
      </w:r>
      <w:r w:rsidRPr="006234AA">
        <w:rPr>
          <w:lang w:val="pt-BR"/>
        </w:rPr>
        <w:t xml:space="preserve">mức </w:t>
      </w:r>
      <w:r w:rsidR="00627372" w:rsidRPr="006234AA">
        <w:rPr>
          <w:lang w:val="pt-BR"/>
        </w:rPr>
        <w:t xml:space="preserve">tiền tương </w:t>
      </w:r>
      <w:r w:rsidRPr="006234AA">
        <w:rPr>
          <w:lang w:val="pt-BR"/>
        </w:rPr>
        <w:t>ứng</w:t>
      </w:r>
      <w:r w:rsidR="00627372" w:rsidRPr="006234AA">
        <w:rPr>
          <w:lang w:val="pt-BR"/>
        </w:rPr>
        <w:t>.</w:t>
      </w:r>
    </w:p>
    <w:p w:rsidR="00532E70" w:rsidRPr="006234AA" w:rsidRDefault="00256C1E" w:rsidP="003C0546">
      <w:pPr>
        <w:spacing w:after="120"/>
        <w:rPr>
          <w:lang w:val="nl-NL"/>
        </w:rPr>
      </w:pPr>
      <w:r w:rsidRPr="006234AA">
        <w:rPr>
          <w:lang w:val="nl-NL"/>
        </w:rPr>
        <w:t>2</w:t>
      </w:r>
      <w:r w:rsidR="00532E70" w:rsidRPr="006234AA">
        <w:rPr>
          <w:lang w:val="nl-NL"/>
        </w:rPr>
        <w:t xml:space="preserve">. Biên độ dao động giá được xác định theo tỷ lệ phần trăm so với giá tham chiếu của hợp đồng. </w:t>
      </w:r>
      <w:r w:rsidR="00A6623E" w:rsidRPr="006234AA">
        <w:rPr>
          <w:lang w:val="nl-NL"/>
        </w:rPr>
        <w:t>Sở giao dịch chứng khoán được điều chỉnh biên độ dao động giá sau khi Ủy ban Chứng khoán Nhà nươc chấp thuận</w:t>
      </w:r>
      <w:r w:rsidR="00532E70" w:rsidRPr="006234AA">
        <w:rPr>
          <w:lang w:val="nl-NL"/>
        </w:rPr>
        <w:t>.</w:t>
      </w:r>
    </w:p>
    <w:p w:rsidR="00532E70" w:rsidRPr="006234AA" w:rsidRDefault="00532E70" w:rsidP="003C0546">
      <w:pPr>
        <w:spacing w:after="120"/>
        <w:rPr>
          <w:lang w:val="nl-NL"/>
        </w:rPr>
      </w:pPr>
      <w:r w:rsidRPr="006234AA">
        <w:rPr>
          <w:lang w:val="nl-NL"/>
        </w:rPr>
        <w:t>3. Biên độ dao động giá có thể được xác lập riêng cho ngày phát sinh giao dịch đầu tiên, ngày giao dịch cuối cùng và cho ngày giao dịch khác.</w:t>
      </w:r>
    </w:p>
    <w:p w:rsidR="00532E70" w:rsidRPr="006234AA" w:rsidRDefault="00532E70" w:rsidP="003C0546">
      <w:pPr>
        <w:spacing w:after="120"/>
        <w:rPr>
          <w:lang w:val="nl-NL"/>
        </w:rPr>
      </w:pPr>
      <w:r w:rsidRPr="006234AA">
        <w:rPr>
          <w:lang w:val="nl-NL"/>
        </w:rPr>
        <w:t>4. Biên độ dao động giá không áp dụng trong giao dịch các trường hợp sau:</w:t>
      </w:r>
    </w:p>
    <w:p w:rsidR="00532E70" w:rsidRPr="006234AA" w:rsidRDefault="00532E70" w:rsidP="003C0546">
      <w:pPr>
        <w:spacing w:after="120"/>
        <w:rPr>
          <w:lang w:val="nl-NL"/>
        </w:rPr>
      </w:pPr>
      <w:r w:rsidRPr="006234AA">
        <w:rPr>
          <w:lang w:val="nl-NL"/>
        </w:rPr>
        <w:t xml:space="preserve">a) Là hợp đồng tương lai đáo hạn trong tháng hiện tại; </w:t>
      </w:r>
    </w:p>
    <w:p w:rsidR="00532E70" w:rsidRPr="006234AA" w:rsidRDefault="00532E70" w:rsidP="003C0546">
      <w:pPr>
        <w:spacing w:after="120"/>
        <w:rPr>
          <w:lang w:val="nl-NL"/>
        </w:rPr>
      </w:pPr>
      <w:r w:rsidRPr="006234AA">
        <w:rPr>
          <w:lang w:val="nl-NL"/>
        </w:rPr>
        <w:lastRenderedPageBreak/>
        <w:t>b) Là hợp đồng tương lai đáo hạn trong tháng kế tiếp trong năm (05) ngày giao dịch liền kề trước ngày giao dịch cuối cùng của hợp đồng tương lai trong tháng hiện tại;</w:t>
      </w:r>
    </w:p>
    <w:p w:rsidR="00532E70" w:rsidRPr="006234AA" w:rsidRDefault="00532E70" w:rsidP="003C0546">
      <w:pPr>
        <w:spacing w:after="120"/>
        <w:rPr>
          <w:lang w:val="nl-NL"/>
        </w:rPr>
      </w:pPr>
      <w:r w:rsidRPr="006234AA">
        <w:rPr>
          <w:lang w:val="nl-NL"/>
        </w:rPr>
        <w:t>c) Các trường hợp khác nếu Sở giao dịch chứng khoán xét thấy là cần thiết và sau khi được Ủy ban Chứng khoán Nhà nước chấp thuận.</w:t>
      </w:r>
    </w:p>
    <w:p w:rsidR="00627372" w:rsidRPr="006234AA" w:rsidRDefault="00627372" w:rsidP="003C0546">
      <w:pPr>
        <w:pStyle w:val="Heading4"/>
        <w:spacing w:after="120"/>
        <w:ind w:left="0" w:firstLine="709"/>
      </w:pPr>
      <w:bookmarkStart w:id="77" w:name="_Toc397003329"/>
      <w:bookmarkStart w:id="78" w:name="_Toc422671962"/>
      <w:r w:rsidRPr="006234AA">
        <w:t xml:space="preserve">Giá </w:t>
      </w:r>
      <w:r w:rsidR="00092C8D" w:rsidRPr="006234AA">
        <w:t>tham chiếu</w:t>
      </w:r>
      <w:bookmarkEnd w:id="77"/>
      <w:r w:rsidR="00635E2A" w:rsidRPr="006234AA">
        <w:t>, giá thanh toán cuối ngày</w:t>
      </w:r>
      <w:r w:rsidR="004834AE" w:rsidRPr="006234AA">
        <w:t>, giá thanh toán cuối cùng</w:t>
      </w:r>
      <w:bookmarkEnd w:id="78"/>
    </w:p>
    <w:p w:rsidR="00532E70" w:rsidRPr="006234AA" w:rsidRDefault="00532E70" w:rsidP="003C0546">
      <w:pPr>
        <w:spacing w:after="120"/>
        <w:rPr>
          <w:lang w:val="nl-NL"/>
        </w:rPr>
      </w:pPr>
      <w:r w:rsidRPr="006234AA">
        <w:rPr>
          <w:lang w:val="nl-NL"/>
        </w:rPr>
        <w:t>1. Giá tham chiếu của hợp đồng tương lai trái phiếu được Sở g</w:t>
      </w:r>
      <w:r w:rsidR="00C32585" w:rsidRPr="006234AA">
        <w:rPr>
          <w:lang w:val="nl-NL"/>
        </w:rPr>
        <w:t>iao dịch chứng khoán xác định hằng ngày theo nguyên tắc sau:</w:t>
      </w:r>
    </w:p>
    <w:p w:rsidR="00532E70" w:rsidRPr="006234AA" w:rsidRDefault="00C32585" w:rsidP="003C0546">
      <w:pPr>
        <w:spacing w:after="120"/>
        <w:rPr>
          <w:lang w:val="nl-NL"/>
        </w:rPr>
      </w:pPr>
      <w:r w:rsidRPr="006234AA">
        <w:rPr>
          <w:lang w:val="nl-NL"/>
        </w:rPr>
        <w:t>a)</w:t>
      </w:r>
      <w:r w:rsidR="00532E70" w:rsidRPr="006234AA">
        <w:rPr>
          <w:lang w:val="nl-NL"/>
        </w:rPr>
        <w:t xml:space="preserve"> </w:t>
      </w:r>
      <w:r w:rsidRPr="006234AA">
        <w:rPr>
          <w:lang w:val="nl-NL"/>
        </w:rPr>
        <w:t>C</w:t>
      </w:r>
      <w:r w:rsidR="00532E70" w:rsidRPr="006234AA">
        <w:rPr>
          <w:lang w:val="nl-NL"/>
        </w:rPr>
        <w:t xml:space="preserve">ho </w:t>
      </w:r>
      <w:r w:rsidRPr="006234AA">
        <w:rPr>
          <w:lang w:val="nl-NL"/>
        </w:rPr>
        <w:t xml:space="preserve">tới khi </w:t>
      </w:r>
      <w:r w:rsidR="00532E70" w:rsidRPr="006234AA">
        <w:rPr>
          <w:lang w:val="nl-NL"/>
        </w:rPr>
        <w:t xml:space="preserve">phát sinh giao dịch đầu tiên, giá tham chiếu là giá lý thuyết của hợp đồng xác định theo quy định tại </w:t>
      </w:r>
      <w:r w:rsidR="004162A5" w:rsidRPr="006234AA">
        <w:rPr>
          <w:lang w:val="nl-NL"/>
        </w:rPr>
        <w:t>P</w:t>
      </w:r>
      <w:r w:rsidR="00532E70" w:rsidRPr="006234AA">
        <w:rPr>
          <w:lang w:val="nl-NL"/>
        </w:rPr>
        <w:t xml:space="preserve">hụ lục số </w:t>
      </w:r>
      <w:r w:rsidR="001403A2" w:rsidRPr="006234AA">
        <w:rPr>
          <w:lang w:val="nl-NL"/>
        </w:rPr>
        <w:t xml:space="preserve">12 </w:t>
      </w:r>
      <w:r w:rsidR="00532E70" w:rsidRPr="006234AA">
        <w:rPr>
          <w:lang w:val="nl-NL"/>
        </w:rPr>
        <w:t>ban hành kèm theo Thông tư này</w:t>
      </w:r>
      <w:r w:rsidRPr="006234AA">
        <w:rPr>
          <w:lang w:val="nl-NL"/>
        </w:rPr>
        <w:t>;</w:t>
      </w:r>
    </w:p>
    <w:p w:rsidR="00532E70" w:rsidRPr="006234AA" w:rsidRDefault="00C32585" w:rsidP="003C0546">
      <w:pPr>
        <w:spacing w:after="120"/>
        <w:rPr>
          <w:lang w:val="nl-NL"/>
        </w:rPr>
      </w:pPr>
      <w:r w:rsidRPr="006234AA">
        <w:rPr>
          <w:lang w:val="nl-NL"/>
        </w:rPr>
        <w:t>b) S</w:t>
      </w:r>
      <w:r w:rsidR="00532E70" w:rsidRPr="006234AA">
        <w:rPr>
          <w:lang w:val="nl-NL"/>
        </w:rPr>
        <w:t xml:space="preserve">au ngày phát sinh giao dịch đầu tiên, giá tham chiếu là giá thanh toán </w:t>
      </w:r>
      <w:r w:rsidRPr="006234AA">
        <w:rPr>
          <w:lang w:val="nl-NL"/>
        </w:rPr>
        <w:t>cuối ngày của ngày giao dịch liền trước.</w:t>
      </w:r>
    </w:p>
    <w:p w:rsidR="004834AE" w:rsidRPr="006234AA" w:rsidRDefault="00C32585" w:rsidP="003C0546">
      <w:pPr>
        <w:spacing w:after="120"/>
        <w:rPr>
          <w:lang w:val="pt-BR"/>
        </w:rPr>
      </w:pPr>
      <w:r w:rsidRPr="006234AA">
        <w:rPr>
          <w:lang w:val="pt-BR"/>
        </w:rPr>
        <w:t>2</w:t>
      </w:r>
      <w:r w:rsidR="00532E70" w:rsidRPr="006234AA">
        <w:rPr>
          <w:lang w:val="pt-BR"/>
        </w:rPr>
        <w:t>. Giá thanh toán cuối ngày</w:t>
      </w:r>
      <w:r w:rsidR="004834AE" w:rsidRPr="006234AA">
        <w:rPr>
          <w:lang w:val="pt-BR"/>
        </w:rPr>
        <w:t>, giá thanh toán cuối cùng</w:t>
      </w:r>
      <w:r w:rsidR="00532E70" w:rsidRPr="006234AA">
        <w:rPr>
          <w:lang w:val="pt-BR"/>
        </w:rPr>
        <w:t xml:space="preserve"> của hợp đồng tương lai trái phiếu chính phủ </w:t>
      </w:r>
      <w:r w:rsidR="006D4873" w:rsidRPr="006234AA">
        <w:rPr>
          <w:lang w:val="pt-BR"/>
        </w:rPr>
        <w:t>do Sở giao dịch chứng khoán xác định</w:t>
      </w:r>
      <w:r w:rsidR="00D06FAA" w:rsidRPr="006234AA">
        <w:rPr>
          <w:lang w:val="pt-BR"/>
        </w:rPr>
        <w:t xml:space="preserve"> theo quy chế </w:t>
      </w:r>
      <w:r w:rsidR="008D000E" w:rsidRPr="006234AA">
        <w:rPr>
          <w:lang w:val="pt-BR"/>
        </w:rPr>
        <w:t>của Sở giao dịch chứng khoán</w:t>
      </w:r>
      <w:r w:rsidR="004834AE" w:rsidRPr="006234AA">
        <w:rPr>
          <w:lang w:val="pt-BR"/>
        </w:rPr>
        <w:t>.</w:t>
      </w:r>
    </w:p>
    <w:p w:rsidR="009B4B01" w:rsidRPr="006234AA" w:rsidRDefault="009B4B01" w:rsidP="003C0546">
      <w:pPr>
        <w:pStyle w:val="Heading4"/>
        <w:spacing w:after="120"/>
      </w:pPr>
      <w:bookmarkStart w:id="79" w:name="_Toc387116682"/>
      <w:bookmarkStart w:id="80" w:name="_Toc387136341"/>
      <w:bookmarkStart w:id="81" w:name="_Toc397003332"/>
      <w:bookmarkStart w:id="82" w:name="_Toc422671963"/>
      <w:bookmarkEnd w:id="79"/>
      <w:bookmarkEnd w:id="80"/>
      <w:r w:rsidRPr="006234AA">
        <w:t>Thanh lý vị thế</w:t>
      </w:r>
      <w:bookmarkEnd w:id="81"/>
      <w:r w:rsidR="00EA2866" w:rsidRPr="006234AA">
        <w:t xml:space="preserve"> đáo hạn</w:t>
      </w:r>
      <w:bookmarkEnd w:id="82"/>
    </w:p>
    <w:p w:rsidR="009B4B01" w:rsidRPr="006234AA" w:rsidRDefault="009B4B01" w:rsidP="003C0546">
      <w:pPr>
        <w:spacing w:after="120"/>
        <w:rPr>
          <w:lang w:val="nl-NL"/>
        </w:rPr>
      </w:pPr>
      <w:r w:rsidRPr="006234AA">
        <w:rPr>
          <w:lang w:val="nl-NL"/>
        </w:rPr>
        <w:t xml:space="preserve">1. </w:t>
      </w:r>
      <w:r w:rsidR="00985DC1" w:rsidRPr="006234AA">
        <w:rPr>
          <w:lang w:val="nl-NL"/>
        </w:rPr>
        <w:t>Việc th</w:t>
      </w:r>
      <w:r w:rsidR="00EA2866" w:rsidRPr="006234AA">
        <w:rPr>
          <w:lang w:val="nl-NL"/>
        </w:rPr>
        <w:t>anh lý vị thế</w:t>
      </w:r>
      <w:r w:rsidR="00985DC1" w:rsidRPr="006234AA">
        <w:rPr>
          <w:lang w:val="nl-NL"/>
        </w:rPr>
        <w:t xml:space="preserve"> h</w:t>
      </w:r>
      <w:r w:rsidRPr="006234AA">
        <w:rPr>
          <w:lang w:val="nl-NL"/>
        </w:rPr>
        <w:t xml:space="preserve">ợp đồng tương lai trái phiếu </w:t>
      </w:r>
      <w:r w:rsidR="00985DC1" w:rsidRPr="006234AA">
        <w:rPr>
          <w:lang w:val="nl-NL"/>
        </w:rPr>
        <w:t>Chính phủ</w:t>
      </w:r>
      <w:r w:rsidR="00EA2866" w:rsidRPr="006234AA">
        <w:rPr>
          <w:lang w:val="nl-NL"/>
        </w:rPr>
        <w:t xml:space="preserve"> đáo hạn</w:t>
      </w:r>
      <w:r w:rsidR="00985DC1" w:rsidRPr="006234AA">
        <w:rPr>
          <w:lang w:val="nl-NL"/>
        </w:rPr>
        <w:t xml:space="preserve"> </w:t>
      </w:r>
      <w:r w:rsidRPr="006234AA">
        <w:rPr>
          <w:lang w:val="nl-NL"/>
        </w:rPr>
        <w:t xml:space="preserve">được </w:t>
      </w:r>
      <w:r w:rsidR="00985DC1" w:rsidRPr="006234AA">
        <w:rPr>
          <w:lang w:val="nl-NL"/>
        </w:rPr>
        <w:t xml:space="preserve">thực hiện dưới hình thức </w:t>
      </w:r>
      <w:r w:rsidRPr="006234AA">
        <w:rPr>
          <w:lang w:val="nl-NL"/>
        </w:rPr>
        <w:t xml:space="preserve">thanh toán bằng tiền hoặc chuyển giao vật chất. Phương thức thanh toán được Sở giao dịch chứng khoán quy định trong từng hợp đồng. </w:t>
      </w:r>
      <w:r w:rsidR="0099526D" w:rsidRPr="006234AA">
        <w:rPr>
          <w:lang w:val="nl-NL"/>
        </w:rPr>
        <w:t xml:space="preserve">Việc </w:t>
      </w:r>
      <w:r w:rsidR="00ED37A4" w:rsidRPr="006234AA">
        <w:rPr>
          <w:lang w:val="nl-NL"/>
        </w:rPr>
        <w:t xml:space="preserve">thanh toán được </w:t>
      </w:r>
      <w:r w:rsidR="00BE11E8" w:rsidRPr="006234AA">
        <w:rPr>
          <w:lang w:val="nl-NL"/>
        </w:rPr>
        <w:t>thực hiện</w:t>
      </w:r>
      <w:r w:rsidR="00ED37A4" w:rsidRPr="006234AA">
        <w:rPr>
          <w:lang w:val="nl-NL"/>
        </w:rPr>
        <w:t xml:space="preserve"> bởi các thành viên bù trừ, thay mặt cho bên bán và bên mua của</w:t>
      </w:r>
      <w:r w:rsidR="00BE11E8" w:rsidRPr="006234AA">
        <w:rPr>
          <w:lang w:val="nl-NL"/>
        </w:rPr>
        <w:t xml:space="preserve"> </w:t>
      </w:r>
      <w:r w:rsidR="0099526D" w:rsidRPr="006234AA">
        <w:rPr>
          <w:lang w:val="nl-NL"/>
        </w:rPr>
        <w:t>hợp đồng</w:t>
      </w:r>
      <w:r w:rsidR="00837F1F" w:rsidRPr="006234AA">
        <w:rPr>
          <w:lang w:val="nl-NL"/>
        </w:rPr>
        <w:t>,</w:t>
      </w:r>
      <w:r w:rsidR="0099526D" w:rsidRPr="006234AA">
        <w:rPr>
          <w:lang w:val="nl-NL"/>
        </w:rPr>
        <w:t xml:space="preserve"> </w:t>
      </w:r>
      <w:r w:rsidR="00ED37A4" w:rsidRPr="006234AA">
        <w:rPr>
          <w:lang w:val="nl-NL"/>
        </w:rPr>
        <w:t>và</w:t>
      </w:r>
      <w:r w:rsidR="0099526D" w:rsidRPr="006234AA">
        <w:rPr>
          <w:lang w:val="nl-NL"/>
        </w:rPr>
        <w:t xml:space="preserve"> theo</w:t>
      </w:r>
      <w:r w:rsidR="00BE11E8" w:rsidRPr="006234AA">
        <w:rPr>
          <w:lang w:val="nl-NL"/>
        </w:rPr>
        <w:t xml:space="preserve"> </w:t>
      </w:r>
      <w:r w:rsidR="0099526D" w:rsidRPr="006234AA">
        <w:rPr>
          <w:lang w:val="nl-NL"/>
        </w:rPr>
        <w:t>q</w:t>
      </w:r>
      <w:r w:rsidR="00BE11E8" w:rsidRPr="006234AA">
        <w:rPr>
          <w:lang w:val="nl-NL"/>
        </w:rPr>
        <w:t>uy chế của Trung tâm Lưu ký chứng khoán.</w:t>
      </w:r>
    </w:p>
    <w:p w:rsidR="009B4B01" w:rsidRPr="006234AA" w:rsidRDefault="009B4B01" w:rsidP="003C0546">
      <w:pPr>
        <w:spacing w:after="120"/>
        <w:rPr>
          <w:lang w:val="nl-NL"/>
        </w:rPr>
      </w:pPr>
      <w:r w:rsidRPr="006234AA">
        <w:rPr>
          <w:lang w:val="nl-NL"/>
        </w:rPr>
        <w:t>2. Trường hợp thanh toán bằng trái phiếu:</w:t>
      </w:r>
    </w:p>
    <w:p w:rsidR="007710C1" w:rsidRPr="006234AA" w:rsidRDefault="00BE11E8" w:rsidP="003C0546">
      <w:pPr>
        <w:spacing w:after="120"/>
        <w:rPr>
          <w:bCs/>
          <w:lang w:val="pt-BR"/>
        </w:rPr>
      </w:pPr>
      <w:r w:rsidRPr="006234AA">
        <w:rPr>
          <w:bCs/>
          <w:lang w:val="pt-BR"/>
        </w:rPr>
        <w:t xml:space="preserve">a) Bên bán </w:t>
      </w:r>
      <w:r w:rsidR="00896FCA" w:rsidRPr="006234AA">
        <w:rPr>
          <w:bCs/>
          <w:lang w:val="pt-BR"/>
        </w:rPr>
        <w:t>có quyền</w:t>
      </w:r>
      <w:r w:rsidRPr="006234AA">
        <w:rPr>
          <w:bCs/>
          <w:lang w:val="pt-BR"/>
        </w:rPr>
        <w:t xml:space="preserve"> lựa chọn loại trái phiếu để chuyển giao cho bên mua</w:t>
      </w:r>
      <w:r w:rsidR="00896FCA" w:rsidRPr="006234AA">
        <w:rPr>
          <w:bCs/>
          <w:lang w:val="pt-BR"/>
        </w:rPr>
        <w:t>. Việc chuyển giao thực hiện trên hệ thống tài khoản lưu ký tại Trung tâm lưu ký chứng khoán</w:t>
      </w:r>
      <w:r w:rsidR="00837F1F" w:rsidRPr="006234AA">
        <w:rPr>
          <w:bCs/>
          <w:lang w:val="pt-BR"/>
        </w:rPr>
        <w:t>.</w:t>
      </w:r>
      <w:r w:rsidRPr="006234AA">
        <w:rPr>
          <w:bCs/>
          <w:lang w:val="pt-BR"/>
        </w:rPr>
        <w:t xml:space="preserve"> </w:t>
      </w:r>
      <w:r w:rsidR="00837F1F" w:rsidRPr="006234AA">
        <w:rPr>
          <w:bCs/>
          <w:lang w:val="pt-BR"/>
        </w:rPr>
        <w:t>Thành viên bù trừ của bên bán có trách nhiệm bảo đảm bên bán có đủ lượng trái phiếu đáp ứng yêu cầu về thời gian, điều kiện chuyển giao theo hợp đồng, đồng thời tiếp nhận đầy đủ tiền thanh toán giao dịch từ thành viên bù trừ của bên mua và hạch toán vào tài khoản của bên bán;</w:t>
      </w:r>
    </w:p>
    <w:p w:rsidR="00451ACF" w:rsidRPr="006234AA" w:rsidRDefault="00837F1F" w:rsidP="003C0546">
      <w:pPr>
        <w:spacing w:after="120"/>
        <w:rPr>
          <w:lang w:val="nl-NL"/>
        </w:rPr>
      </w:pPr>
      <w:r w:rsidRPr="006234AA">
        <w:rPr>
          <w:bCs/>
          <w:lang w:val="pt-BR"/>
        </w:rPr>
        <w:t xml:space="preserve">  </w:t>
      </w:r>
      <w:r w:rsidR="00BE11E8" w:rsidRPr="006234AA">
        <w:rPr>
          <w:bCs/>
          <w:lang w:val="pt-BR"/>
        </w:rPr>
        <w:t xml:space="preserve"> </w:t>
      </w:r>
      <w:r w:rsidR="00BE11E8" w:rsidRPr="006234AA">
        <w:rPr>
          <w:lang w:val="nl-NL"/>
        </w:rPr>
        <w:t>b</w:t>
      </w:r>
      <w:r w:rsidR="009B4B01" w:rsidRPr="006234AA">
        <w:rPr>
          <w:lang w:val="nl-NL"/>
        </w:rPr>
        <w:t xml:space="preserve">) Bên mua có trách nhiệm </w:t>
      </w:r>
      <w:r w:rsidR="00BD4710" w:rsidRPr="006234AA">
        <w:rPr>
          <w:lang w:val="nl-NL"/>
        </w:rPr>
        <w:t>nhận trái phiếu do bên bán chuyển giao</w:t>
      </w:r>
      <w:r w:rsidR="00EF3C45" w:rsidRPr="006234AA">
        <w:rPr>
          <w:lang w:val="nl-NL"/>
        </w:rPr>
        <w:t xml:space="preserve"> và thực hiện thanh toán</w:t>
      </w:r>
      <w:r w:rsidR="00896FCA" w:rsidRPr="006234AA">
        <w:rPr>
          <w:lang w:val="nl-NL"/>
        </w:rPr>
        <w:t xml:space="preserve">. Việc </w:t>
      </w:r>
      <w:r w:rsidR="00BD4710" w:rsidRPr="006234AA">
        <w:rPr>
          <w:lang w:val="nl-NL"/>
        </w:rPr>
        <w:t>thanh toán thực hiện</w:t>
      </w:r>
      <w:r w:rsidR="00BE11E8" w:rsidRPr="006234AA">
        <w:rPr>
          <w:lang w:val="nl-NL"/>
        </w:rPr>
        <w:t xml:space="preserve"> </w:t>
      </w:r>
      <w:r w:rsidR="00A96A42" w:rsidRPr="006234AA">
        <w:rPr>
          <w:lang w:val="nl-NL"/>
        </w:rPr>
        <w:t>dưới hình</w:t>
      </w:r>
      <w:r w:rsidR="00BD4710" w:rsidRPr="006234AA">
        <w:rPr>
          <w:lang w:val="nl-NL"/>
        </w:rPr>
        <w:t xml:space="preserve"> thức chuyển khoản. </w:t>
      </w:r>
      <w:r w:rsidRPr="006234AA">
        <w:rPr>
          <w:lang w:val="nl-NL"/>
        </w:rPr>
        <w:t xml:space="preserve">Thành viên bù trừ của bên mua có trách nhiệm phân bổ lượng trái phiếu tiếp nhận từ thành viên bù trừ của bên bán chuyển giao và hạch toán vào tài khoản của bên mua, đồng thời chuyển tiền thanh toán giao dịch từ bên mua cho thành viên bù trừ của bên bán. </w:t>
      </w:r>
    </w:p>
    <w:p w:rsidR="009B4B01" w:rsidRPr="006234AA" w:rsidRDefault="00BD4710" w:rsidP="003C0546">
      <w:pPr>
        <w:spacing w:after="120"/>
        <w:rPr>
          <w:lang w:val="nl-NL"/>
        </w:rPr>
      </w:pPr>
      <w:r w:rsidRPr="006234AA">
        <w:rPr>
          <w:lang w:val="nl-NL"/>
        </w:rPr>
        <w:t>Giá trị khoản</w:t>
      </w:r>
      <w:r w:rsidR="009B4B01" w:rsidRPr="006234AA">
        <w:rPr>
          <w:lang w:val="nl-NL"/>
        </w:rPr>
        <w:t xml:space="preserve"> </w:t>
      </w:r>
      <w:r w:rsidRPr="006234AA">
        <w:rPr>
          <w:lang w:val="nl-NL"/>
        </w:rPr>
        <w:t>thanh toán được xác định</w:t>
      </w:r>
      <w:r w:rsidR="009B4B01" w:rsidRPr="006234AA">
        <w:rPr>
          <w:lang w:val="nl-NL"/>
        </w:rPr>
        <w:t xml:space="preserve"> </w:t>
      </w:r>
      <w:r w:rsidRPr="006234AA">
        <w:rPr>
          <w:lang w:val="nl-NL"/>
        </w:rPr>
        <w:t>như</w:t>
      </w:r>
      <w:r w:rsidR="009B4B01" w:rsidRPr="006234AA">
        <w:rPr>
          <w:lang w:val="nl-NL"/>
        </w:rPr>
        <w:t xml:space="preserve"> sau:</w:t>
      </w:r>
    </w:p>
    <w:p w:rsidR="009B4B01" w:rsidRPr="006234AA" w:rsidRDefault="009B4B01" w:rsidP="003C0546">
      <w:pPr>
        <w:spacing w:after="120"/>
        <w:ind w:firstLine="0"/>
        <w:rPr>
          <w:b/>
          <w:bCs/>
          <w:lang w:val="nl-NL"/>
        </w:rPr>
      </w:pPr>
      <w:r w:rsidRPr="006234AA">
        <w:rPr>
          <w:lang w:val="nl-NL"/>
        </w:rPr>
        <w:lastRenderedPageBreak/>
        <w:t xml:space="preserve">Giá trị thanh toán </w:t>
      </w:r>
      <w:r w:rsidR="00687405" w:rsidRPr="006234AA">
        <w:rPr>
          <w:lang w:val="nl-NL"/>
        </w:rPr>
        <w:t xml:space="preserve">của một hợp đồng </w:t>
      </w:r>
      <w:r w:rsidRPr="006234AA">
        <w:rPr>
          <w:lang w:val="nl-NL"/>
        </w:rPr>
        <w:t>=</w:t>
      </w:r>
      <w:r w:rsidR="00451ACF" w:rsidRPr="006234AA">
        <w:rPr>
          <w:b/>
          <w:bCs/>
          <w:lang w:val="nl-NL"/>
        </w:rPr>
        <w:t xml:space="preserve"> </w:t>
      </w:r>
      <w:r w:rsidRPr="006234AA">
        <w:rPr>
          <w:lang w:val="pt-BR"/>
        </w:rPr>
        <w:t>Giá thanh toán cuối cùng × Hệ số chuyển đổi × Hệ số nhân hợp đồng + Lãi được hưởng</w:t>
      </w:r>
    </w:p>
    <w:p w:rsidR="00BE11E8" w:rsidRPr="006234AA" w:rsidRDefault="00687405" w:rsidP="003C0546">
      <w:pPr>
        <w:spacing w:after="120"/>
        <w:ind w:firstLine="0"/>
        <w:rPr>
          <w:lang w:val="pt-BR"/>
        </w:rPr>
      </w:pPr>
      <w:r w:rsidRPr="006234AA">
        <w:rPr>
          <w:lang w:val="pt-BR"/>
        </w:rPr>
        <w:t>t</w:t>
      </w:r>
      <w:r w:rsidR="009B4B01" w:rsidRPr="006234AA">
        <w:rPr>
          <w:lang w:val="pt-BR"/>
        </w:rPr>
        <w:t xml:space="preserve">rong đó, </w:t>
      </w:r>
      <w:r w:rsidRPr="006234AA">
        <w:rPr>
          <w:lang w:val="pt-BR"/>
        </w:rPr>
        <w:t>h</w:t>
      </w:r>
      <w:r w:rsidR="009B4B01" w:rsidRPr="006234AA">
        <w:rPr>
          <w:lang w:val="pt-BR"/>
        </w:rPr>
        <w:t xml:space="preserve">ệ số chuyển đổi </w:t>
      </w:r>
      <w:r w:rsidR="00BE11E8" w:rsidRPr="006234AA">
        <w:rPr>
          <w:lang w:val="pt-BR"/>
        </w:rPr>
        <w:t>của loại trái phiếu được chuyển giao do Sở giao dịch chứng khoán xác định.</w:t>
      </w:r>
    </w:p>
    <w:p w:rsidR="009B4B01" w:rsidRPr="006234AA" w:rsidRDefault="009B4B01" w:rsidP="003C0546">
      <w:pPr>
        <w:spacing w:after="120"/>
        <w:rPr>
          <w:lang w:val="pt-BR"/>
        </w:rPr>
      </w:pPr>
      <w:r w:rsidRPr="006234AA">
        <w:rPr>
          <w:lang w:val="pt-BR"/>
        </w:rPr>
        <w:t xml:space="preserve">3. Trường hợp thanh toán bằng tiền, </w:t>
      </w:r>
      <w:r w:rsidR="00687405" w:rsidRPr="006234AA">
        <w:rPr>
          <w:lang w:val="pt-BR"/>
        </w:rPr>
        <w:t xml:space="preserve">giá trị </w:t>
      </w:r>
      <w:r w:rsidRPr="006234AA">
        <w:rPr>
          <w:lang w:val="pt-BR"/>
        </w:rPr>
        <w:t xml:space="preserve">thanh toán </w:t>
      </w:r>
      <w:r w:rsidR="007710C1" w:rsidRPr="006234AA">
        <w:rPr>
          <w:lang w:val="pt-BR"/>
        </w:rPr>
        <w:t xml:space="preserve">được xác định </w:t>
      </w:r>
      <w:r w:rsidRPr="006234AA">
        <w:rPr>
          <w:lang w:val="pt-BR"/>
        </w:rPr>
        <w:t>trên cơ sở chênh lệch giữa giá thanh toán cuối cùng và giá thanh toán cuối ngày tại ngày giao dịch liền trước ngày giao dịch cuối cùng.</w:t>
      </w:r>
    </w:p>
    <w:p w:rsidR="00627372" w:rsidRPr="006234AA" w:rsidRDefault="009B4B01" w:rsidP="003C0546">
      <w:pPr>
        <w:pStyle w:val="Heading4"/>
        <w:spacing w:after="120"/>
      </w:pPr>
      <w:bookmarkStart w:id="83" w:name="_Toc422671964"/>
      <w:bookmarkStart w:id="84" w:name="_Toc397003333"/>
      <w:r w:rsidRPr="006234AA">
        <w:t>Quy trình</w:t>
      </w:r>
      <w:r w:rsidR="00DB1D6E" w:rsidRPr="006234AA">
        <w:t xml:space="preserve"> </w:t>
      </w:r>
      <w:r w:rsidRPr="006234AA">
        <w:t>chuyển giao</w:t>
      </w:r>
      <w:r w:rsidR="00DB1D6E" w:rsidRPr="006234AA">
        <w:t xml:space="preserve"> tài sản cơ sở và thanh toán giao dịch</w:t>
      </w:r>
      <w:bookmarkEnd w:id="83"/>
      <w:r w:rsidRPr="006234AA">
        <w:t xml:space="preserve"> </w:t>
      </w:r>
      <w:bookmarkEnd w:id="84"/>
    </w:p>
    <w:p w:rsidR="009C78CA" w:rsidRPr="006234AA" w:rsidRDefault="009C78CA" w:rsidP="003C0546">
      <w:pPr>
        <w:spacing w:after="120"/>
        <w:rPr>
          <w:lang w:val="pt-BR"/>
        </w:rPr>
      </w:pPr>
      <w:r w:rsidRPr="006234AA">
        <w:rPr>
          <w:lang w:val="pt-BR"/>
        </w:rPr>
        <w:t xml:space="preserve">1. Việc chuyển giao </w:t>
      </w:r>
      <w:r w:rsidR="00DB1D6E" w:rsidRPr="006234AA">
        <w:rPr>
          <w:lang w:val="pt-BR"/>
        </w:rPr>
        <w:t>tài sản cơ sở và thanh toán giao dịch</w:t>
      </w:r>
      <w:r w:rsidRPr="006234AA">
        <w:rPr>
          <w:lang w:val="pt-BR"/>
        </w:rPr>
        <w:t xml:space="preserve"> </w:t>
      </w:r>
      <w:r w:rsidR="00593E31" w:rsidRPr="006234AA">
        <w:rPr>
          <w:lang w:val="pt-BR"/>
        </w:rPr>
        <w:t>thực hiện theo quy trình sau</w:t>
      </w:r>
      <w:r w:rsidRPr="006234AA">
        <w:rPr>
          <w:lang w:val="pt-BR"/>
        </w:rPr>
        <w:t>:</w:t>
      </w:r>
    </w:p>
    <w:p w:rsidR="000F08E2" w:rsidRPr="006234AA" w:rsidRDefault="009C78CA" w:rsidP="00786150">
      <w:pPr>
        <w:spacing w:after="120"/>
        <w:rPr>
          <w:lang w:val="pt-BR"/>
        </w:rPr>
      </w:pPr>
      <w:r w:rsidRPr="006234AA">
        <w:rPr>
          <w:lang w:val="pt-BR"/>
        </w:rPr>
        <w:t xml:space="preserve">a) </w:t>
      </w:r>
      <w:r w:rsidR="00786150" w:rsidRPr="006234AA">
        <w:rPr>
          <w:lang w:val="pt-BR"/>
        </w:rPr>
        <w:t>Tối thiểu mười ngày làm việc t</w:t>
      </w:r>
      <w:r w:rsidR="005E67A1" w:rsidRPr="006234AA">
        <w:rPr>
          <w:lang w:val="pt-BR"/>
        </w:rPr>
        <w:t xml:space="preserve">rước </w:t>
      </w:r>
      <w:r w:rsidR="000C7F33" w:rsidRPr="006234AA">
        <w:rPr>
          <w:lang w:val="pt-BR"/>
        </w:rPr>
        <w:t>ngày</w:t>
      </w:r>
      <w:r w:rsidR="005E67A1" w:rsidRPr="006234AA">
        <w:rPr>
          <w:lang w:val="pt-BR"/>
        </w:rPr>
        <w:t xml:space="preserve"> </w:t>
      </w:r>
      <w:r w:rsidR="00786150" w:rsidRPr="006234AA">
        <w:rPr>
          <w:lang w:val="pt-BR"/>
        </w:rPr>
        <w:t xml:space="preserve">giao dịch </w:t>
      </w:r>
      <w:r w:rsidR="002E756E" w:rsidRPr="006234AA">
        <w:rPr>
          <w:lang w:val="pt-BR"/>
        </w:rPr>
        <w:t>cuối cùng</w:t>
      </w:r>
      <w:r w:rsidR="005E67A1" w:rsidRPr="006234AA">
        <w:rPr>
          <w:lang w:val="pt-BR"/>
        </w:rPr>
        <w:t xml:space="preserve">, </w:t>
      </w:r>
      <w:r w:rsidR="00786150" w:rsidRPr="006234AA">
        <w:rPr>
          <w:lang w:val="pt-BR"/>
        </w:rPr>
        <w:t>Trung tâm Lưu ký chứng khoán gửi thông báo hướng dẫn việc chuyển giao tài sản cơ sở cho các thành viên bù trừ bên Bán và hướng dẫn việc thanh toán giao dịch</w:t>
      </w:r>
      <w:r w:rsidR="00F602C1" w:rsidRPr="006234AA">
        <w:rPr>
          <w:lang w:val="pt-BR"/>
        </w:rPr>
        <w:t xml:space="preserve"> </w:t>
      </w:r>
      <w:r w:rsidR="00786150" w:rsidRPr="006234AA">
        <w:rPr>
          <w:lang w:val="pt-BR"/>
        </w:rPr>
        <w:t>cho thành viên bù trừ bên Mua</w:t>
      </w:r>
      <w:r w:rsidR="00F602C1" w:rsidRPr="006234AA">
        <w:rPr>
          <w:lang w:val="pt-BR"/>
        </w:rPr>
        <w:t xml:space="preserve"> của hợp đồng </w:t>
      </w:r>
      <w:r w:rsidR="005E67A1" w:rsidRPr="006234AA">
        <w:rPr>
          <w:lang w:val="pt-BR"/>
        </w:rPr>
        <w:t xml:space="preserve">sắp </w:t>
      </w:r>
      <w:r w:rsidR="00F602C1" w:rsidRPr="006234AA">
        <w:rPr>
          <w:lang w:val="pt-BR"/>
        </w:rPr>
        <w:t xml:space="preserve">đáo hạn </w:t>
      </w:r>
      <w:r w:rsidR="005E67A1" w:rsidRPr="006234AA">
        <w:rPr>
          <w:lang w:val="pt-BR"/>
        </w:rPr>
        <w:t>theo quy chế của Trung tâm Lưu ký chứng khoán</w:t>
      </w:r>
      <w:r w:rsidR="00DD0DA8" w:rsidRPr="006234AA">
        <w:rPr>
          <w:lang w:val="pt-BR"/>
        </w:rPr>
        <w:t>;</w:t>
      </w:r>
    </w:p>
    <w:p w:rsidR="00224D33" w:rsidRPr="006234AA" w:rsidRDefault="001F5FFB" w:rsidP="00826DCE">
      <w:pPr>
        <w:spacing w:after="120"/>
        <w:rPr>
          <w:lang w:val="pt-BR"/>
        </w:rPr>
      </w:pPr>
      <w:r w:rsidRPr="006234AA">
        <w:rPr>
          <w:lang w:val="pt-BR"/>
        </w:rPr>
        <w:t xml:space="preserve">b) </w:t>
      </w:r>
      <w:r w:rsidR="000F122F" w:rsidRPr="006234AA">
        <w:rPr>
          <w:lang w:val="pt-BR"/>
        </w:rPr>
        <w:t>T</w:t>
      </w:r>
      <w:r w:rsidR="00786150" w:rsidRPr="006234AA">
        <w:rPr>
          <w:lang w:val="pt-BR"/>
        </w:rPr>
        <w:t>ại</w:t>
      </w:r>
      <w:r w:rsidR="003645F8" w:rsidRPr="006234AA">
        <w:rPr>
          <w:lang w:val="pt-BR"/>
        </w:rPr>
        <w:t xml:space="preserve"> ngày </w:t>
      </w:r>
      <w:r w:rsidR="00D54644" w:rsidRPr="006234AA">
        <w:rPr>
          <w:lang w:val="pt-BR"/>
        </w:rPr>
        <w:t>giao dịch cuối cùng</w:t>
      </w:r>
      <w:r w:rsidR="000F122F" w:rsidRPr="006234AA">
        <w:rPr>
          <w:lang w:val="pt-BR"/>
        </w:rPr>
        <w:t xml:space="preserve"> (ngày </w:t>
      </w:r>
      <w:r w:rsidR="00786150" w:rsidRPr="006234AA">
        <w:rPr>
          <w:lang w:val="pt-BR"/>
        </w:rPr>
        <w:t>T</w:t>
      </w:r>
      <w:r w:rsidR="000F122F" w:rsidRPr="006234AA">
        <w:rPr>
          <w:lang w:val="pt-BR"/>
        </w:rPr>
        <w:t>)</w:t>
      </w:r>
      <w:r w:rsidR="003645F8" w:rsidRPr="006234AA">
        <w:rPr>
          <w:lang w:val="pt-BR"/>
        </w:rPr>
        <w:t xml:space="preserve">, </w:t>
      </w:r>
      <w:r w:rsidR="00D54644" w:rsidRPr="006234AA">
        <w:rPr>
          <w:lang w:val="pt-BR"/>
        </w:rPr>
        <w:t xml:space="preserve">sau khi kết thúc phiên giao dịch, </w:t>
      </w:r>
      <w:r w:rsidR="00296568" w:rsidRPr="006234AA">
        <w:rPr>
          <w:lang w:val="pt-BR"/>
        </w:rPr>
        <w:t xml:space="preserve">thành viên bù trừ </w:t>
      </w:r>
      <w:r w:rsidR="00AA4528" w:rsidRPr="006234AA">
        <w:rPr>
          <w:lang w:val="pt-BR"/>
        </w:rPr>
        <w:t>B</w:t>
      </w:r>
      <w:r w:rsidRPr="006234AA">
        <w:rPr>
          <w:lang w:val="pt-BR"/>
        </w:rPr>
        <w:t>ên bán của hợp đồng đáo hạn</w:t>
      </w:r>
      <w:r w:rsidR="009C78CA" w:rsidRPr="006234AA">
        <w:rPr>
          <w:lang w:val="pt-BR"/>
        </w:rPr>
        <w:t xml:space="preserve"> </w:t>
      </w:r>
      <w:r w:rsidR="005E67A1" w:rsidRPr="006234AA">
        <w:rPr>
          <w:lang w:val="pt-BR"/>
        </w:rPr>
        <w:t xml:space="preserve">thông báo cho Trung tâm Lưu ký chứng khoán </w:t>
      </w:r>
      <w:r w:rsidR="00982526" w:rsidRPr="006234AA">
        <w:rPr>
          <w:lang w:val="pt-BR"/>
        </w:rPr>
        <w:t xml:space="preserve">về </w:t>
      </w:r>
      <w:r w:rsidR="00826DCE" w:rsidRPr="006234AA">
        <w:rPr>
          <w:lang w:val="pt-BR"/>
        </w:rPr>
        <w:t>vị thế giao dịch bán</w:t>
      </w:r>
      <w:r w:rsidR="00224D33" w:rsidRPr="006234AA">
        <w:rPr>
          <w:lang w:val="pt-BR"/>
        </w:rPr>
        <w:t xml:space="preserve"> và loại </w:t>
      </w:r>
      <w:r w:rsidR="00DB1D6E" w:rsidRPr="006234AA">
        <w:rPr>
          <w:lang w:val="pt-BR"/>
        </w:rPr>
        <w:t xml:space="preserve">tài sản cơ sở </w:t>
      </w:r>
      <w:r w:rsidR="00224D33" w:rsidRPr="006234AA">
        <w:rPr>
          <w:lang w:val="pt-BR"/>
        </w:rPr>
        <w:t>dự kiến chuyển giao</w:t>
      </w:r>
      <w:r w:rsidR="003645F8" w:rsidRPr="006234AA">
        <w:rPr>
          <w:lang w:val="pt-BR"/>
        </w:rPr>
        <w:t>;</w:t>
      </w:r>
      <w:r w:rsidR="00296568" w:rsidRPr="006234AA">
        <w:rPr>
          <w:lang w:val="pt-BR"/>
        </w:rPr>
        <w:t xml:space="preserve"> thành viên bù trừ </w:t>
      </w:r>
      <w:r w:rsidR="00AA4528" w:rsidRPr="006234AA">
        <w:rPr>
          <w:lang w:val="pt-BR"/>
        </w:rPr>
        <w:t>B</w:t>
      </w:r>
      <w:r w:rsidR="00296568" w:rsidRPr="006234AA">
        <w:rPr>
          <w:lang w:val="pt-BR"/>
        </w:rPr>
        <w:t xml:space="preserve">ên mua của hợp đồng đáo hạn thông báo </w:t>
      </w:r>
      <w:r w:rsidR="003645F8" w:rsidRPr="006234AA">
        <w:rPr>
          <w:lang w:val="pt-BR"/>
        </w:rPr>
        <w:t xml:space="preserve">cho Trung tâm lưu ký chứng khoán </w:t>
      </w:r>
      <w:r w:rsidR="00296568" w:rsidRPr="006234AA">
        <w:rPr>
          <w:lang w:val="pt-BR"/>
        </w:rPr>
        <w:t xml:space="preserve">về </w:t>
      </w:r>
      <w:r w:rsidR="00826DCE" w:rsidRPr="006234AA">
        <w:rPr>
          <w:lang w:val="pt-BR"/>
        </w:rPr>
        <w:t>vị thế giao dịch mua</w:t>
      </w:r>
      <w:r w:rsidR="00296568" w:rsidRPr="006234AA">
        <w:rPr>
          <w:lang w:val="pt-BR"/>
        </w:rPr>
        <w:t>.</w:t>
      </w:r>
      <w:r w:rsidR="005E67A1" w:rsidRPr="006234AA">
        <w:rPr>
          <w:lang w:val="pt-BR"/>
        </w:rPr>
        <w:t xml:space="preserve"> </w:t>
      </w:r>
    </w:p>
    <w:p w:rsidR="00224D33" w:rsidRPr="006234AA" w:rsidRDefault="00224D33" w:rsidP="00826DCE">
      <w:pPr>
        <w:spacing w:after="120"/>
        <w:rPr>
          <w:lang w:val="pt-BR"/>
        </w:rPr>
      </w:pPr>
      <w:r w:rsidRPr="006234AA">
        <w:rPr>
          <w:lang w:val="pt-BR"/>
        </w:rPr>
        <w:t xml:space="preserve">Trường hợp thành viên bù trừ bên Bán không thông báo về </w:t>
      </w:r>
      <w:r w:rsidR="00DB1D6E" w:rsidRPr="006234AA">
        <w:rPr>
          <w:lang w:val="pt-BR"/>
        </w:rPr>
        <w:t>loại tài sản cơ sở chuyể giao</w:t>
      </w:r>
      <w:r w:rsidRPr="006234AA">
        <w:rPr>
          <w:lang w:val="pt-BR"/>
        </w:rPr>
        <w:t xml:space="preserve">, thành viên bù trừ bên Bán có nghĩa vụ phải chuyển giao loại </w:t>
      </w:r>
      <w:r w:rsidR="00DB1D6E" w:rsidRPr="006234AA">
        <w:rPr>
          <w:lang w:val="pt-BR"/>
        </w:rPr>
        <w:t>loại tài sản cơ sở</w:t>
      </w:r>
      <w:r w:rsidRPr="006234AA">
        <w:rPr>
          <w:lang w:val="pt-BR"/>
        </w:rPr>
        <w:t xml:space="preserve"> theo chỉ định của Trung tâm Lưu ký chứng khoán;</w:t>
      </w:r>
    </w:p>
    <w:p w:rsidR="009C78CA" w:rsidRPr="006234AA" w:rsidRDefault="005E67A1" w:rsidP="00826DCE">
      <w:pPr>
        <w:spacing w:after="120"/>
        <w:rPr>
          <w:lang w:val="pt-BR"/>
        </w:rPr>
      </w:pPr>
      <w:r w:rsidRPr="006234AA">
        <w:rPr>
          <w:lang w:val="pt-BR"/>
        </w:rPr>
        <w:t>Trung tâm lưu ký chứng khoán khớp các yêu cầu bán và mua</w:t>
      </w:r>
      <w:r w:rsidR="000F122F" w:rsidRPr="006234AA">
        <w:rPr>
          <w:lang w:val="pt-BR"/>
        </w:rPr>
        <w:t xml:space="preserve"> </w:t>
      </w:r>
      <w:r w:rsidR="003645F8" w:rsidRPr="006234AA">
        <w:rPr>
          <w:lang w:val="pt-BR"/>
        </w:rPr>
        <w:t xml:space="preserve">ngay trong ngày </w:t>
      </w:r>
      <w:r w:rsidR="00826DCE" w:rsidRPr="006234AA">
        <w:rPr>
          <w:lang w:val="pt-BR"/>
        </w:rPr>
        <w:t>giao dịch cuối cùng</w:t>
      </w:r>
      <w:r w:rsidRPr="006234AA">
        <w:rPr>
          <w:lang w:val="pt-BR"/>
        </w:rPr>
        <w:t xml:space="preserve">, đồng thời thông báo cho </w:t>
      </w:r>
      <w:r w:rsidR="00F61CBB" w:rsidRPr="006234AA">
        <w:rPr>
          <w:lang w:val="pt-BR"/>
        </w:rPr>
        <w:t xml:space="preserve">thành viên bù trừ </w:t>
      </w:r>
      <w:r w:rsidR="00593E31" w:rsidRPr="006234AA">
        <w:rPr>
          <w:lang w:val="pt-BR"/>
        </w:rPr>
        <w:t>bên bán</w:t>
      </w:r>
      <w:r w:rsidRPr="006234AA">
        <w:rPr>
          <w:lang w:val="pt-BR"/>
        </w:rPr>
        <w:t xml:space="preserve"> và bên mua</w:t>
      </w:r>
      <w:r w:rsidR="00593E31" w:rsidRPr="006234AA">
        <w:rPr>
          <w:lang w:val="pt-BR"/>
        </w:rPr>
        <w:t xml:space="preserve"> </w:t>
      </w:r>
      <w:r w:rsidR="009C78CA" w:rsidRPr="006234AA">
        <w:rPr>
          <w:lang w:val="pt-BR"/>
        </w:rPr>
        <w:t>về nghĩa vụ chuyển giao</w:t>
      </w:r>
      <w:r w:rsidRPr="006234AA">
        <w:rPr>
          <w:lang w:val="pt-BR"/>
        </w:rPr>
        <w:t xml:space="preserve"> tài sản và</w:t>
      </w:r>
      <w:r w:rsidR="009C78CA" w:rsidRPr="006234AA">
        <w:rPr>
          <w:lang w:val="pt-BR"/>
        </w:rPr>
        <w:t xml:space="preserve"> </w:t>
      </w:r>
      <w:r w:rsidRPr="006234AA">
        <w:rPr>
          <w:lang w:val="pt-BR"/>
        </w:rPr>
        <w:t>nghĩa vụ thanh toán</w:t>
      </w:r>
      <w:r w:rsidR="00826DCE" w:rsidRPr="006234AA">
        <w:rPr>
          <w:lang w:val="pt-BR"/>
        </w:rPr>
        <w:t xml:space="preserve">. Việc khớp các lệnh giao dịch được thực hiện trên hệ thống của Trung tâm lưu ký chứng khoán </w:t>
      </w:r>
      <w:r w:rsidR="00982526" w:rsidRPr="006234AA">
        <w:rPr>
          <w:lang w:val="pt-BR"/>
        </w:rPr>
        <w:t>và không phụ thuộc vào loại tài sản chuyển giao của bên bán</w:t>
      </w:r>
      <w:r w:rsidR="00A174B6" w:rsidRPr="006234AA">
        <w:rPr>
          <w:lang w:val="pt-BR"/>
        </w:rPr>
        <w:t>;</w:t>
      </w:r>
    </w:p>
    <w:p w:rsidR="00CD793E" w:rsidRPr="006234AA" w:rsidRDefault="004000E6" w:rsidP="00CD793E">
      <w:pPr>
        <w:spacing w:after="120"/>
        <w:rPr>
          <w:lang w:val="nl-NL"/>
        </w:rPr>
      </w:pPr>
      <w:r w:rsidRPr="006234AA">
        <w:rPr>
          <w:lang w:val="pt-BR"/>
        </w:rPr>
        <w:t xml:space="preserve">c) </w:t>
      </w:r>
      <w:r w:rsidR="00224D33" w:rsidRPr="006234AA">
        <w:rPr>
          <w:lang w:val="pt-BR"/>
        </w:rPr>
        <w:t xml:space="preserve">Tại </w:t>
      </w:r>
      <w:r w:rsidRPr="006234AA">
        <w:rPr>
          <w:lang w:val="pt-BR"/>
        </w:rPr>
        <w:t xml:space="preserve">ngày làm việc kế tiếp sau ngày </w:t>
      </w:r>
      <w:r w:rsidR="00224D33" w:rsidRPr="006234AA">
        <w:rPr>
          <w:lang w:val="pt-BR"/>
        </w:rPr>
        <w:t>giao dịch cuối cùng</w:t>
      </w:r>
      <w:r w:rsidRPr="006234AA">
        <w:rPr>
          <w:lang w:val="pt-BR"/>
        </w:rPr>
        <w:t xml:space="preserve"> (T+1), thành viên bù trừ bên </w:t>
      </w:r>
      <w:r w:rsidR="000F122F" w:rsidRPr="006234AA">
        <w:rPr>
          <w:lang w:val="pt-BR"/>
        </w:rPr>
        <w:t>B</w:t>
      </w:r>
      <w:r w:rsidRPr="006234AA">
        <w:rPr>
          <w:lang w:val="pt-BR"/>
        </w:rPr>
        <w:t>án</w:t>
      </w:r>
      <w:r w:rsidR="000F122F" w:rsidRPr="006234AA">
        <w:rPr>
          <w:lang w:val="pt-BR"/>
        </w:rPr>
        <w:t xml:space="preserve"> </w:t>
      </w:r>
      <w:r w:rsidR="00826DCE" w:rsidRPr="006234AA">
        <w:rPr>
          <w:lang w:val="nl-NL"/>
        </w:rPr>
        <w:t>có trách nhiệm</w:t>
      </w:r>
      <w:r w:rsidR="00224D33" w:rsidRPr="006234AA">
        <w:rPr>
          <w:lang w:val="nl-NL"/>
        </w:rPr>
        <w:t xml:space="preserve"> phong tỏa</w:t>
      </w:r>
      <w:r w:rsidR="00826DCE" w:rsidRPr="006234AA">
        <w:rPr>
          <w:lang w:val="nl-NL"/>
        </w:rPr>
        <w:t xml:space="preserve"> </w:t>
      </w:r>
      <w:r w:rsidR="00224D33" w:rsidRPr="006234AA">
        <w:rPr>
          <w:lang w:val="nl-NL"/>
        </w:rPr>
        <w:t>lượng</w:t>
      </w:r>
      <w:r w:rsidR="00826DCE" w:rsidRPr="006234AA">
        <w:rPr>
          <w:lang w:val="pt-BR"/>
        </w:rPr>
        <w:t xml:space="preserve"> </w:t>
      </w:r>
      <w:r w:rsidR="00F61CBB" w:rsidRPr="006234AA">
        <w:rPr>
          <w:lang w:val="pt-BR"/>
        </w:rPr>
        <w:t>loại tài sản cơ sở chuyển giao</w:t>
      </w:r>
      <w:r w:rsidR="00CD793E" w:rsidRPr="006234AA">
        <w:rPr>
          <w:lang w:val="pt-BR"/>
        </w:rPr>
        <w:t xml:space="preserve"> trên tài khoản lưu ký của bên Bán</w:t>
      </w:r>
      <w:r w:rsidR="00224D33" w:rsidRPr="006234AA">
        <w:rPr>
          <w:lang w:val="pt-BR"/>
        </w:rPr>
        <w:t>,</w:t>
      </w:r>
      <w:r w:rsidR="00826DCE" w:rsidRPr="006234AA">
        <w:rPr>
          <w:lang w:val="nl-NL"/>
        </w:rPr>
        <w:t xml:space="preserve"> và thành viên bù trừ bên Mua có trách nhiệm</w:t>
      </w:r>
      <w:r w:rsidR="00CD793E" w:rsidRPr="006234AA">
        <w:rPr>
          <w:lang w:val="nl-NL"/>
        </w:rPr>
        <w:t xml:space="preserve"> phong tỏa tiền thanh toán của bên Mua trên tài khoản tiền gửi ký quỹ của bên Mua;</w:t>
      </w:r>
    </w:p>
    <w:p w:rsidR="009C78CA" w:rsidRPr="006234AA" w:rsidRDefault="004000E6" w:rsidP="003C0546">
      <w:pPr>
        <w:spacing w:after="120"/>
        <w:rPr>
          <w:lang w:val="pt-BR"/>
        </w:rPr>
      </w:pPr>
      <w:r w:rsidRPr="006234AA">
        <w:rPr>
          <w:lang w:val="pt-BR"/>
        </w:rPr>
        <w:t>d</w:t>
      </w:r>
      <w:r w:rsidR="009C78CA" w:rsidRPr="006234AA">
        <w:rPr>
          <w:lang w:val="pt-BR"/>
        </w:rPr>
        <w:t xml:space="preserve">) </w:t>
      </w:r>
      <w:r w:rsidR="00224D33" w:rsidRPr="006234AA">
        <w:rPr>
          <w:lang w:val="pt-BR"/>
        </w:rPr>
        <w:t xml:space="preserve">Tại ngày thanh toán cuối cùng (T+2), </w:t>
      </w:r>
      <w:r w:rsidR="00F61CBB" w:rsidRPr="006234AA">
        <w:rPr>
          <w:lang w:val="pt-BR"/>
        </w:rPr>
        <w:t>tài sản cơ sở</w:t>
      </w:r>
      <w:r w:rsidR="00296568" w:rsidRPr="006234AA">
        <w:rPr>
          <w:lang w:val="pt-BR"/>
        </w:rPr>
        <w:t xml:space="preserve"> chuyển giao, tiền thanh toán</w:t>
      </w:r>
      <w:r w:rsidR="009C78CA" w:rsidRPr="006234AA">
        <w:rPr>
          <w:lang w:val="pt-BR"/>
        </w:rPr>
        <w:t xml:space="preserve"> phải được kết chuyển đầy đủ vào tài khoản của </w:t>
      </w:r>
      <w:r w:rsidR="00296568" w:rsidRPr="006234AA">
        <w:rPr>
          <w:lang w:val="pt-BR"/>
        </w:rPr>
        <w:t xml:space="preserve">các bên tham giao giao dịch trên hệ thống </w:t>
      </w:r>
      <w:r w:rsidR="00C060E1" w:rsidRPr="006234AA">
        <w:rPr>
          <w:lang w:val="pt-BR"/>
        </w:rPr>
        <w:t xml:space="preserve">theo quy chế </w:t>
      </w:r>
      <w:r w:rsidR="00296568" w:rsidRPr="006234AA">
        <w:rPr>
          <w:lang w:val="pt-BR"/>
        </w:rPr>
        <w:t xml:space="preserve">của </w:t>
      </w:r>
      <w:r w:rsidR="008573AD" w:rsidRPr="006234AA">
        <w:rPr>
          <w:lang w:val="pt-BR"/>
        </w:rPr>
        <w:t>Trung tâm lưu ký chứng khoán</w:t>
      </w:r>
      <w:r w:rsidR="00C2299C" w:rsidRPr="006234AA">
        <w:rPr>
          <w:lang w:val="pt-BR"/>
        </w:rPr>
        <w:t>.</w:t>
      </w:r>
      <w:r w:rsidR="009C78CA" w:rsidRPr="006234AA">
        <w:rPr>
          <w:lang w:val="pt-BR"/>
        </w:rPr>
        <w:t xml:space="preserve"> </w:t>
      </w:r>
    </w:p>
    <w:p w:rsidR="009C78CA" w:rsidRPr="006234AA" w:rsidRDefault="00C2299C" w:rsidP="003C0546">
      <w:pPr>
        <w:spacing w:after="120"/>
        <w:rPr>
          <w:lang w:val="pt-BR"/>
        </w:rPr>
      </w:pPr>
      <w:r w:rsidRPr="006234AA">
        <w:rPr>
          <w:lang w:val="pt-BR"/>
        </w:rPr>
        <w:t>2.</w:t>
      </w:r>
      <w:r w:rsidR="009C78CA" w:rsidRPr="006234AA">
        <w:rPr>
          <w:lang w:val="pt-BR"/>
        </w:rPr>
        <w:t xml:space="preserve"> Trường hợp </w:t>
      </w:r>
      <w:r w:rsidR="005432E8" w:rsidRPr="006234AA">
        <w:rPr>
          <w:lang w:val="pt-BR"/>
        </w:rPr>
        <w:t xml:space="preserve">thành viên bù trừ của bên bán </w:t>
      </w:r>
      <w:r w:rsidR="009C78CA" w:rsidRPr="006234AA">
        <w:rPr>
          <w:lang w:val="pt-BR"/>
        </w:rPr>
        <w:t xml:space="preserve">không </w:t>
      </w:r>
      <w:r w:rsidR="00224D33" w:rsidRPr="006234AA">
        <w:rPr>
          <w:lang w:val="pt-BR"/>
        </w:rPr>
        <w:t xml:space="preserve">thực hiện </w:t>
      </w:r>
      <w:r w:rsidR="009C78CA" w:rsidRPr="006234AA">
        <w:rPr>
          <w:lang w:val="pt-BR"/>
        </w:rPr>
        <w:t xml:space="preserve">chuyển giao </w:t>
      </w:r>
      <w:r w:rsidR="005432E8" w:rsidRPr="006234AA">
        <w:rPr>
          <w:lang w:val="pt-BR"/>
        </w:rPr>
        <w:t xml:space="preserve">tài sản cơ sở </w:t>
      </w:r>
      <w:r w:rsidR="009C78CA" w:rsidRPr="006234AA">
        <w:rPr>
          <w:lang w:val="pt-BR"/>
        </w:rPr>
        <w:t xml:space="preserve">theo quy định tại khoản </w:t>
      </w:r>
      <w:r w:rsidR="00A067BB" w:rsidRPr="006234AA">
        <w:rPr>
          <w:lang w:val="pt-BR"/>
        </w:rPr>
        <w:t xml:space="preserve">1 Điều </w:t>
      </w:r>
      <w:r w:rsidR="009C78CA" w:rsidRPr="006234AA">
        <w:rPr>
          <w:lang w:val="pt-BR"/>
        </w:rPr>
        <w:t xml:space="preserve">này. </w:t>
      </w:r>
      <w:r w:rsidR="008573AD" w:rsidRPr="006234AA">
        <w:rPr>
          <w:lang w:val="pt-BR"/>
        </w:rPr>
        <w:t>Trung tâm lưu ký chứng khoán</w:t>
      </w:r>
      <w:r w:rsidR="009C78CA" w:rsidRPr="006234AA">
        <w:rPr>
          <w:lang w:val="pt-BR"/>
        </w:rPr>
        <w:t xml:space="preserve"> được quyền thực hiện các giải pháp sau:</w:t>
      </w:r>
    </w:p>
    <w:p w:rsidR="00224D33" w:rsidRPr="006234AA" w:rsidRDefault="00224D33" w:rsidP="00224D33">
      <w:pPr>
        <w:spacing w:after="120"/>
        <w:rPr>
          <w:lang w:val="pt-BR"/>
        </w:rPr>
      </w:pPr>
      <w:r w:rsidRPr="006234AA">
        <w:rPr>
          <w:lang w:val="pt-BR"/>
        </w:rPr>
        <w:lastRenderedPageBreak/>
        <w:t>a) Yêu cầu thành viên bù trừ bên bán thực hiện giao dịch phát mua cho đủ tài sản để chuyển giao;</w:t>
      </w:r>
    </w:p>
    <w:p w:rsidR="009C78CA" w:rsidRPr="006234AA" w:rsidRDefault="00224D33" w:rsidP="003C0546">
      <w:pPr>
        <w:spacing w:after="120"/>
        <w:rPr>
          <w:lang w:val="pt-BR"/>
        </w:rPr>
      </w:pPr>
      <w:r w:rsidRPr="006234AA">
        <w:rPr>
          <w:lang w:val="pt-BR"/>
        </w:rPr>
        <w:t>b</w:t>
      </w:r>
      <w:r w:rsidR="00CF558F" w:rsidRPr="006234AA">
        <w:rPr>
          <w:lang w:val="pt-BR"/>
        </w:rPr>
        <w:t>)</w:t>
      </w:r>
      <w:r w:rsidR="009C78CA" w:rsidRPr="006234AA">
        <w:rPr>
          <w:lang w:val="pt-BR"/>
        </w:rPr>
        <w:t xml:space="preserve"> Yêu cầu thành viên bù trừ </w:t>
      </w:r>
      <w:r w:rsidR="005601A1" w:rsidRPr="006234AA">
        <w:rPr>
          <w:lang w:val="pt-BR"/>
        </w:rPr>
        <w:t xml:space="preserve">bên bán </w:t>
      </w:r>
      <w:r w:rsidR="009C78CA" w:rsidRPr="006234AA">
        <w:rPr>
          <w:lang w:val="pt-BR"/>
        </w:rPr>
        <w:t>vay trên hệ thống của Trung tâm lưu ký chứng khoán tài sản chuyển giao</w:t>
      </w:r>
      <w:r w:rsidRPr="006234AA">
        <w:rPr>
          <w:lang w:val="pt-BR"/>
        </w:rPr>
        <w:t>.</w:t>
      </w:r>
    </w:p>
    <w:p w:rsidR="000E4DE6" w:rsidRPr="006234AA" w:rsidRDefault="000E4DE6" w:rsidP="003C0546">
      <w:pPr>
        <w:spacing w:after="120"/>
        <w:rPr>
          <w:lang w:val="pt-BR"/>
        </w:rPr>
      </w:pPr>
      <w:r w:rsidRPr="006234AA">
        <w:rPr>
          <w:lang w:val="pt-BR"/>
        </w:rPr>
        <w:t>3.</w:t>
      </w:r>
      <w:r w:rsidR="002464DB" w:rsidRPr="006234AA">
        <w:rPr>
          <w:lang w:val="pt-BR"/>
        </w:rPr>
        <w:t xml:space="preserve"> </w:t>
      </w:r>
      <w:r w:rsidR="009C78CA" w:rsidRPr="006234AA">
        <w:rPr>
          <w:lang w:val="pt-BR"/>
        </w:rPr>
        <w:t xml:space="preserve">Trường hợp </w:t>
      </w:r>
      <w:r w:rsidR="00102915" w:rsidRPr="006234AA">
        <w:rPr>
          <w:lang w:val="pt-BR"/>
        </w:rPr>
        <w:t>cần thiết</w:t>
      </w:r>
      <w:r w:rsidR="00FE35E4" w:rsidRPr="006234AA">
        <w:rPr>
          <w:lang w:val="pt-BR"/>
        </w:rPr>
        <w:t xml:space="preserve">, </w:t>
      </w:r>
      <w:r w:rsidR="008573AD" w:rsidRPr="006234AA">
        <w:rPr>
          <w:lang w:val="pt-BR"/>
        </w:rPr>
        <w:t>Trung tâm lưu ký chứng khoán</w:t>
      </w:r>
      <w:r w:rsidR="009C78CA" w:rsidRPr="006234AA">
        <w:rPr>
          <w:lang w:val="pt-BR"/>
        </w:rPr>
        <w:t xml:space="preserve"> </w:t>
      </w:r>
      <w:r w:rsidR="00FE35E4" w:rsidRPr="006234AA">
        <w:rPr>
          <w:lang w:val="pt-BR"/>
        </w:rPr>
        <w:t xml:space="preserve">được sử dụng nguồn từ tài sản ký quỹ, khoản đóng góp vào quỹ bù trừ của thành viên bù trừ mất khả năng thanh toán và của các thành viên khác, quỹ dự phòng rủi ro </w:t>
      </w:r>
      <w:r w:rsidR="00102915" w:rsidRPr="006234AA">
        <w:rPr>
          <w:lang w:val="pt-BR"/>
        </w:rPr>
        <w:t>để</w:t>
      </w:r>
      <w:r w:rsidRPr="006234AA">
        <w:rPr>
          <w:lang w:val="pt-BR"/>
        </w:rPr>
        <w:t>:</w:t>
      </w:r>
    </w:p>
    <w:p w:rsidR="00FE35E4" w:rsidRPr="006234AA" w:rsidRDefault="000E4DE6" w:rsidP="003C0546">
      <w:pPr>
        <w:spacing w:after="120"/>
        <w:rPr>
          <w:lang w:val="nl-NL"/>
        </w:rPr>
      </w:pPr>
      <w:r w:rsidRPr="006234AA">
        <w:rPr>
          <w:lang w:val="pt-BR"/>
        </w:rPr>
        <w:t xml:space="preserve">a) </w:t>
      </w:r>
      <w:r w:rsidR="00102915" w:rsidRPr="006234AA">
        <w:rPr>
          <w:lang w:val="pt-BR"/>
        </w:rPr>
        <w:t>T</w:t>
      </w:r>
      <w:r w:rsidR="009C78CA" w:rsidRPr="006234AA">
        <w:rPr>
          <w:lang w:val="pt-BR"/>
        </w:rPr>
        <w:t xml:space="preserve">hực hiện các giải pháp </w:t>
      </w:r>
      <w:r w:rsidR="00102915" w:rsidRPr="006234AA">
        <w:rPr>
          <w:lang w:val="pt-BR"/>
        </w:rPr>
        <w:t xml:space="preserve">quy định tại khoản 2 Điều này </w:t>
      </w:r>
      <w:r w:rsidR="009C78CA" w:rsidRPr="006234AA">
        <w:rPr>
          <w:lang w:val="pt-BR"/>
        </w:rPr>
        <w:t>dưới tên của thành viên bù trừ</w:t>
      </w:r>
      <w:r w:rsidR="00FE35E4" w:rsidRPr="006234AA">
        <w:rPr>
          <w:lang w:val="nl-NL"/>
        </w:rPr>
        <w:t>;</w:t>
      </w:r>
    </w:p>
    <w:p w:rsidR="000E4DE6" w:rsidRPr="006234AA" w:rsidRDefault="00FE35E4" w:rsidP="003C0546">
      <w:pPr>
        <w:spacing w:after="120"/>
        <w:rPr>
          <w:lang w:val="nl-NL"/>
        </w:rPr>
      </w:pPr>
      <w:r w:rsidRPr="006234AA">
        <w:rPr>
          <w:lang w:val="nl-NL"/>
        </w:rPr>
        <w:t xml:space="preserve"> </w:t>
      </w:r>
      <w:r w:rsidR="000E4DE6" w:rsidRPr="006234AA">
        <w:rPr>
          <w:lang w:val="nl-NL"/>
        </w:rPr>
        <w:t>b) Thanh toán cho thành viên bù trừ bên mua khoản chênh lệch giữa giá trị thanh toán xác định trên cơ sở giá thanh toán cuối cùng và giá trị thanh toán xác định trên cơ sở giá thị trường hợp lý được xác định tại thời điểm chuyển giao theo quy chế của Trung tâm Lưu ký chứng khoán;</w:t>
      </w:r>
    </w:p>
    <w:p w:rsidR="000E4DE6" w:rsidRPr="006234AA" w:rsidRDefault="000E4DE6" w:rsidP="003C0546">
      <w:pPr>
        <w:spacing w:after="120"/>
        <w:rPr>
          <w:lang w:val="pt-BR"/>
        </w:rPr>
      </w:pPr>
      <w:r w:rsidRPr="006234AA">
        <w:rPr>
          <w:lang w:val="nl-NL"/>
        </w:rPr>
        <w:t xml:space="preserve">c) Chuyển giao hoặc nhận chuyển giao </w:t>
      </w:r>
      <w:r w:rsidR="00FE35E4" w:rsidRPr="006234AA">
        <w:rPr>
          <w:lang w:val="nl-NL"/>
        </w:rPr>
        <w:t>tài sản cơ sở theo hợp đồng.</w:t>
      </w:r>
    </w:p>
    <w:p w:rsidR="000E4DE6" w:rsidRPr="006234AA" w:rsidRDefault="00FE35E4" w:rsidP="003C0546">
      <w:pPr>
        <w:spacing w:after="120"/>
        <w:rPr>
          <w:lang w:val="pt-BR"/>
        </w:rPr>
      </w:pPr>
      <w:r w:rsidRPr="006234AA">
        <w:rPr>
          <w:lang w:val="pt-BR"/>
        </w:rPr>
        <w:t xml:space="preserve">4. </w:t>
      </w:r>
      <w:r w:rsidR="009C78CA" w:rsidRPr="006234AA">
        <w:rPr>
          <w:lang w:val="pt-BR"/>
        </w:rPr>
        <w:t xml:space="preserve">Thành viên bù trừ có trách nhiệm hoàn trả mọi khoản thanh toán và chi phí liên quan tới các giao dịch </w:t>
      </w:r>
      <w:r w:rsidRPr="006234AA">
        <w:rPr>
          <w:lang w:val="pt-BR"/>
        </w:rPr>
        <w:t xml:space="preserve">quy định tại khoản 2, 3 Điều này </w:t>
      </w:r>
      <w:r w:rsidR="009C78CA" w:rsidRPr="006234AA">
        <w:rPr>
          <w:lang w:val="pt-BR"/>
        </w:rPr>
        <w:t xml:space="preserve">thời gian theo quy định của </w:t>
      </w:r>
      <w:r w:rsidR="008573AD" w:rsidRPr="006234AA">
        <w:rPr>
          <w:lang w:val="pt-BR"/>
        </w:rPr>
        <w:t>Trung tâm lưu ký chứng khoán</w:t>
      </w:r>
      <w:r w:rsidR="009C78CA" w:rsidRPr="006234AA">
        <w:rPr>
          <w:lang w:val="pt-BR"/>
        </w:rPr>
        <w:t>.</w:t>
      </w:r>
      <w:r w:rsidR="005432E8" w:rsidRPr="006234AA">
        <w:rPr>
          <w:lang w:val="pt-BR"/>
        </w:rPr>
        <w:t xml:space="preserve"> </w:t>
      </w:r>
    </w:p>
    <w:p w:rsidR="009C78CA" w:rsidRPr="006234AA" w:rsidRDefault="00FE35E4" w:rsidP="003C0546">
      <w:pPr>
        <w:spacing w:after="120"/>
        <w:rPr>
          <w:lang w:val="pt-BR"/>
        </w:rPr>
      </w:pPr>
      <w:r w:rsidRPr="006234AA">
        <w:rPr>
          <w:lang w:val="pt-BR"/>
        </w:rPr>
        <w:t>5</w:t>
      </w:r>
      <w:r w:rsidR="00CF558F" w:rsidRPr="006234AA">
        <w:rPr>
          <w:lang w:val="pt-BR"/>
        </w:rPr>
        <w:t xml:space="preserve">. </w:t>
      </w:r>
      <w:r w:rsidR="00C060E1" w:rsidRPr="006234AA">
        <w:rPr>
          <w:lang w:val="pt-BR"/>
        </w:rPr>
        <w:t>Quy định tại khoản 2</w:t>
      </w:r>
      <w:r w:rsidR="000E4DE6" w:rsidRPr="006234AA">
        <w:rPr>
          <w:lang w:val="pt-BR"/>
        </w:rPr>
        <w:t>, 3</w:t>
      </w:r>
      <w:r w:rsidRPr="006234AA">
        <w:rPr>
          <w:lang w:val="pt-BR"/>
        </w:rPr>
        <w:t>, 4</w:t>
      </w:r>
      <w:r w:rsidR="00C060E1" w:rsidRPr="006234AA">
        <w:rPr>
          <w:lang w:val="pt-BR"/>
        </w:rPr>
        <w:t xml:space="preserve"> Điều này áp dụng cả trong trường hợp khách hàng mất khả năng thanh toán và không thể chuyển giao tài sản cho thành viên bù trừ bên bán. Khách hàng có trách nhiệm phải bồi hoàn mọi chi phí, thiệt hại phát sinh mà thành viên bù trừ đã thanh toán theo quy định tại </w:t>
      </w:r>
      <w:r w:rsidR="000E4DE6" w:rsidRPr="006234AA">
        <w:rPr>
          <w:lang w:val="pt-BR"/>
        </w:rPr>
        <w:t>Điều này</w:t>
      </w:r>
      <w:r w:rsidR="00C060E1" w:rsidRPr="006234AA">
        <w:rPr>
          <w:lang w:val="pt-BR"/>
        </w:rPr>
        <w:t xml:space="preserve"> và các chi phí khác có liên quan theo</w:t>
      </w:r>
      <w:r w:rsidR="009C78CA" w:rsidRPr="006234AA">
        <w:rPr>
          <w:lang w:val="pt-BR"/>
        </w:rPr>
        <w:t xml:space="preserve"> quy định tại hợp đồng </w:t>
      </w:r>
      <w:r w:rsidR="00C060E1" w:rsidRPr="006234AA">
        <w:rPr>
          <w:lang w:val="pt-BR"/>
        </w:rPr>
        <w:t>và các quy định của pháp luật liên quan.</w:t>
      </w:r>
    </w:p>
    <w:p w:rsidR="00B26C25" w:rsidRPr="006234AA" w:rsidRDefault="00B26C25" w:rsidP="003C0546">
      <w:pPr>
        <w:spacing w:after="120"/>
        <w:rPr>
          <w:lang w:val="pt-BR"/>
        </w:rPr>
      </w:pPr>
      <w:bookmarkStart w:id="85" w:name="_Toc383932802"/>
      <w:bookmarkStart w:id="86" w:name="_Toc382297559"/>
    </w:p>
    <w:p w:rsidR="00627372" w:rsidRPr="006234AA" w:rsidRDefault="00F80B4E" w:rsidP="003C0546">
      <w:pPr>
        <w:pStyle w:val="Heading1"/>
        <w:spacing w:after="120"/>
      </w:pPr>
      <w:bookmarkStart w:id="87" w:name="_Toc397003334"/>
      <w:bookmarkStart w:id="88" w:name="_Toc422671965"/>
      <w:bookmarkEnd w:id="85"/>
      <w:bookmarkEnd w:id="86"/>
      <w:r w:rsidRPr="006234AA">
        <w:t xml:space="preserve">Chương </w:t>
      </w:r>
      <w:r w:rsidR="00BD2BEE" w:rsidRPr="006234AA">
        <w:t>I</w:t>
      </w:r>
      <w:r w:rsidRPr="006234AA">
        <w:t>V</w:t>
      </w:r>
      <w:bookmarkEnd w:id="87"/>
      <w:bookmarkEnd w:id="88"/>
    </w:p>
    <w:p w:rsidR="00627372" w:rsidRPr="006234AA" w:rsidRDefault="00A07E51" w:rsidP="003C0546">
      <w:pPr>
        <w:pStyle w:val="Heading1"/>
        <w:spacing w:after="120"/>
        <w:ind w:left="0" w:right="-1"/>
      </w:pPr>
      <w:bookmarkStart w:id="89" w:name="_Toc397003335"/>
      <w:bookmarkStart w:id="90" w:name="_Toc422671966"/>
      <w:r w:rsidRPr="006234AA">
        <w:t>KINH DOANH</w:t>
      </w:r>
      <w:r w:rsidR="00594F61" w:rsidRPr="006234AA">
        <w:t>, DỊCH VỤ</w:t>
      </w:r>
      <w:r w:rsidR="000C637B" w:rsidRPr="006234AA">
        <w:t xml:space="preserve"> </w:t>
      </w:r>
      <w:r w:rsidR="0083099F" w:rsidRPr="006234AA">
        <w:t>CHỨNG KHOÁN PHÁI SINH</w:t>
      </w:r>
      <w:bookmarkEnd w:id="89"/>
      <w:bookmarkEnd w:id="90"/>
    </w:p>
    <w:p w:rsidR="0083099F" w:rsidRPr="006234AA" w:rsidRDefault="00F80B4E" w:rsidP="003C0546">
      <w:pPr>
        <w:pStyle w:val="Heading2"/>
        <w:spacing w:after="120"/>
      </w:pPr>
      <w:bookmarkStart w:id="91" w:name="_Toc397003336"/>
      <w:bookmarkStart w:id="92" w:name="_Toc422671967"/>
      <w:r w:rsidRPr="006234AA">
        <w:t>Mục</w:t>
      </w:r>
      <w:r w:rsidR="0083099F" w:rsidRPr="006234AA">
        <w:t xml:space="preserve"> </w:t>
      </w:r>
      <w:r w:rsidRPr="006234AA">
        <w:t>1</w:t>
      </w:r>
      <w:bookmarkEnd w:id="91"/>
      <w:bookmarkEnd w:id="92"/>
    </w:p>
    <w:p w:rsidR="0083099F" w:rsidRPr="006234AA" w:rsidRDefault="00594F61" w:rsidP="003C0546">
      <w:pPr>
        <w:pStyle w:val="Heading2"/>
        <w:spacing w:after="120"/>
      </w:pPr>
      <w:bookmarkStart w:id="93" w:name="_Toc422671968"/>
      <w:r w:rsidRPr="006234AA">
        <w:t>ĐĂNG KÝ HOẠT ĐỘNG</w:t>
      </w:r>
      <w:bookmarkEnd w:id="93"/>
    </w:p>
    <w:p w:rsidR="0083099F" w:rsidRPr="006234AA" w:rsidRDefault="00AD263A" w:rsidP="003C0546">
      <w:pPr>
        <w:pStyle w:val="Heading4"/>
        <w:spacing w:after="120"/>
        <w:ind w:left="0" w:firstLine="709"/>
      </w:pPr>
      <w:bookmarkStart w:id="94" w:name="_Toc397003338"/>
      <w:bookmarkStart w:id="95" w:name="_Toc422671969"/>
      <w:r w:rsidRPr="006234AA">
        <w:t>H</w:t>
      </w:r>
      <w:r w:rsidR="008933FD" w:rsidRPr="006234AA">
        <w:t>oạt động</w:t>
      </w:r>
      <w:r w:rsidR="00A965C3" w:rsidRPr="006234AA">
        <w:t xml:space="preserve"> kinh doanh</w:t>
      </w:r>
      <w:bookmarkEnd w:id="94"/>
      <w:r w:rsidR="00815306" w:rsidRPr="006234AA">
        <w:t xml:space="preserve">, </w:t>
      </w:r>
      <w:r w:rsidR="00DE3C42" w:rsidRPr="006234AA">
        <w:t xml:space="preserve">dịch vụ </w:t>
      </w:r>
      <w:r w:rsidR="00815306" w:rsidRPr="006234AA">
        <w:t>bù trừ thanh toán chứng khoán phái sinh</w:t>
      </w:r>
      <w:bookmarkEnd w:id="95"/>
    </w:p>
    <w:p w:rsidR="00AD263A" w:rsidRPr="006234AA" w:rsidRDefault="00B07C7C" w:rsidP="00D36937">
      <w:pPr>
        <w:numPr>
          <w:ilvl w:val="0"/>
          <w:numId w:val="19"/>
        </w:numPr>
        <w:tabs>
          <w:tab w:val="left" w:pos="993"/>
        </w:tabs>
        <w:spacing w:after="120"/>
        <w:ind w:left="0" w:firstLine="709"/>
        <w:rPr>
          <w:lang w:val="nl-NL"/>
        </w:rPr>
      </w:pPr>
      <w:r w:rsidRPr="006234AA">
        <w:rPr>
          <w:lang w:val="nl-NL"/>
        </w:rPr>
        <w:t xml:space="preserve">Công ty </w:t>
      </w:r>
      <w:r w:rsidR="00AD263A" w:rsidRPr="006234AA">
        <w:rPr>
          <w:lang w:val="nl-NL"/>
        </w:rPr>
        <w:t xml:space="preserve">chứng khoán </w:t>
      </w:r>
      <w:r w:rsidRPr="006234AA">
        <w:rPr>
          <w:lang w:val="nl-NL"/>
        </w:rPr>
        <w:t xml:space="preserve">được </w:t>
      </w:r>
      <w:r w:rsidR="00507DF0" w:rsidRPr="006234AA">
        <w:rPr>
          <w:lang w:val="nl-NL"/>
        </w:rPr>
        <w:t>kinh</w:t>
      </w:r>
      <w:r w:rsidRPr="006234AA">
        <w:rPr>
          <w:lang w:val="nl-NL"/>
        </w:rPr>
        <w:t xml:space="preserve"> doanh chứng khoán phái sinh sau khi đã </w:t>
      </w:r>
      <w:r w:rsidR="00AD263A" w:rsidRPr="006234AA">
        <w:rPr>
          <w:lang w:val="nl-NL"/>
        </w:rPr>
        <w:t xml:space="preserve">được Ủy ban Chứng khoán Nhà nước cấp Giấy chứng nhận đủ điều kiện </w:t>
      </w:r>
      <w:r w:rsidR="00507DF0" w:rsidRPr="006234AA">
        <w:rPr>
          <w:lang w:val="nl-NL"/>
        </w:rPr>
        <w:t>kinh</w:t>
      </w:r>
      <w:r w:rsidR="00AD263A" w:rsidRPr="006234AA">
        <w:rPr>
          <w:lang w:val="nl-NL"/>
        </w:rPr>
        <w:t xml:space="preserve"> doanh chứng khoán phái sinh. Điều kiện để được cấp Giấy chứng nhận đủ điều kiện </w:t>
      </w:r>
      <w:r w:rsidR="00507DF0" w:rsidRPr="006234AA">
        <w:rPr>
          <w:lang w:val="nl-NL"/>
        </w:rPr>
        <w:t>kinh</w:t>
      </w:r>
      <w:r w:rsidR="00AD263A" w:rsidRPr="006234AA">
        <w:rPr>
          <w:lang w:val="nl-NL"/>
        </w:rPr>
        <w:t xml:space="preserve"> doanh chứng khoán phái sinh bao gồm:</w:t>
      </w:r>
    </w:p>
    <w:p w:rsidR="00AD263A" w:rsidRPr="006234AA" w:rsidRDefault="00F80398" w:rsidP="00D36937">
      <w:pPr>
        <w:numPr>
          <w:ilvl w:val="0"/>
          <w:numId w:val="20"/>
        </w:numPr>
        <w:tabs>
          <w:tab w:val="left" w:pos="0"/>
          <w:tab w:val="left" w:pos="993"/>
        </w:tabs>
        <w:spacing w:after="120"/>
        <w:ind w:left="0" w:firstLine="709"/>
        <w:rPr>
          <w:lang w:val="nl-NL"/>
        </w:rPr>
      </w:pPr>
      <w:r w:rsidRPr="006234AA">
        <w:rPr>
          <w:lang w:val="nl-NL"/>
        </w:rPr>
        <w:t xml:space="preserve"> </w:t>
      </w:r>
      <w:r w:rsidR="00AD263A" w:rsidRPr="006234AA">
        <w:rPr>
          <w:lang w:val="nl-NL"/>
        </w:rPr>
        <w:t xml:space="preserve">Là </w:t>
      </w:r>
      <w:r w:rsidR="00AA1F15" w:rsidRPr="006234AA">
        <w:rPr>
          <w:lang w:val="nl-NL"/>
        </w:rPr>
        <w:t>tổ chức kinh doanh</w:t>
      </w:r>
      <w:r w:rsidR="00AD263A" w:rsidRPr="006234AA">
        <w:rPr>
          <w:lang w:val="nl-NL"/>
        </w:rPr>
        <w:t xml:space="preserve"> chứng khoán được cấp phép đầy đủ </w:t>
      </w:r>
      <w:r w:rsidR="00AA1F15" w:rsidRPr="006234AA">
        <w:rPr>
          <w:lang w:val="nl-NL"/>
        </w:rPr>
        <w:t xml:space="preserve">các </w:t>
      </w:r>
      <w:r w:rsidR="00AD263A" w:rsidRPr="006234AA">
        <w:rPr>
          <w:lang w:val="nl-NL"/>
        </w:rPr>
        <w:t>nghiệp vụ kinh doanh chứng khoán theo quy định tại Luật Chứng khoán;</w:t>
      </w:r>
    </w:p>
    <w:p w:rsidR="00507DF0" w:rsidRPr="006234AA" w:rsidRDefault="00507DF0" w:rsidP="00D36937">
      <w:pPr>
        <w:numPr>
          <w:ilvl w:val="0"/>
          <w:numId w:val="20"/>
        </w:numPr>
        <w:tabs>
          <w:tab w:val="left" w:pos="0"/>
          <w:tab w:val="left" w:pos="993"/>
        </w:tabs>
        <w:spacing w:after="120"/>
        <w:ind w:left="0" w:firstLine="709"/>
        <w:rPr>
          <w:lang w:val="nl-NL"/>
        </w:rPr>
      </w:pPr>
      <w:r w:rsidRPr="006234AA">
        <w:rPr>
          <w:lang w:val="nl-NL"/>
        </w:rPr>
        <w:lastRenderedPageBreak/>
        <w:t xml:space="preserve">Đáp ứng các điều kiện về vốn </w:t>
      </w:r>
      <w:r w:rsidR="002A2E4E" w:rsidRPr="006234AA">
        <w:rPr>
          <w:lang w:val="nl-NL"/>
        </w:rPr>
        <w:t>tại báo cáo tài chính của năm tài chính gần nhất đã được kiểm toán và báo cáo tài chính bán niên gần nhất đã soát xét bởi tổ chức kiểm toán được chấp thuận:</w:t>
      </w:r>
      <w:r w:rsidR="00F80398" w:rsidRPr="006234AA">
        <w:rPr>
          <w:lang w:val="nl-NL"/>
        </w:rPr>
        <w:t xml:space="preserve"> </w:t>
      </w:r>
    </w:p>
    <w:p w:rsidR="00AA1F15" w:rsidRPr="006234AA" w:rsidRDefault="00AA1F15" w:rsidP="00D36937">
      <w:pPr>
        <w:pStyle w:val="ListParagraph"/>
        <w:numPr>
          <w:ilvl w:val="0"/>
          <w:numId w:val="50"/>
        </w:numPr>
        <w:tabs>
          <w:tab w:val="left" w:pos="0"/>
          <w:tab w:val="left" w:pos="993"/>
        </w:tabs>
        <w:spacing w:after="120"/>
        <w:ind w:left="0" w:firstLine="709"/>
      </w:pPr>
      <w:r w:rsidRPr="006234AA">
        <w:t>Đối với hoạt động tư vấn chứng khoán phái sinh: là công ty chứng khoán, công ty quản lý quỹ có vốn chủ sở hữu, vốn điều lệ không thấp hơn vốn pháp định theo quy định pháp luật về chứng khoán</w:t>
      </w:r>
    </w:p>
    <w:p w:rsidR="00507DF0" w:rsidRPr="006234AA" w:rsidRDefault="00507DF0" w:rsidP="00D36937">
      <w:pPr>
        <w:pStyle w:val="ListParagraph"/>
        <w:numPr>
          <w:ilvl w:val="0"/>
          <w:numId w:val="50"/>
        </w:numPr>
        <w:tabs>
          <w:tab w:val="left" w:pos="0"/>
          <w:tab w:val="left" w:pos="993"/>
        </w:tabs>
        <w:spacing w:after="120"/>
        <w:ind w:left="0" w:firstLine="709"/>
      </w:pPr>
      <w:r w:rsidRPr="006234AA">
        <w:t xml:space="preserve">Đối với hoạt động tự doanh chứng khoán phái sinh:  </w:t>
      </w:r>
      <w:r w:rsidR="00AA1F15" w:rsidRPr="006234AA">
        <w:t xml:space="preserve">là công ty chứng khoán có </w:t>
      </w:r>
      <w:r w:rsidR="00AD263A" w:rsidRPr="006234AA">
        <w:t xml:space="preserve">vốn </w:t>
      </w:r>
      <w:r w:rsidR="00AA1F15" w:rsidRPr="006234AA">
        <w:t xml:space="preserve">chủ sở hữu, vốn </w:t>
      </w:r>
      <w:r w:rsidR="00AD263A" w:rsidRPr="006234AA">
        <w:t xml:space="preserve">điều lệ </w:t>
      </w:r>
      <w:r w:rsidR="00B07C7C" w:rsidRPr="006234AA">
        <w:t xml:space="preserve">đạt </w:t>
      </w:r>
      <w:r w:rsidR="00AD263A" w:rsidRPr="006234AA">
        <w:t>từ sáu trăm (600) tỷ đồng trở lên;</w:t>
      </w:r>
    </w:p>
    <w:p w:rsidR="004B3399" w:rsidRPr="006234AA" w:rsidRDefault="00B07C7C" w:rsidP="00D36937">
      <w:pPr>
        <w:pStyle w:val="ListParagraph"/>
        <w:numPr>
          <w:ilvl w:val="0"/>
          <w:numId w:val="50"/>
        </w:numPr>
        <w:tabs>
          <w:tab w:val="left" w:pos="0"/>
          <w:tab w:val="left" w:pos="993"/>
        </w:tabs>
        <w:spacing w:after="120"/>
        <w:ind w:left="0" w:firstLine="709"/>
      </w:pPr>
      <w:r w:rsidRPr="006234AA">
        <w:t xml:space="preserve"> </w:t>
      </w:r>
      <w:r w:rsidR="00507DF0" w:rsidRPr="006234AA">
        <w:t>Đối với hoạt động môi giới chứng khoán phái sinh</w:t>
      </w:r>
      <w:r w:rsidR="00AA1F15" w:rsidRPr="006234AA">
        <w:t>, hoặc tất cả các hoạt động kinh doanh chứng khoán phái sinh:</w:t>
      </w:r>
      <w:r w:rsidR="00507DF0" w:rsidRPr="006234AA">
        <w:t xml:space="preserve"> </w:t>
      </w:r>
      <w:r w:rsidR="00AA1F15" w:rsidRPr="006234AA">
        <w:t>là công ty chứng khoán có vốn chủ sở hữu, vốn điều lệ</w:t>
      </w:r>
      <w:r w:rsidR="00507DF0" w:rsidRPr="006234AA">
        <w:t xml:space="preserve"> đạt từ tám trăm (800) tỷ đồng trở lên</w:t>
      </w:r>
      <w:r w:rsidR="00AC28BD" w:rsidRPr="006234AA">
        <w:t>.</w:t>
      </w:r>
    </w:p>
    <w:p w:rsidR="00AC28BD" w:rsidRPr="006234AA" w:rsidRDefault="00AC28BD" w:rsidP="003C0546">
      <w:pPr>
        <w:pStyle w:val="ListParagraph"/>
        <w:numPr>
          <w:ilvl w:val="0"/>
          <w:numId w:val="0"/>
        </w:numPr>
        <w:tabs>
          <w:tab w:val="left" w:pos="0"/>
          <w:tab w:val="left" w:pos="993"/>
        </w:tabs>
        <w:spacing w:after="120"/>
        <w:ind w:firstLine="709"/>
      </w:pPr>
      <w:r w:rsidRPr="006234AA">
        <w:t xml:space="preserve">Ý kiến của kiểm toán </w:t>
      </w:r>
      <w:r w:rsidR="00815306" w:rsidRPr="006234AA">
        <w:t xml:space="preserve">được chấp thuận </w:t>
      </w:r>
      <w:r w:rsidRPr="006234AA">
        <w:t>tại các báo cáo tài chính nêu trên phải chấp nhận toàn bộ, không có ngoại trừ hoặc lưu ý;</w:t>
      </w:r>
    </w:p>
    <w:p w:rsidR="00154A8D" w:rsidRPr="006234AA" w:rsidRDefault="00154A8D" w:rsidP="00D36937">
      <w:pPr>
        <w:numPr>
          <w:ilvl w:val="0"/>
          <w:numId w:val="20"/>
        </w:numPr>
        <w:tabs>
          <w:tab w:val="left" w:pos="0"/>
          <w:tab w:val="left" w:pos="993"/>
        </w:tabs>
        <w:spacing w:after="120"/>
        <w:ind w:left="0" w:firstLine="709"/>
        <w:rPr>
          <w:lang w:val="nl-NL"/>
        </w:rPr>
      </w:pPr>
      <w:r w:rsidRPr="006234AA">
        <w:rPr>
          <w:lang w:val="nl-NL"/>
        </w:rPr>
        <w:t>Có Giám đốc (Tổng giám đốc) hoặc Phó Giám đốc (Phó Tổng giám đốc) phụ trách hoạt động kinh doanh chứng khoán phái sinh đáp ứng quy định tại khoản 1 Điều 28 Thông tư này; có tối thiểu năm (05) nhân viên cho mỗi hoạt động kinh doanh chứng khoán phái sinh dự kiến đăng ký, đáp ứng quy định tại khoản 3 Điều 28 Thông tư này;</w:t>
      </w:r>
    </w:p>
    <w:p w:rsidR="001B3C8B" w:rsidRPr="006234AA" w:rsidRDefault="004B3399" w:rsidP="00D36937">
      <w:pPr>
        <w:numPr>
          <w:ilvl w:val="0"/>
          <w:numId w:val="20"/>
        </w:numPr>
        <w:tabs>
          <w:tab w:val="left" w:pos="0"/>
          <w:tab w:val="left" w:pos="993"/>
        </w:tabs>
        <w:spacing w:after="120"/>
        <w:ind w:left="0" w:firstLine="709"/>
        <w:rPr>
          <w:lang w:val="nl-NL"/>
        </w:rPr>
      </w:pPr>
      <w:r w:rsidRPr="006234AA">
        <w:rPr>
          <w:lang w:val="nl-NL"/>
        </w:rPr>
        <w:t>T</w:t>
      </w:r>
      <w:r w:rsidR="00B07C7C" w:rsidRPr="006234AA">
        <w:rPr>
          <w:lang w:val="nl-NL"/>
        </w:rPr>
        <w:t>rích lập đầy đủ các khoản dự phòng theo quy định và không có lỗ trong hai (02) năm gần nhất;</w:t>
      </w:r>
      <w:r w:rsidR="00C64ED0" w:rsidRPr="006234AA">
        <w:rPr>
          <w:lang w:val="nl-NL"/>
        </w:rPr>
        <w:t xml:space="preserve"> tỷ lệ vốn khả dụng đạt tối thiểu 220% liên tục trong mười hai (12) tháng gần nhất trước tháng nộp hồ sơ </w:t>
      </w:r>
      <w:r w:rsidR="00F80398" w:rsidRPr="006234AA">
        <w:rPr>
          <w:lang w:val="nl-NL"/>
        </w:rPr>
        <w:t>đề nghị cấp Giấy chứng nhận đủ</w:t>
      </w:r>
      <w:r w:rsidR="00AC28BD" w:rsidRPr="006234AA">
        <w:rPr>
          <w:lang w:val="nl-NL"/>
        </w:rPr>
        <w:t xml:space="preserve"> điều kiện kinh</w:t>
      </w:r>
      <w:r w:rsidR="00C64ED0" w:rsidRPr="006234AA">
        <w:rPr>
          <w:lang w:val="nl-NL"/>
        </w:rPr>
        <w:t xml:space="preserve"> doanh chứng khoán phái sinh</w:t>
      </w:r>
      <w:r w:rsidR="00F07E5F" w:rsidRPr="006234AA">
        <w:rPr>
          <w:lang w:val="nl-NL"/>
        </w:rPr>
        <w:t xml:space="preserve">; </w:t>
      </w:r>
    </w:p>
    <w:p w:rsidR="00861C5F" w:rsidRPr="006234AA" w:rsidRDefault="00861C5F" w:rsidP="003C0546">
      <w:pPr>
        <w:tabs>
          <w:tab w:val="left" w:pos="0"/>
          <w:tab w:val="left" w:pos="993"/>
        </w:tabs>
        <w:spacing w:after="120"/>
        <w:ind w:firstLine="709"/>
        <w:rPr>
          <w:lang w:val="nl-NL"/>
        </w:rPr>
      </w:pPr>
      <w:r w:rsidRPr="006234AA">
        <w:rPr>
          <w:lang w:val="nl-NL"/>
        </w:rPr>
        <w:t>đ) Không đang trong quá trình hợp nhất, sáp nhập, giải thể hoặc đang trong tình trạng kiểm soát, kiểm soát đặc biệt, đình chỉ hoạt động, tạm ngừng hoạt động theo quyết định của cơ quan có thẩm quyền.</w:t>
      </w:r>
    </w:p>
    <w:p w:rsidR="00AA1F15" w:rsidRPr="006234AA" w:rsidRDefault="00AA1F15" w:rsidP="00D36937">
      <w:pPr>
        <w:numPr>
          <w:ilvl w:val="0"/>
          <w:numId w:val="19"/>
        </w:numPr>
        <w:tabs>
          <w:tab w:val="left" w:pos="993"/>
        </w:tabs>
        <w:spacing w:after="120"/>
        <w:ind w:left="0" w:firstLine="709"/>
        <w:rPr>
          <w:lang w:val="nl-NL"/>
        </w:rPr>
      </w:pPr>
      <w:r w:rsidRPr="006234AA">
        <w:rPr>
          <w:lang w:val="nl-NL"/>
        </w:rPr>
        <w:t>Công ty chứng khoán chỉ được phép thực hiện môi giới chứng khoán phái sinh khi được thực hiện nghiệp vụ tự doanh chứng khoán phái sinh.</w:t>
      </w:r>
    </w:p>
    <w:p w:rsidR="00594F61" w:rsidRPr="006234AA" w:rsidRDefault="00815306" w:rsidP="003C0546">
      <w:pPr>
        <w:tabs>
          <w:tab w:val="left" w:pos="1134"/>
        </w:tabs>
        <w:spacing w:after="120"/>
        <w:ind w:firstLine="709"/>
        <w:rPr>
          <w:lang w:val="nl-NL"/>
        </w:rPr>
      </w:pPr>
      <w:r w:rsidRPr="006234AA">
        <w:rPr>
          <w:lang w:val="nl-NL"/>
        </w:rPr>
        <w:t xml:space="preserve">3. </w:t>
      </w:r>
      <w:r w:rsidR="00594F61" w:rsidRPr="006234AA">
        <w:rPr>
          <w:lang w:val="nl-NL"/>
        </w:rPr>
        <w:t>Công ty chứng khoán</w:t>
      </w:r>
      <w:r w:rsidR="001700A6" w:rsidRPr="006234AA">
        <w:rPr>
          <w:lang w:val="nl-NL"/>
        </w:rPr>
        <w:t>, ngân hàng thương mại, chi nhánh ngân hàng nước ngoài</w:t>
      </w:r>
      <w:r w:rsidR="00594F61" w:rsidRPr="006234AA">
        <w:rPr>
          <w:lang w:val="nl-NL"/>
        </w:rPr>
        <w:t xml:space="preserve"> được cung cấp dịch vụ bù trừ, thanh toán chứng khoán phái sinh sau khi đã được Ủy ban Chứng khoán Nhà nước cấp Giấy chứng nhận đủ điều kiện cung cấp dịch vụ bù trừ, thanh toán chứng khoán phái sinh. Điều kiện được cấp Giấy chứng nhận đủ điều kiện cung cấp dịch vụ bù trừ, thanh toán chứng khoán phái sinh bao gồm: </w:t>
      </w:r>
    </w:p>
    <w:p w:rsidR="00594F61" w:rsidRPr="006234AA" w:rsidRDefault="00F80398" w:rsidP="00D36937">
      <w:pPr>
        <w:pStyle w:val="ListParagraph"/>
        <w:numPr>
          <w:ilvl w:val="0"/>
          <w:numId w:val="48"/>
        </w:numPr>
        <w:tabs>
          <w:tab w:val="left" w:pos="993"/>
        </w:tabs>
        <w:spacing w:after="120"/>
        <w:ind w:left="0" w:firstLine="709"/>
      </w:pPr>
      <w:r w:rsidRPr="006234AA">
        <w:t xml:space="preserve"> </w:t>
      </w:r>
      <w:r w:rsidR="00594F61" w:rsidRPr="006234AA">
        <w:t>Là thành viên lưu ký của Trung tâm Lưu ký chứng khoán Việt Nam</w:t>
      </w:r>
      <w:r w:rsidRPr="006234AA">
        <w:t xml:space="preserve"> đáp ứng quy định tại điểm d khoản 1 Điều này</w:t>
      </w:r>
      <w:r w:rsidR="001700A6" w:rsidRPr="006234AA">
        <w:t>. Trường hợp là công ty chứng khoán thì đ</w:t>
      </w:r>
      <w:r w:rsidR="00594F61" w:rsidRPr="006234AA">
        <w:t xml:space="preserve">ã được cấp </w:t>
      </w:r>
      <w:r w:rsidR="001700A6" w:rsidRPr="006234AA">
        <w:t xml:space="preserve">hoặc đáp ứng các điều kiện để được cấp </w:t>
      </w:r>
      <w:r w:rsidR="00594F61" w:rsidRPr="006234AA">
        <w:t>Giấy chứng nhận đủ điều kiện hoạt động</w:t>
      </w:r>
      <w:r w:rsidR="001700A6" w:rsidRPr="006234AA">
        <w:t xml:space="preserve"> môi giới chứng khoán phái sinh. Trường hợp là ngân hàng thương mại, chi nhánh ngân hàng nước ngoài</w:t>
      </w:r>
      <w:r w:rsidR="002A2E4E" w:rsidRPr="006234AA">
        <w:t>,</w:t>
      </w:r>
      <w:r w:rsidR="001700A6" w:rsidRPr="006234AA">
        <w:t xml:space="preserve"> </w:t>
      </w:r>
      <w:r w:rsidR="002A2E4E" w:rsidRPr="006234AA">
        <w:t>thì đã được Ngân hàng Nhà nước chấp thuận bằng văn bản cho hoạt động bù trừ, thanh toán giao dịch chứng khoán phái sinh;</w:t>
      </w:r>
    </w:p>
    <w:p w:rsidR="002A2E4E" w:rsidRPr="006234AA" w:rsidRDefault="002A2E4E" w:rsidP="00D36937">
      <w:pPr>
        <w:pStyle w:val="ListParagraph"/>
        <w:numPr>
          <w:ilvl w:val="0"/>
          <w:numId w:val="48"/>
        </w:numPr>
        <w:tabs>
          <w:tab w:val="left" w:pos="567"/>
          <w:tab w:val="left" w:pos="993"/>
        </w:tabs>
        <w:spacing w:after="120"/>
        <w:ind w:left="0" w:firstLine="709"/>
      </w:pPr>
      <w:r w:rsidRPr="006234AA">
        <w:lastRenderedPageBreak/>
        <w:t xml:space="preserve">Đáp ứng điều kiện về vốn tại báo cáo tài chính của năm tài chính gần nhất đã được kiểm toán và báo cáo tài chính bán niên gần nhất đã soát xét bởi tổ chức kiểm toán được chấp thuận: </w:t>
      </w:r>
    </w:p>
    <w:p w:rsidR="002A2E4E" w:rsidRPr="006234AA" w:rsidRDefault="002A2E4E" w:rsidP="00D36937">
      <w:pPr>
        <w:pStyle w:val="ListParagraph"/>
        <w:numPr>
          <w:ilvl w:val="0"/>
          <w:numId w:val="50"/>
        </w:numPr>
        <w:tabs>
          <w:tab w:val="left" w:pos="567"/>
          <w:tab w:val="left" w:pos="993"/>
        </w:tabs>
        <w:spacing w:after="120"/>
        <w:ind w:left="0" w:firstLine="567"/>
      </w:pPr>
      <w:r w:rsidRPr="006234AA">
        <w:t>Đối với công ty chứng khoán: c</w:t>
      </w:r>
      <w:r w:rsidR="00B750C6" w:rsidRPr="006234AA">
        <w:t xml:space="preserve">ó vốn điều lệ, vốn chủ sở hữu </w:t>
      </w:r>
      <w:r w:rsidR="00AD253E" w:rsidRPr="006234AA">
        <w:t xml:space="preserve">đạt </w:t>
      </w:r>
      <w:r w:rsidR="00B750C6" w:rsidRPr="006234AA">
        <w:t>t</w:t>
      </w:r>
      <w:r w:rsidR="00AD253E" w:rsidRPr="006234AA">
        <w:t>ừ</w:t>
      </w:r>
      <w:r w:rsidR="00B750C6" w:rsidRPr="006234AA">
        <w:t xml:space="preserve"> </w:t>
      </w:r>
      <w:r w:rsidR="00B750C6" w:rsidRPr="006234AA">
        <w:rPr>
          <w:rFonts w:eastAsia="+mn-ea"/>
        </w:rPr>
        <w:t xml:space="preserve">chín trăm (900) tỷ đồng trở lên (trường hợp đăng ký là thành viên bù trừ trực tiếp) hoặc </w:t>
      </w:r>
      <w:r w:rsidR="00AD253E" w:rsidRPr="006234AA">
        <w:t>đạt từ</w:t>
      </w:r>
      <w:r w:rsidR="00B750C6" w:rsidRPr="006234AA">
        <w:t xml:space="preserve"> </w:t>
      </w:r>
      <w:r w:rsidR="00AD253E" w:rsidRPr="006234AA">
        <w:rPr>
          <w:rFonts w:eastAsia="+mn-ea"/>
        </w:rPr>
        <w:t>một nghìn hai</w:t>
      </w:r>
      <w:r w:rsidR="00B750C6" w:rsidRPr="006234AA">
        <w:rPr>
          <w:rFonts w:eastAsia="+mn-ea"/>
        </w:rPr>
        <w:t xml:space="preserve"> trăm (</w:t>
      </w:r>
      <w:r w:rsidR="00AD253E" w:rsidRPr="006234AA">
        <w:rPr>
          <w:rFonts w:eastAsia="+mn-ea"/>
        </w:rPr>
        <w:t>12</w:t>
      </w:r>
      <w:r w:rsidR="00B750C6" w:rsidRPr="006234AA">
        <w:rPr>
          <w:rFonts w:eastAsia="+mn-ea"/>
        </w:rPr>
        <w:t xml:space="preserve">00) tỷ đồng trở lên (trường hợp đăng ký là thành viên bù trừ </w:t>
      </w:r>
      <w:r w:rsidR="00AD253E" w:rsidRPr="006234AA">
        <w:rPr>
          <w:rFonts w:eastAsia="+mn-ea"/>
        </w:rPr>
        <w:t>chung</w:t>
      </w:r>
      <w:r w:rsidR="00B750C6" w:rsidRPr="006234AA">
        <w:rPr>
          <w:rFonts w:eastAsia="+mn-ea"/>
        </w:rPr>
        <w:t>)</w:t>
      </w:r>
      <w:r w:rsidR="00AD253E" w:rsidRPr="006234AA">
        <w:rPr>
          <w:rFonts w:eastAsia="+mn-ea"/>
        </w:rPr>
        <w:t>;</w:t>
      </w:r>
      <w:r w:rsidRPr="006234AA">
        <w:tab/>
      </w:r>
    </w:p>
    <w:p w:rsidR="002A2E4E" w:rsidRPr="006234AA" w:rsidRDefault="002A2E4E" w:rsidP="00D36937">
      <w:pPr>
        <w:pStyle w:val="ListParagraph"/>
        <w:numPr>
          <w:ilvl w:val="0"/>
          <w:numId w:val="50"/>
        </w:numPr>
        <w:tabs>
          <w:tab w:val="left" w:pos="567"/>
          <w:tab w:val="left" w:pos="993"/>
        </w:tabs>
        <w:spacing w:after="120"/>
        <w:ind w:left="0" w:firstLine="567"/>
      </w:pPr>
      <w:r w:rsidRPr="006234AA">
        <w:t>Đối với ngân hàng thương mại, chi nhánh ngân hàng nước ngoài: Có vốn điều lệ, vốn chủ sở hữu hoặc vốn được cấp (đối với chi nhánh ngân hàng nước ngoài) đạt từ năm nghìn (5000) tỷ đồng trở lên (trường hợp đăng ký là thành viên bù trừ trực tiếp)</w:t>
      </w:r>
      <w:r w:rsidRPr="006234AA">
        <w:rPr>
          <w:rFonts w:eastAsia="+mn-ea"/>
        </w:rPr>
        <w:t xml:space="preserve">; </w:t>
      </w:r>
      <w:r w:rsidRPr="006234AA">
        <w:t>hoặc từ bảy nghìn (7000) tỷ đồng trở lên (trường hợp đăng ký là thành viên bù trừ chung);</w:t>
      </w:r>
    </w:p>
    <w:p w:rsidR="002A2E4E" w:rsidRPr="006234AA" w:rsidRDefault="00154A8D" w:rsidP="003C0546">
      <w:pPr>
        <w:spacing w:after="120"/>
        <w:rPr>
          <w:lang w:val="nl-NL"/>
        </w:rPr>
      </w:pPr>
      <w:r w:rsidRPr="006234AA">
        <w:rPr>
          <w:lang w:val="nl-NL"/>
        </w:rPr>
        <w:t>c) Trưởng bộ phận thanh toán, bù trừ và tối thiểu 03 nhân viên nghiệp vụ cho dịch vụ thanh toán, bù trừ đáp ứng quy định tại khoản 1 Điều 28 Thông tư này;</w:t>
      </w:r>
    </w:p>
    <w:p w:rsidR="002A2E4E" w:rsidRPr="006234AA" w:rsidRDefault="00154A8D" w:rsidP="003C0546">
      <w:pPr>
        <w:spacing w:after="120"/>
        <w:rPr>
          <w:lang w:val="nl-NL"/>
        </w:rPr>
      </w:pPr>
      <w:r w:rsidRPr="006234AA">
        <w:rPr>
          <w:lang w:val="nl-NL"/>
        </w:rPr>
        <w:t>d</w:t>
      </w:r>
      <w:r w:rsidR="00EF56A1" w:rsidRPr="006234AA">
        <w:rPr>
          <w:lang w:val="nl-NL"/>
        </w:rPr>
        <w:t xml:space="preserve">) </w:t>
      </w:r>
      <w:r w:rsidR="002A2E4E" w:rsidRPr="006234AA">
        <w:rPr>
          <w:lang w:val="nl-NL"/>
        </w:rPr>
        <w:t>Đáp ứng tỷ lệ an toàn tài chính sau:</w:t>
      </w:r>
    </w:p>
    <w:p w:rsidR="002A2E4E" w:rsidRPr="006234AA" w:rsidRDefault="002A2E4E" w:rsidP="003C0546">
      <w:pPr>
        <w:spacing w:after="120"/>
        <w:rPr>
          <w:lang w:val="nl-NL"/>
        </w:rPr>
      </w:pPr>
      <w:r w:rsidRPr="006234AA">
        <w:rPr>
          <w:lang w:val="nl-NL"/>
        </w:rPr>
        <w:t>- Đối với công ty chứng khoán: Trích lập đầy đủ các khoản dự phòng theo quy định và không có lỗ trong hai (02) năm gần nhất; tỷ lệ vốn khả dụng đạt tối thiểu 260% liên tục trong mười hai (12) tháng gần nhất trước tháng nộp hồ sơ đề nghị cấp Giấy chứng nhận đủ điều kiện cung cấp dịch vụ bù trừ, thanh toán chứng khoán phái sinh;</w:t>
      </w:r>
    </w:p>
    <w:p w:rsidR="00EF56A1" w:rsidRPr="006234AA" w:rsidRDefault="002A2E4E" w:rsidP="003C0546">
      <w:pPr>
        <w:spacing w:after="120"/>
        <w:rPr>
          <w:lang w:val="nl-NL"/>
        </w:rPr>
      </w:pPr>
      <w:r w:rsidRPr="006234AA">
        <w:rPr>
          <w:lang w:val="nl-NL"/>
        </w:rPr>
        <w:t xml:space="preserve">- Đối với ngân hàng thương mại, chi nhánh ngân hàng nước ngoài: </w:t>
      </w:r>
      <w:r w:rsidR="00EF56A1" w:rsidRPr="006234AA">
        <w:rPr>
          <w:lang w:val="nl-NL"/>
        </w:rPr>
        <w:t>Đáp ứng tỷ lệ an toàn vốn theo quy định pháp luật về tổ chức tín dụng trong vòng 12 tháng gần nhất trước</w:t>
      </w:r>
      <w:r w:rsidR="00F80398" w:rsidRPr="006234AA">
        <w:rPr>
          <w:lang w:val="nl-NL"/>
        </w:rPr>
        <w:t xml:space="preserve"> tháng</w:t>
      </w:r>
      <w:r w:rsidR="00EF56A1" w:rsidRPr="006234AA">
        <w:rPr>
          <w:lang w:val="nl-NL"/>
        </w:rPr>
        <w:t xml:space="preserve"> nộp </w:t>
      </w:r>
      <w:r w:rsidR="00F80398" w:rsidRPr="006234AA">
        <w:rPr>
          <w:lang w:val="nl-NL"/>
        </w:rPr>
        <w:t>hồ sơ đề nghị cấp Giấy chứng nhận đủ điều kiện cung cấp dịch vụ</w:t>
      </w:r>
      <w:r w:rsidR="001E0183" w:rsidRPr="006234AA">
        <w:rPr>
          <w:lang w:val="nl-NL"/>
        </w:rPr>
        <w:t xml:space="preserve"> </w:t>
      </w:r>
      <w:r w:rsidR="00AF0A7A" w:rsidRPr="006234AA">
        <w:rPr>
          <w:lang w:val="nl-NL"/>
        </w:rPr>
        <w:t>thanh toán,</w:t>
      </w:r>
      <w:r w:rsidR="00EF56A1" w:rsidRPr="006234AA">
        <w:rPr>
          <w:lang w:val="nl-NL"/>
        </w:rPr>
        <w:t xml:space="preserve"> bù trừ</w:t>
      </w:r>
      <w:r w:rsidR="001E0183" w:rsidRPr="006234AA">
        <w:rPr>
          <w:lang w:val="nl-NL"/>
        </w:rPr>
        <w:t xml:space="preserve"> chứng khoán phái sinh</w:t>
      </w:r>
      <w:r w:rsidR="00154A8D" w:rsidRPr="006234AA">
        <w:rPr>
          <w:lang w:val="nl-NL"/>
        </w:rPr>
        <w:t>.</w:t>
      </w:r>
    </w:p>
    <w:p w:rsidR="0083099F" w:rsidRPr="006234AA" w:rsidRDefault="0083099F" w:rsidP="003C0546">
      <w:pPr>
        <w:pStyle w:val="Heading4"/>
        <w:spacing w:after="120"/>
        <w:ind w:left="0" w:firstLine="709"/>
      </w:pPr>
      <w:bookmarkStart w:id="96" w:name="_Toc386052983"/>
      <w:bookmarkStart w:id="97" w:name="_Toc387136348"/>
      <w:bookmarkStart w:id="98" w:name="_Toc397003339"/>
      <w:bookmarkStart w:id="99" w:name="_Toc422671970"/>
      <w:r w:rsidRPr="006234AA">
        <w:t xml:space="preserve">Hồ sơ </w:t>
      </w:r>
      <w:r w:rsidR="00F80398" w:rsidRPr="006234AA">
        <w:t xml:space="preserve">đề nghị cấp Giấy chứng nhận đủ điều kiện </w:t>
      </w:r>
      <w:bookmarkEnd w:id="96"/>
      <w:bookmarkEnd w:id="97"/>
      <w:r w:rsidR="00F80398" w:rsidRPr="006234AA">
        <w:t>kinh doanh</w:t>
      </w:r>
      <w:r w:rsidR="00EF56A1" w:rsidRPr="006234AA">
        <w:t xml:space="preserve"> chứng khoán phái sinh</w:t>
      </w:r>
      <w:bookmarkEnd w:id="98"/>
      <w:bookmarkEnd w:id="99"/>
    </w:p>
    <w:p w:rsidR="009C78CA" w:rsidRPr="006234AA" w:rsidRDefault="009C78CA" w:rsidP="003C0546">
      <w:pPr>
        <w:spacing w:after="120"/>
        <w:rPr>
          <w:lang w:val="nl-NL"/>
        </w:rPr>
      </w:pPr>
      <w:r w:rsidRPr="006234AA">
        <w:rPr>
          <w:lang w:val="nl-NL"/>
        </w:rPr>
        <w:t xml:space="preserve">1. Hồ sơ </w:t>
      </w:r>
      <w:r w:rsidR="00F80398" w:rsidRPr="006234AA">
        <w:rPr>
          <w:lang w:val="nl-NL"/>
        </w:rPr>
        <w:t>đề nghị cấp Giấy chứng nhận</w:t>
      </w:r>
      <w:r w:rsidR="00A07E51" w:rsidRPr="006234AA">
        <w:rPr>
          <w:lang w:val="nl-NL"/>
        </w:rPr>
        <w:t xml:space="preserve"> </w:t>
      </w:r>
      <w:r w:rsidR="00F80398" w:rsidRPr="006234AA">
        <w:rPr>
          <w:lang w:val="nl-NL"/>
        </w:rPr>
        <w:t xml:space="preserve">đủ điều kiện </w:t>
      </w:r>
      <w:r w:rsidR="00A07E51" w:rsidRPr="006234AA">
        <w:rPr>
          <w:lang w:val="nl-NL"/>
        </w:rPr>
        <w:t>kinh doanh</w:t>
      </w:r>
      <w:r w:rsidR="00DE3C42" w:rsidRPr="006234AA">
        <w:rPr>
          <w:lang w:val="nl-NL"/>
        </w:rPr>
        <w:t>, cung cấp dịch vụ bù trừ thanh toán</w:t>
      </w:r>
      <w:r w:rsidR="00A07E51" w:rsidRPr="006234AA">
        <w:rPr>
          <w:lang w:val="nl-NL"/>
        </w:rPr>
        <w:t xml:space="preserve"> </w:t>
      </w:r>
      <w:r w:rsidRPr="006234AA">
        <w:rPr>
          <w:lang w:val="nl-NL"/>
        </w:rPr>
        <w:t>chứng khoán phái sinh bao gồm:</w:t>
      </w:r>
    </w:p>
    <w:p w:rsidR="009C78CA" w:rsidRPr="006234AA" w:rsidRDefault="009C78CA" w:rsidP="003C0546">
      <w:pPr>
        <w:spacing w:after="120"/>
        <w:rPr>
          <w:lang w:val="nl-NL"/>
        </w:rPr>
      </w:pPr>
      <w:r w:rsidRPr="006234AA">
        <w:rPr>
          <w:lang w:val="nl-NL"/>
        </w:rPr>
        <w:t>a) Giấy</w:t>
      </w:r>
      <w:r w:rsidR="00640304" w:rsidRPr="006234AA">
        <w:rPr>
          <w:lang w:val="nl-NL"/>
        </w:rPr>
        <w:t xml:space="preserve"> </w:t>
      </w:r>
      <w:r w:rsidR="008544BB" w:rsidRPr="006234AA">
        <w:rPr>
          <w:lang w:val="nl-NL"/>
        </w:rPr>
        <w:t xml:space="preserve">đề nghị </w:t>
      </w:r>
      <w:r w:rsidR="000B06C8" w:rsidRPr="006234AA">
        <w:rPr>
          <w:lang w:val="nl-NL"/>
        </w:rPr>
        <w:t>chấp thuận cho</w:t>
      </w:r>
      <w:r w:rsidRPr="006234AA">
        <w:rPr>
          <w:lang w:val="nl-NL"/>
        </w:rPr>
        <w:t xml:space="preserve"> </w:t>
      </w:r>
      <w:r w:rsidR="00A07E51" w:rsidRPr="006234AA">
        <w:rPr>
          <w:lang w:val="nl-NL"/>
        </w:rPr>
        <w:t>hoạt động kinh doanh</w:t>
      </w:r>
      <w:r w:rsidR="00DE3C42" w:rsidRPr="006234AA">
        <w:rPr>
          <w:lang w:val="nl-NL"/>
        </w:rPr>
        <w:t>,</w:t>
      </w:r>
      <w:r w:rsidR="00A07E51" w:rsidRPr="006234AA">
        <w:rPr>
          <w:lang w:val="nl-NL"/>
        </w:rPr>
        <w:t xml:space="preserve"> </w:t>
      </w:r>
      <w:r w:rsidR="00DE3C42" w:rsidRPr="006234AA">
        <w:rPr>
          <w:lang w:val="nl-NL"/>
        </w:rPr>
        <w:t xml:space="preserve">cung cấp </w:t>
      </w:r>
      <w:r w:rsidR="00EF56A1" w:rsidRPr="006234AA">
        <w:rPr>
          <w:lang w:val="nl-NL"/>
        </w:rPr>
        <w:t>dịch vụ</w:t>
      </w:r>
      <w:r w:rsidRPr="006234AA">
        <w:rPr>
          <w:lang w:val="nl-NL"/>
        </w:rPr>
        <w:t xml:space="preserve"> </w:t>
      </w:r>
      <w:r w:rsidR="00DE3C42" w:rsidRPr="006234AA">
        <w:rPr>
          <w:lang w:val="nl-NL"/>
        </w:rPr>
        <w:t xml:space="preserve">bù trừ thanh toán </w:t>
      </w:r>
      <w:r w:rsidRPr="006234AA">
        <w:rPr>
          <w:lang w:val="nl-NL"/>
        </w:rPr>
        <w:t xml:space="preserve">chứng khoán phái sinh theo mẫu quy định tại </w:t>
      </w:r>
      <w:r w:rsidR="004162A5" w:rsidRPr="006234AA">
        <w:rPr>
          <w:lang w:val="nl-NL"/>
        </w:rPr>
        <w:t>P</w:t>
      </w:r>
      <w:r w:rsidRPr="006234AA">
        <w:rPr>
          <w:lang w:val="nl-NL"/>
        </w:rPr>
        <w:t>hụ lục số 3 ban hành kèm theo Thông tư này;</w:t>
      </w:r>
    </w:p>
    <w:p w:rsidR="009C78CA" w:rsidRPr="006234AA" w:rsidRDefault="009C78CA" w:rsidP="003C0546">
      <w:pPr>
        <w:spacing w:after="120"/>
        <w:rPr>
          <w:lang w:val="nl-NL"/>
        </w:rPr>
      </w:pPr>
      <w:r w:rsidRPr="006234AA">
        <w:rPr>
          <w:lang w:val="nl-NL"/>
        </w:rPr>
        <w:t xml:space="preserve">b) Biên bản họp, nghị quyết đại hội cổ đông, hội đồng thành viên hoặc quyết định của chủ sở hữu </w:t>
      </w:r>
      <w:r w:rsidR="00DE3C42" w:rsidRPr="006234AA">
        <w:rPr>
          <w:lang w:val="nl-NL"/>
        </w:rPr>
        <w:t>về việc</w:t>
      </w:r>
      <w:r w:rsidR="008544BB" w:rsidRPr="006234AA">
        <w:rPr>
          <w:lang w:val="nl-NL"/>
        </w:rPr>
        <w:t xml:space="preserve"> thực hiện</w:t>
      </w:r>
      <w:r w:rsidRPr="006234AA">
        <w:rPr>
          <w:lang w:val="nl-NL"/>
        </w:rPr>
        <w:t xml:space="preserve"> </w:t>
      </w:r>
      <w:r w:rsidR="00A07E51" w:rsidRPr="006234AA">
        <w:rPr>
          <w:lang w:val="nl-NL"/>
        </w:rPr>
        <w:t>hoạt động kinh doanh</w:t>
      </w:r>
      <w:r w:rsidR="004778B5" w:rsidRPr="006234AA">
        <w:rPr>
          <w:lang w:val="nl-NL"/>
        </w:rPr>
        <w:t xml:space="preserve">, </w:t>
      </w:r>
      <w:r w:rsidR="00DE3C42" w:rsidRPr="006234AA">
        <w:rPr>
          <w:lang w:val="nl-NL"/>
        </w:rPr>
        <w:t>cung cấp dịch vụ bù trừ thanh toán</w:t>
      </w:r>
      <w:r w:rsidR="00A07E51" w:rsidRPr="006234AA">
        <w:rPr>
          <w:lang w:val="nl-NL"/>
        </w:rPr>
        <w:t xml:space="preserve"> </w:t>
      </w:r>
      <w:r w:rsidRPr="006234AA">
        <w:rPr>
          <w:lang w:val="nl-NL"/>
        </w:rPr>
        <w:t xml:space="preserve">chứng khoán phái sinh; </w:t>
      </w:r>
      <w:r w:rsidR="00DB4CC7" w:rsidRPr="006234AA">
        <w:rPr>
          <w:lang w:val="nl-NL"/>
        </w:rPr>
        <w:t>đ</w:t>
      </w:r>
      <w:r w:rsidRPr="006234AA">
        <w:rPr>
          <w:lang w:val="nl-NL"/>
        </w:rPr>
        <w:t xml:space="preserve">iều lệ </w:t>
      </w:r>
      <w:r w:rsidR="00DB4CC7" w:rsidRPr="006234AA">
        <w:rPr>
          <w:lang w:val="nl-NL"/>
        </w:rPr>
        <w:t>c</w:t>
      </w:r>
      <w:r w:rsidR="004778B5" w:rsidRPr="006234AA">
        <w:rPr>
          <w:lang w:val="nl-NL"/>
        </w:rPr>
        <w:t>ông ty</w:t>
      </w:r>
      <w:r w:rsidRPr="006234AA">
        <w:rPr>
          <w:lang w:val="nl-NL"/>
        </w:rPr>
        <w:t xml:space="preserve"> bổ sung các quy định liên quan tới </w:t>
      </w:r>
      <w:r w:rsidR="00A07E51" w:rsidRPr="006234AA">
        <w:rPr>
          <w:lang w:val="nl-NL"/>
        </w:rPr>
        <w:t>hoạt động chứng khoán phái sinh</w:t>
      </w:r>
      <w:r w:rsidRPr="006234AA">
        <w:rPr>
          <w:lang w:val="nl-NL"/>
        </w:rPr>
        <w:t xml:space="preserve"> dự kiến thực hiện</w:t>
      </w:r>
      <w:r w:rsidR="004778B5" w:rsidRPr="006234AA">
        <w:rPr>
          <w:lang w:val="nl-NL"/>
        </w:rPr>
        <w:t xml:space="preserve"> và đã</w:t>
      </w:r>
      <w:r w:rsidRPr="006234AA">
        <w:rPr>
          <w:lang w:val="nl-NL"/>
        </w:rPr>
        <w:t xml:space="preserve"> được đại hội đồng cổ đông</w:t>
      </w:r>
      <w:r w:rsidR="004778B5" w:rsidRPr="006234AA">
        <w:rPr>
          <w:lang w:val="nl-NL"/>
        </w:rPr>
        <w:t>,</w:t>
      </w:r>
      <w:r w:rsidRPr="006234AA">
        <w:rPr>
          <w:lang w:val="nl-NL"/>
        </w:rPr>
        <w:t xml:space="preserve"> hội đồng thành viên hoặc chủ sở hữu thông qua; </w:t>
      </w:r>
    </w:p>
    <w:p w:rsidR="009C78CA" w:rsidRPr="006234AA" w:rsidRDefault="009C78CA" w:rsidP="003C0546">
      <w:pPr>
        <w:spacing w:after="120"/>
        <w:rPr>
          <w:lang w:val="nl-NL"/>
        </w:rPr>
      </w:pPr>
      <w:r w:rsidRPr="006234AA">
        <w:rPr>
          <w:lang w:val="nl-NL"/>
        </w:rPr>
        <w:t xml:space="preserve">c) Các tài liệu </w:t>
      </w:r>
      <w:r w:rsidR="00154A8D" w:rsidRPr="006234AA">
        <w:rPr>
          <w:lang w:val="nl-NL"/>
        </w:rPr>
        <w:t xml:space="preserve">hợp lệ </w:t>
      </w:r>
      <w:r w:rsidRPr="006234AA">
        <w:rPr>
          <w:lang w:val="nl-NL"/>
        </w:rPr>
        <w:t>chứng minh tổ chức kinh doanh chứng khoán</w:t>
      </w:r>
      <w:r w:rsidR="004778B5" w:rsidRPr="006234AA">
        <w:rPr>
          <w:lang w:val="nl-NL"/>
        </w:rPr>
        <w:t>, ngân hàng thương mại</w:t>
      </w:r>
      <w:r w:rsidR="009061F6" w:rsidRPr="006234AA">
        <w:rPr>
          <w:lang w:val="nl-NL"/>
        </w:rPr>
        <w:t xml:space="preserve"> </w:t>
      </w:r>
      <w:r w:rsidRPr="006234AA">
        <w:rPr>
          <w:lang w:val="nl-NL"/>
        </w:rPr>
        <w:t>đáp ứng qu</w:t>
      </w:r>
      <w:r w:rsidR="00EF56A1" w:rsidRPr="006234AA">
        <w:rPr>
          <w:lang w:val="nl-NL"/>
        </w:rPr>
        <w:t xml:space="preserve">y định tại Điều </w:t>
      </w:r>
      <w:r w:rsidR="004778B5" w:rsidRPr="006234AA">
        <w:rPr>
          <w:lang w:val="nl-NL"/>
        </w:rPr>
        <w:t>26</w:t>
      </w:r>
      <w:r w:rsidR="00EF56A1" w:rsidRPr="006234AA">
        <w:rPr>
          <w:lang w:val="nl-NL"/>
        </w:rPr>
        <w:t xml:space="preserve"> Thông tư này; </w:t>
      </w:r>
    </w:p>
    <w:p w:rsidR="009C78CA" w:rsidRPr="006234AA" w:rsidRDefault="009C78CA" w:rsidP="003C0546">
      <w:pPr>
        <w:spacing w:after="120"/>
        <w:rPr>
          <w:lang w:val="nl-NL"/>
        </w:rPr>
      </w:pPr>
      <w:r w:rsidRPr="006234AA">
        <w:rPr>
          <w:lang w:val="nl-NL"/>
        </w:rPr>
        <w:lastRenderedPageBreak/>
        <w:t xml:space="preserve">d) Danh sách theo mẫu quy định tại </w:t>
      </w:r>
      <w:r w:rsidR="004162A5" w:rsidRPr="006234AA">
        <w:rPr>
          <w:lang w:val="nl-NL"/>
        </w:rPr>
        <w:t>P</w:t>
      </w:r>
      <w:r w:rsidRPr="006234AA">
        <w:rPr>
          <w:lang w:val="nl-NL"/>
        </w:rPr>
        <w:t xml:space="preserve">hụ lục số 4 ban hành kèm theo Thông tư này, hồ sơ cá nhân Giám đốc (Tổng giám đốc) hoặc Phó Giám đốc (Phó Tổng giám đốc) phụ trách </w:t>
      </w:r>
      <w:r w:rsidR="00002D5D" w:rsidRPr="006234AA">
        <w:rPr>
          <w:lang w:val="nl-NL"/>
        </w:rPr>
        <w:t>hoạt động chứng khoán phái sinh</w:t>
      </w:r>
      <w:r w:rsidRPr="006234AA">
        <w:rPr>
          <w:lang w:val="nl-NL"/>
        </w:rPr>
        <w:t>,</w:t>
      </w:r>
      <w:r w:rsidR="00DB2221" w:rsidRPr="006234AA">
        <w:rPr>
          <w:lang w:val="nl-NL"/>
        </w:rPr>
        <w:t xml:space="preserve"> trưởng bộ phận </w:t>
      </w:r>
      <w:r w:rsidR="00666F37" w:rsidRPr="006234AA">
        <w:rPr>
          <w:lang w:val="nl-NL"/>
        </w:rPr>
        <w:t>bù trừ, thanh toán</w:t>
      </w:r>
      <w:r w:rsidR="004778B5" w:rsidRPr="006234AA">
        <w:rPr>
          <w:lang w:val="nl-NL"/>
        </w:rPr>
        <w:t xml:space="preserve"> và</w:t>
      </w:r>
      <w:r w:rsidRPr="006234AA">
        <w:rPr>
          <w:lang w:val="nl-NL"/>
        </w:rPr>
        <w:t xml:space="preserve"> </w:t>
      </w:r>
      <w:r w:rsidR="004778B5" w:rsidRPr="006234AA">
        <w:rPr>
          <w:lang w:val="nl-NL"/>
        </w:rPr>
        <w:t xml:space="preserve">các </w:t>
      </w:r>
      <w:r w:rsidRPr="006234AA">
        <w:rPr>
          <w:lang w:val="nl-NL"/>
        </w:rPr>
        <w:t>nhân viên nghiệp vụ;</w:t>
      </w:r>
    </w:p>
    <w:p w:rsidR="009C78CA" w:rsidRPr="006234AA" w:rsidRDefault="00982BD4" w:rsidP="003C0546">
      <w:pPr>
        <w:spacing w:after="120"/>
        <w:rPr>
          <w:lang w:val="nl-NL"/>
        </w:rPr>
      </w:pPr>
      <w:r w:rsidRPr="006234AA">
        <w:rPr>
          <w:lang w:val="nl-NL"/>
        </w:rPr>
        <w:t>đ</w:t>
      </w:r>
      <w:r w:rsidR="00EF56A1" w:rsidRPr="006234AA">
        <w:rPr>
          <w:lang w:val="nl-NL"/>
        </w:rPr>
        <w:t>)</w:t>
      </w:r>
      <w:r w:rsidR="004778B5" w:rsidRPr="006234AA">
        <w:rPr>
          <w:lang w:val="nl-NL"/>
        </w:rPr>
        <w:t xml:space="preserve"> Phương án hoạt động </w:t>
      </w:r>
      <w:r w:rsidR="009C78CA" w:rsidRPr="006234AA">
        <w:rPr>
          <w:lang w:val="nl-NL"/>
        </w:rPr>
        <w:t xml:space="preserve">trong ba (03) năm đầu (theo mẫu quy định tại </w:t>
      </w:r>
      <w:r w:rsidR="004162A5" w:rsidRPr="006234AA">
        <w:rPr>
          <w:lang w:val="nl-NL"/>
        </w:rPr>
        <w:t>P</w:t>
      </w:r>
      <w:r w:rsidR="009C78CA" w:rsidRPr="006234AA">
        <w:rPr>
          <w:lang w:val="nl-NL"/>
        </w:rPr>
        <w:t>hụ lục</w:t>
      </w:r>
      <w:r w:rsidR="004162A5" w:rsidRPr="006234AA">
        <w:rPr>
          <w:lang w:val="nl-NL"/>
        </w:rPr>
        <w:t xml:space="preserve"> số </w:t>
      </w:r>
      <w:r w:rsidR="001C2BBC" w:rsidRPr="006234AA">
        <w:rPr>
          <w:lang w:val="nl-NL"/>
        </w:rPr>
        <w:t xml:space="preserve">22 </w:t>
      </w:r>
      <w:r w:rsidR="009C78CA" w:rsidRPr="006234AA">
        <w:rPr>
          <w:lang w:val="nl-NL"/>
        </w:rPr>
        <w:t xml:space="preserve">ban hành kèm theo Thông tư này) kèm theo các quy trình nghiệp vụ, quy trình kiểm soát nội bộ, quy trình quản trị rủi ro áp dụng cho </w:t>
      </w:r>
      <w:r w:rsidR="00A07E51" w:rsidRPr="006234AA">
        <w:rPr>
          <w:lang w:val="nl-NL"/>
        </w:rPr>
        <w:t>hoạt động chứng khoán phái sinh</w:t>
      </w:r>
      <w:r w:rsidR="00002D5D" w:rsidRPr="006234AA">
        <w:rPr>
          <w:lang w:val="nl-NL"/>
        </w:rPr>
        <w:t xml:space="preserve"> </w:t>
      </w:r>
      <w:r w:rsidR="004778B5" w:rsidRPr="006234AA">
        <w:rPr>
          <w:lang w:val="nl-NL"/>
        </w:rPr>
        <w:t>dự kiến thực hiện</w:t>
      </w:r>
      <w:r w:rsidR="00002D5D" w:rsidRPr="006234AA">
        <w:rPr>
          <w:lang w:val="nl-NL"/>
        </w:rPr>
        <w:t>;</w:t>
      </w:r>
    </w:p>
    <w:p w:rsidR="00C03E0C" w:rsidRPr="006234AA" w:rsidRDefault="00002D5D" w:rsidP="003C0546">
      <w:pPr>
        <w:spacing w:after="120"/>
        <w:rPr>
          <w:lang w:val="nl-NL"/>
        </w:rPr>
      </w:pPr>
      <w:r w:rsidRPr="006234AA">
        <w:rPr>
          <w:lang w:val="nl-NL"/>
        </w:rPr>
        <w:t xml:space="preserve">e) Bản thuyết trình </w:t>
      </w:r>
      <w:r w:rsidR="00F07E5F" w:rsidRPr="006234AA">
        <w:rPr>
          <w:lang w:val="nl-NL"/>
        </w:rPr>
        <w:t xml:space="preserve">về cơ sở vật chất kỹ thuật, hạ tầng công nghệ thông tin với các </w:t>
      </w:r>
      <w:r w:rsidRPr="006234AA">
        <w:rPr>
          <w:lang w:val="nl-NL"/>
        </w:rPr>
        <w:t>hệ thống</w:t>
      </w:r>
      <w:r w:rsidR="00F07E5F" w:rsidRPr="006234AA">
        <w:rPr>
          <w:lang w:val="nl-NL"/>
        </w:rPr>
        <w:t xml:space="preserve"> phù hợp (hệ thống</w:t>
      </w:r>
      <w:r w:rsidRPr="006234AA">
        <w:rPr>
          <w:lang w:val="nl-NL"/>
        </w:rPr>
        <w:t xml:space="preserve"> giao dịch</w:t>
      </w:r>
      <w:r w:rsidR="00154A8D" w:rsidRPr="006234AA">
        <w:rPr>
          <w:lang w:val="nl-NL"/>
        </w:rPr>
        <w:t>;</w:t>
      </w:r>
      <w:r w:rsidR="00F07E5F" w:rsidRPr="006234AA">
        <w:rPr>
          <w:lang w:val="nl-NL"/>
        </w:rPr>
        <w:t xml:space="preserve"> hệ thống </w:t>
      </w:r>
      <w:r w:rsidR="00666F37" w:rsidRPr="006234AA">
        <w:rPr>
          <w:lang w:val="nl-NL"/>
        </w:rPr>
        <w:t>bù trừ, thanh toán</w:t>
      </w:r>
      <w:r w:rsidR="00F07E5F" w:rsidRPr="006234AA">
        <w:rPr>
          <w:lang w:val="nl-NL"/>
        </w:rPr>
        <w:t>)</w:t>
      </w:r>
      <w:r w:rsidRPr="006234AA">
        <w:rPr>
          <w:lang w:val="nl-NL"/>
        </w:rPr>
        <w:t xml:space="preserve"> </w:t>
      </w:r>
      <w:r w:rsidR="00D50CCA" w:rsidRPr="006234AA">
        <w:rPr>
          <w:lang w:val="nl-NL"/>
        </w:rPr>
        <w:t>cho</w:t>
      </w:r>
      <w:r w:rsidRPr="006234AA">
        <w:rPr>
          <w:lang w:val="nl-NL"/>
        </w:rPr>
        <w:t xml:space="preserve"> </w:t>
      </w:r>
      <w:r w:rsidR="00A07E51" w:rsidRPr="006234AA">
        <w:rPr>
          <w:lang w:val="nl-NL"/>
        </w:rPr>
        <w:t>chứng khoán phái sinh</w:t>
      </w:r>
      <w:r w:rsidR="000625D2" w:rsidRPr="006234AA">
        <w:rPr>
          <w:lang w:val="nl-NL"/>
        </w:rPr>
        <w:t>.</w:t>
      </w:r>
    </w:p>
    <w:p w:rsidR="009C78CA" w:rsidRPr="006234AA" w:rsidRDefault="009C78CA" w:rsidP="003C0546">
      <w:pPr>
        <w:spacing w:after="120"/>
        <w:rPr>
          <w:lang w:val="nl-NL"/>
        </w:rPr>
      </w:pPr>
      <w:r w:rsidRPr="006234AA">
        <w:rPr>
          <w:lang w:val="nl-NL"/>
        </w:rPr>
        <w:t>2. Hồ sơ theo quy định tại khoản 1 Điều này được lập thành một (01) bộ gốc kèm theo tệp thông tin điện tử. Bộ hồ sơ gốc được gửi trực tiếp Ủy ban Chứng khoán Nhà nước hoặc gửi qua đường bưu điện.</w:t>
      </w:r>
    </w:p>
    <w:p w:rsidR="009C78CA" w:rsidRPr="006234AA" w:rsidRDefault="009C78CA" w:rsidP="003C0546">
      <w:pPr>
        <w:spacing w:after="120"/>
        <w:rPr>
          <w:lang w:val="nl-NL"/>
        </w:rPr>
      </w:pPr>
      <w:r w:rsidRPr="006234AA">
        <w:rPr>
          <w:lang w:val="nl-NL"/>
        </w:rPr>
        <w:t xml:space="preserve">3. Trong thời hạn mười lăm (15) ngày làm việc, kể từ ngày nhận được đầy đủ hồ sơ hợp lệ theo quy định tại khoản 1 Điều này, Ủy ban Chứng khoán Nhà nước </w:t>
      </w:r>
      <w:r w:rsidR="000625D2" w:rsidRPr="006234AA">
        <w:rPr>
          <w:lang w:val="nl-NL"/>
        </w:rPr>
        <w:t xml:space="preserve">cấp Giấy chứng nhận đủ điều kiện kinh doanh, đủ điều kiện </w:t>
      </w:r>
      <w:r w:rsidR="00B92D25" w:rsidRPr="006234AA">
        <w:rPr>
          <w:lang w:val="nl-NL"/>
        </w:rPr>
        <w:t xml:space="preserve">cung cấp dịch vụ </w:t>
      </w:r>
      <w:r w:rsidR="000625D2" w:rsidRPr="006234AA">
        <w:rPr>
          <w:lang w:val="nl-NL"/>
        </w:rPr>
        <w:t>bù trừ, thanh toán chứng khoán phái sinh</w:t>
      </w:r>
      <w:r w:rsidRPr="006234AA">
        <w:rPr>
          <w:lang w:val="nl-NL"/>
        </w:rPr>
        <w:t>. Trường hợp từ chối, Ủy ban Chứng khoán Nhà nước phải trả lời bằng văn bản và nêu rõ lý do.</w:t>
      </w:r>
    </w:p>
    <w:p w:rsidR="0083099F" w:rsidRPr="006234AA" w:rsidRDefault="004D671F" w:rsidP="003C0546">
      <w:pPr>
        <w:pStyle w:val="Heading4"/>
        <w:spacing w:after="120"/>
        <w:ind w:left="0" w:firstLine="709"/>
      </w:pPr>
      <w:bookmarkStart w:id="100" w:name="_Toc387136349"/>
      <w:bookmarkStart w:id="101" w:name="_Toc397003340"/>
      <w:bookmarkStart w:id="102" w:name="_Toc422671971"/>
      <w:r w:rsidRPr="006234AA">
        <w:t>Cơ cấu tổ chức, quản lý rủi ro</w:t>
      </w:r>
      <w:bookmarkEnd w:id="100"/>
      <w:bookmarkEnd w:id="101"/>
      <w:bookmarkEnd w:id="102"/>
    </w:p>
    <w:p w:rsidR="009C78CA" w:rsidRPr="006234AA" w:rsidRDefault="009C78CA" w:rsidP="003C0546">
      <w:pPr>
        <w:spacing w:after="120"/>
        <w:rPr>
          <w:lang w:val="nl-NL"/>
        </w:rPr>
      </w:pPr>
      <w:r w:rsidRPr="006234AA">
        <w:rPr>
          <w:lang w:val="nl-NL"/>
        </w:rPr>
        <w:t>1. Giám đốc (Tổng giám đốc), Phó Giám đốc (Phó Tổng giám đốc)</w:t>
      </w:r>
      <w:r w:rsidR="00AC48CB" w:rsidRPr="006234AA">
        <w:rPr>
          <w:lang w:val="nl-NL"/>
        </w:rPr>
        <w:t xml:space="preserve">, </w:t>
      </w:r>
      <w:r w:rsidR="00B92D25" w:rsidRPr="006234AA">
        <w:rPr>
          <w:lang w:val="nl-NL"/>
        </w:rPr>
        <w:t>t</w:t>
      </w:r>
      <w:r w:rsidR="00AC48CB" w:rsidRPr="006234AA">
        <w:rPr>
          <w:lang w:val="nl-NL"/>
        </w:rPr>
        <w:t xml:space="preserve">rưởng </w:t>
      </w:r>
      <w:r w:rsidR="00B92D25" w:rsidRPr="006234AA">
        <w:rPr>
          <w:lang w:val="nl-NL"/>
        </w:rPr>
        <w:t xml:space="preserve">các </w:t>
      </w:r>
      <w:r w:rsidR="00AC48CB" w:rsidRPr="006234AA">
        <w:rPr>
          <w:lang w:val="nl-NL"/>
        </w:rPr>
        <w:t>bộ phận</w:t>
      </w:r>
      <w:r w:rsidRPr="006234AA">
        <w:rPr>
          <w:lang w:val="nl-NL"/>
        </w:rPr>
        <w:t xml:space="preserve"> </w:t>
      </w:r>
      <w:r w:rsidR="00B36DD8" w:rsidRPr="006234AA">
        <w:rPr>
          <w:lang w:val="nl-NL"/>
        </w:rPr>
        <w:t>kinh doanh</w:t>
      </w:r>
      <w:r w:rsidR="00AC48CB" w:rsidRPr="006234AA">
        <w:rPr>
          <w:lang w:val="nl-NL"/>
        </w:rPr>
        <w:t xml:space="preserve"> </w:t>
      </w:r>
      <w:r w:rsidRPr="006234AA">
        <w:rPr>
          <w:lang w:val="nl-NL"/>
        </w:rPr>
        <w:t>chứng khoán phái sinh</w:t>
      </w:r>
      <w:r w:rsidR="00E3657B" w:rsidRPr="006234AA">
        <w:rPr>
          <w:lang w:val="nl-NL"/>
        </w:rPr>
        <w:t>; trưởng bộ phận bù trừ</w:t>
      </w:r>
      <w:r w:rsidR="00B92D25" w:rsidRPr="006234AA">
        <w:rPr>
          <w:lang w:val="nl-NL"/>
        </w:rPr>
        <w:t>, thanh toán,</w:t>
      </w:r>
      <w:r w:rsidR="00E3657B" w:rsidRPr="006234AA">
        <w:rPr>
          <w:lang w:val="nl-NL"/>
        </w:rPr>
        <w:t xml:space="preserve"> chứng khoán phái sinh</w:t>
      </w:r>
      <w:r w:rsidR="004D671F" w:rsidRPr="006234AA">
        <w:rPr>
          <w:lang w:val="nl-NL"/>
        </w:rPr>
        <w:t>; trưởng bộ phận quản lý rủi ro</w:t>
      </w:r>
      <w:r w:rsidR="00E3657B" w:rsidRPr="006234AA">
        <w:rPr>
          <w:lang w:val="nl-NL"/>
        </w:rPr>
        <w:t xml:space="preserve"> phải</w:t>
      </w:r>
      <w:r w:rsidRPr="006234AA">
        <w:rPr>
          <w:lang w:val="nl-NL"/>
        </w:rPr>
        <w:t xml:space="preserve"> đáp ứng đầy đủ các quy định sau:</w:t>
      </w:r>
    </w:p>
    <w:p w:rsidR="009C78CA" w:rsidRPr="006234AA" w:rsidRDefault="009C78CA" w:rsidP="003C0546">
      <w:pPr>
        <w:spacing w:after="120"/>
        <w:rPr>
          <w:lang w:val="nl-NL"/>
        </w:rPr>
      </w:pPr>
      <w:r w:rsidRPr="006234AA">
        <w:rPr>
          <w:lang w:val="nl-NL"/>
        </w:rPr>
        <w:t xml:space="preserve">a) Có năng lực hành vi dân sự  đầy đủ, không thuộc trường hợp đang chấp hành hình phạt tù hoặc bị tòa án cấm hành nghề kinh doanh; </w:t>
      </w:r>
    </w:p>
    <w:p w:rsidR="00DA1426" w:rsidRPr="006234AA" w:rsidRDefault="009C78CA" w:rsidP="003C0546">
      <w:pPr>
        <w:spacing w:after="120"/>
        <w:rPr>
          <w:lang w:val="nl-NL"/>
        </w:rPr>
      </w:pPr>
      <w:r w:rsidRPr="006234AA">
        <w:rPr>
          <w:lang w:val="nl-NL"/>
        </w:rPr>
        <w:t>b) Không bị xử phạt từ mức phạt tiền trở lên đối với các hành vi vi phạm pháp luật trong lĩnh vực chứng khoán, ngân hàng, bảo hiểm trong thời hạn hai (02) năm, tính tới thời điểm được bổ nhiệm;</w:t>
      </w:r>
      <w:r w:rsidR="00DA1426" w:rsidRPr="006234AA">
        <w:rPr>
          <w:lang w:val="nl-NL"/>
        </w:rPr>
        <w:t xml:space="preserve"> </w:t>
      </w:r>
    </w:p>
    <w:p w:rsidR="009C78CA" w:rsidRPr="006234AA" w:rsidRDefault="00DA1426" w:rsidP="003C0546">
      <w:pPr>
        <w:spacing w:after="120"/>
        <w:rPr>
          <w:lang w:val="nl-NL"/>
        </w:rPr>
      </w:pPr>
      <w:r w:rsidRPr="006234AA">
        <w:rPr>
          <w:lang w:val="nl-NL"/>
        </w:rPr>
        <w:t>c) Giám đốc (Tổng</w:t>
      </w:r>
      <w:r w:rsidR="009C78CA" w:rsidRPr="006234AA">
        <w:rPr>
          <w:lang w:val="nl-NL"/>
        </w:rPr>
        <w:t xml:space="preserve"> giám đốc), Phó Giám đốc (Phó Tổng giám đốc) có ít nhất năm (05) năm kinh nghiệm tại các bộ phận nghiệp vụ của các tổ chức trong lĩnh vực tài chính, ngân hàng, bảo hiểm hoặc tại bộ phận tài chính, kế toán, đầu tư trong các doanh nghiệp khác;</w:t>
      </w:r>
    </w:p>
    <w:p w:rsidR="009C78CA" w:rsidRPr="006234AA" w:rsidRDefault="009C78CA" w:rsidP="003C0546">
      <w:pPr>
        <w:spacing w:after="120"/>
        <w:rPr>
          <w:lang w:val="nl-NL"/>
        </w:rPr>
      </w:pPr>
      <w:r w:rsidRPr="006234AA">
        <w:rPr>
          <w:lang w:val="nl-NL"/>
        </w:rPr>
        <w:t xml:space="preserve">d) Đã thi đạt Chứng chỉ chuyên môn về chứng khoán phái sinh và thị trường chứng khoán phái sinh; </w:t>
      </w:r>
    </w:p>
    <w:p w:rsidR="009C78CA" w:rsidRPr="006234AA" w:rsidRDefault="009C78CA" w:rsidP="003C0546">
      <w:pPr>
        <w:spacing w:after="120"/>
        <w:rPr>
          <w:lang w:val="nl-NL"/>
        </w:rPr>
      </w:pPr>
      <w:r w:rsidRPr="006234AA">
        <w:rPr>
          <w:lang w:val="nl-NL"/>
        </w:rPr>
        <w:t>đ) Có Chứng chỉ hành nghề quản lý quỹ hoặc có một trong các văn bằng, chứng chỉ quốc tế sau:</w:t>
      </w:r>
    </w:p>
    <w:p w:rsidR="009C78CA" w:rsidRPr="006234AA" w:rsidRDefault="009C78CA" w:rsidP="003C0546">
      <w:pPr>
        <w:spacing w:after="120"/>
        <w:rPr>
          <w:lang w:val="nl-NL"/>
        </w:rPr>
      </w:pPr>
      <w:r w:rsidRPr="006234AA">
        <w:rPr>
          <w:lang w:val="nl-NL"/>
        </w:rPr>
        <w:t>- Chứng chỉ hành nghề tại các quốc gia là thành viên của tổ chức hợp tác và phát triển kinh tế (OECD); hoặc</w:t>
      </w:r>
    </w:p>
    <w:p w:rsidR="009C78CA" w:rsidRPr="006234AA" w:rsidRDefault="009C78CA" w:rsidP="003C0546">
      <w:pPr>
        <w:spacing w:after="120"/>
        <w:rPr>
          <w:lang w:val="nl-NL"/>
        </w:rPr>
      </w:pPr>
      <w:r w:rsidRPr="006234AA">
        <w:rPr>
          <w:lang w:val="nl-NL"/>
        </w:rPr>
        <w:lastRenderedPageBreak/>
        <w:t xml:space="preserve">- Đã thi đạt chứng chỉ quốc tế về phân tích đầu tư CFA bậc II (Chartered Financial Analyst level II), hoặc CIIA bậc II (Certified International Investment Analyst - Final level); </w:t>
      </w:r>
    </w:p>
    <w:p w:rsidR="009C78CA" w:rsidRPr="006234AA" w:rsidRDefault="009C78CA" w:rsidP="003C0546">
      <w:pPr>
        <w:spacing w:after="120"/>
        <w:rPr>
          <w:lang w:val="nl-NL"/>
        </w:rPr>
      </w:pPr>
      <w:r w:rsidRPr="006234AA">
        <w:rPr>
          <w:lang w:val="nl-NL"/>
        </w:rPr>
        <w:t>e) Không kiêm nhiệm làm nhân viên của các tổ chức kinh tế khác và tuân thủ các quy định về trách nhiệm người hành nghề chứng khoán tại Điều 81 Luật Chứng khoán.</w:t>
      </w:r>
    </w:p>
    <w:p w:rsidR="009C78CA" w:rsidRPr="006234AA" w:rsidRDefault="009C78CA" w:rsidP="003C0546">
      <w:pPr>
        <w:spacing w:after="120"/>
        <w:rPr>
          <w:lang w:val="nl-NL"/>
        </w:rPr>
      </w:pPr>
      <w:r w:rsidRPr="006234AA">
        <w:rPr>
          <w:lang w:val="nl-NL"/>
        </w:rPr>
        <w:t xml:space="preserve">2. </w:t>
      </w:r>
      <w:r w:rsidR="00A07E51" w:rsidRPr="006234AA">
        <w:rPr>
          <w:lang w:val="nl-NL"/>
        </w:rPr>
        <w:t>Tổ chức kinh doanh dịch vụ chứng khoán phái sinh</w:t>
      </w:r>
      <w:r w:rsidRPr="006234AA">
        <w:rPr>
          <w:lang w:val="nl-NL"/>
        </w:rPr>
        <w:t xml:space="preserve"> phải miễn nhiệm, bãi nhiệm các chức danh liên quan trong thời hạn hai mươi tư (24) giờ ngay sau khi các cá nhân này không còn đáp ứng quy định tại điểm a, e khoản 1 Điều này hoặc vi phạm quy định tại điểm b khoản 1 Điều 80 Luật Chứng khoán.</w:t>
      </w:r>
    </w:p>
    <w:p w:rsidR="00E44A84" w:rsidRPr="006234AA" w:rsidRDefault="0011740E" w:rsidP="003C0546">
      <w:pPr>
        <w:spacing w:after="120"/>
        <w:rPr>
          <w:lang w:val="nl-NL"/>
        </w:rPr>
      </w:pPr>
      <w:r w:rsidRPr="006234AA">
        <w:rPr>
          <w:lang w:val="nl-NL"/>
        </w:rPr>
        <w:t xml:space="preserve">3. Nhân viên </w:t>
      </w:r>
      <w:r w:rsidR="00E44A84" w:rsidRPr="006234AA">
        <w:rPr>
          <w:lang w:val="nl-NL"/>
        </w:rPr>
        <w:t>tại các bộ phận nghiệp vụ kinh doanh chứng khoán phái sinh phải bảo đảm:</w:t>
      </w:r>
    </w:p>
    <w:p w:rsidR="00E44A84" w:rsidRPr="006234AA" w:rsidRDefault="00E44A84" w:rsidP="003C0546">
      <w:pPr>
        <w:spacing w:after="120"/>
        <w:rPr>
          <w:lang w:val="nl-NL"/>
        </w:rPr>
      </w:pPr>
      <w:r w:rsidRPr="006234AA">
        <w:rPr>
          <w:lang w:val="nl-NL"/>
        </w:rPr>
        <w:t xml:space="preserve">a) Nhân viên </w:t>
      </w:r>
      <w:r w:rsidR="0011740E" w:rsidRPr="006234AA">
        <w:rPr>
          <w:lang w:val="nl-NL"/>
        </w:rPr>
        <w:t>tự doanh chứng khoán phái sinh, tư vấn đầ</w:t>
      </w:r>
      <w:r w:rsidRPr="006234AA">
        <w:rPr>
          <w:lang w:val="nl-NL"/>
        </w:rPr>
        <w:t xml:space="preserve">u tư chứng khoán phái sinh phải đáp ứng </w:t>
      </w:r>
      <w:r w:rsidR="0011740E" w:rsidRPr="006234AA">
        <w:rPr>
          <w:lang w:val="nl-NL"/>
        </w:rPr>
        <w:t xml:space="preserve">quy định tại điểm a, d, </w:t>
      </w:r>
      <w:r w:rsidRPr="006234AA">
        <w:rPr>
          <w:lang w:val="nl-NL"/>
        </w:rPr>
        <w:t xml:space="preserve">đ, </w:t>
      </w:r>
      <w:r w:rsidR="0011740E" w:rsidRPr="006234AA">
        <w:rPr>
          <w:lang w:val="nl-NL"/>
        </w:rPr>
        <w:t>e khoản 1 Điều này</w:t>
      </w:r>
      <w:r w:rsidRPr="006234AA">
        <w:rPr>
          <w:lang w:val="nl-NL"/>
        </w:rPr>
        <w:t>;</w:t>
      </w:r>
    </w:p>
    <w:p w:rsidR="009C78CA" w:rsidRPr="006234AA" w:rsidRDefault="00E44A84" w:rsidP="003C0546">
      <w:pPr>
        <w:spacing w:after="120"/>
        <w:rPr>
          <w:lang w:val="nl-NL"/>
        </w:rPr>
      </w:pPr>
      <w:r w:rsidRPr="006234AA">
        <w:rPr>
          <w:lang w:val="nl-NL"/>
        </w:rPr>
        <w:t xml:space="preserve">b)  </w:t>
      </w:r>
      <w:r w:rsidR="009C78CA" w:rsidRPr="006234AA">
        <w:rPr>
          <w:lang w:val="nl-NL"/>
        </w:rPr>
        <w:t xml:space="preserve">Nhân viên môi giới chứng khoán phái sinh phải </w:t>
      </w:r>
      <w:r w:rsidRPr="006234AA">
        <w:rPr>
          <w:lang w:val="nl-NL"/>
        </w:rPr>
        <w:t>có chứng chỉ hành nghề kinh doanh chứng khoán và đáp ứng các điều kiện quy định tại điểm a, d, e khoản 1 Điều này</w:t>
      </w:r>
      <w:r w:rsidR="009C78CA" w:rsidRPr="006234AA">
        <w:rPr>
          <w:lang w:val="nl-NL"/>
        </w:rPr>
        <w:t>.</w:t>
      </w:r>
    </w:p>
    <w:p w:rsidR="004D671F" w:rsidRPr="006234AA" w:rsidRDefault="00E44A84" w:rsidP="003C0546">
      <w:pPr>
        <w:spacing w:after="120"/>
        <w:rPr>
          <w:lang w:val="nl-NL"/>
        </w:rPr>
      </w:pPr>
      <w:r w:rsidRPr="006234AA">
        <w:rPr>
          <w:lang w:val="nl-NL"/>
        </w:rPr>
        <w:t>4</w:t>
      </w:r>
      <w:r w:rsidR="004D671F" w:rsidRPr="006234AA">
        <w:rPr>
          <w:lang w:val="nl-NL"/>
        </w:rPr>
        <w:t xml:space="preserve">. Tổ chức kinh doanh </w:t>
      </w:r>
      <w:r w:rsidR="00A93E5A" w:rsidRPr="006234AA">
        <w:rPr>
          <w:lang w:val="nl-NL"/>
        </w:rPr>
        <w:t xml:space="preserve">dịch vụ </w:t>
      </w:r>
      <w:r w:rsidR="004D671F" w:rsidRPr="006234AA">
        <w:rPr>
          <w:lang w:val="nl-NL"/>
        </w:rPr>
        <w:t xml:space="preserve">chứng khoán phái sinh phải thiết lập hệ thống kiểm soát nội bộ và quản trị rủi ro toàn diện và đồng bộ, bao gồm: (i) cơ cấu tổ chức, nhân sự phục vụ công tác kiểm soát nội bộ và quản trị rủi ro tại từng bộ phận và toàn bộ công ty; (ii) các chính sách và quy trình kiểm soát nội bộ và quản trị rủi ro. </w:t>
      </w:r>
    </w:p>
    <w:p w:rsidR="004D671F" w:rsidRPr="006234AA" w:rsidRDefault="00E44A84" w:rsidP="003C0546">
      <w:pPr>
        <w:autoSpaceDE w:val="0"/>
        <w:autoSpaceDN w:val="0"/>
        <w:adjustRightInd w:val="0"/>
        <w:spacing w:after="120"/>
        <w:rPr>
          <w:lang w:val="nl-NL"/>
        </w:rPr>
      </w:pPr>
      <w:r w:rsidRPr="006234AA">
        <w:rPr>
          <w:lang w:val="nl-NL"/>
        </w:rPr>
        <w:t>5</w:t>
      </w:r>
      <w:r w:rsidR="004D671F" w:rsidRPr="006234AA">
        <w:rPr>
          <w:lang w:val="nl-NL"/>
        </w:rPr>
        <w:t>. Cơ cấu tổ chức về quản trị rủi ro bao</w:t>
      </w:r>
      <w:r w:rsidR="004D671F" w:rsidRPr="006234AA">
        <w:rPr>
          <w:lang w:val="vi-VN"/>
        </w:rPr>
        <w:t xml:space="preserve"> </w:t>
      </w:r>
      <w:r w:rsidR="004D671F" w:rsidRPr="006234AA">
        <w:rPr>
          <w:lang w:val="nl-NL"/>
        </w:rPr>
        <w:t>gồm các bộ phận, nhân sự phục vụ công tác quản trị rủi ro, được tích hợp và vận</w:t>
      </w:r>
      <w:r w:rsidR="004D671F" w:rsidRPr="006234AA">
        <w:rPr>
          <w:lang w:val="vi-VN"/>
        </w:rPr>
        <w:t xml:space="preserve"> </w:t>
      </w:r>
      <w:r w:rsidR="004D671F" w:rsidRPr="006234AA">
        <w:rPr>
          <w:lang w:val="nl-NL"/>
        </w:rPr>
        <w:t xml:space="preserve">hành song song trong cơ cấu tổ chức quản lý và điều hành của công ty theo nguyên tắc: </w:t>
      </w:r>
    </w:p>
    <w:p w:rsidR="004D671F" w:rsidRPr="006234AA" w:rsidRDefault="004D671F" w:rsidP="003C0546">
      <w:pPr>
        <w:autoSpaceDE w:val="0"/>
        <w:autoSpaceDN w:val="0"/>
        <w:adjustRightInd w:val="0"/>
        <w:spacing w:after="120"/>
        <w:rPr>
          <w:lang w:val="nl-NL"/>
        </w:rPr>
      </w:pPr>
      <w:r w:rsidRPr="006234AA">
        <w:rPr>
          <w:lang w:val="nl-NL"/>
        </w:rPr>
        <w:t xml:space="preserve">a) Cơ cấu tổ chức về quản trị rủi ro cần phù hợp với mô hình, quy mô, phạm vi hoạt động, năng lực tài chính của công ty. Phân biệt rõ trách nhiệm phối hợp, theo dõi, giải trình và báo cáo về rủi ro, phê duyệt </w:t>
      </w:r>
      <w:r w:rsidRPr="006234AA">
        <w:rPr>
          <w:lang w:val="vi-VN"/>
        </w:rPr>
        <w:t>p</w:t>
      </w:r>
      <w:r w:rsidRPr="006234AA">
        <w:rPr>
          <w:lang w:val="nl-NL"/>
        </w:rPr>
        <w:t>hương án xử lý, tổ chức thực hiện giữa các bộ phận nghiệp vụ trong toàn bộ hệ thống cơ cấu tổ chức về quản trị rủi ro, kể từ ban điều hành, hội đồng quản trị, hội đồng thành viên hoặc chủ sở hữu tới từng vị trí công tác;</w:t>
      </w:r>
    </w:p>
    <w:p w:rsidR="004D671F" w:rsidRPr="006234AA" w:rsidRDefault="004D671F" w:rsidP="003C0546">
      <w:pPr>
        <w:autoSpaceDE w:val="0"/>
        <w:autoSpaceDN w:val="0"/>
        <w:adjustRightInd w:val="0"/>
        <w:spacing w:after="120"/>
        <w:rPr>
          <w:lang w:val="nl-NL"/>
        </w:rPr>
      </w:pPr>
      <w:r w:rsidRPr="006234AA">
        <w:rPr>
          <w:lang w:val="nl-NL"/>
        </w:rPr>
        <w:t>b) Chiến lược và chính sách về quản trị rủi ro phải được ban hành thành văn bản và lưu thành để mọi</w:t>
      </w:r>
      <w:r w:rsidRPr="006234AA">
        <w:rPr>
          <w:lang w:val="vi-VN"/>
        </w:rPr>
        <w:t xml:space="preserve"> </w:t>
      </w:r>
      <w:r w:rsidRPr="006234AA">
        <w:rPr>
          <w:lang w:val="nl-NL"/>
        </w:rPr>
        <w:t>nhân viên trong công ty được biết và áp dụng thống nhất trong toàn bộ công ty:</w:t>
      </w:r>
    </w:p>
    <w:p w:rsidR="004D671F" w:rsidRPr="006234AA" w:rsidRDefault="004D671F" w:rsidP="003C0546">
      <w:pPr>
        <w:autoSpaceDE w:val="0"/>
        <w:autoSpaceDN w:val="0"/>
        <w:adjustRightInd w:val="0"/>
        <w:spacing w:after="120"/>
        <w:rPr>
          <w:lang w:val="nl-NL"/>
        </w:rPr>
      </w:pPr>
      <w:r w:rsidRPr="006234AA">
        <w:rPr>
          <w:lang w:val="nl-NL"/>
        </w:rPr>
        <w:t>- Chiến lược quản trị rủi ro, bao gồm chiến lược quản trị rủi ro tổng hợp và chiến lược quản trị rủi ro cấu thành. Chính sách quản trị rủi ro, bao gồm các quy trình quản lý rủi ro.</w:t>
      </w:r>
    </w:p>
    <w:p w:rsidR="004D671F" w:rsidRPr="006234AA" w:rsidRDefault="004D671F" w:rsidP="003C0546">
      <w:pPr>
        <w:spacing w:after="120"/>
        <w:rPr>
          <w:lang w:val="nl-NL"/>
        </w:rPr>
      </w:pPr>
      <w:r w:rsidRPr="006234AA">
        <w:rPr>
          <w:lang w:val="nl-NL"/>
        </w:rPr>
        <w:t xml:space="preserve">- Chiến lược và chính sách quản trị rủi ro bảo đảm phù hợp với cơ cấu tổ chức về quản trị rủi ro, quy mô và phạm vi hoạt động, lĩnh vực đầu tư, và loại </w:t>
      </w:r>
      <w:r w:rsidRPr="006234AA">
        <w:rPr>
          <w:lang w:val="nl-NL"/>
        </w:rPr>
        <w:lastRenderedPageBreak/>
        <w:t>hình tài sản đầu tư của công ty. Chiến lược và chính sách quản trị rủi ro được lập</w:t>
      </w:r>
      <w:r w:rsidRPr="006234AA">
        <w:rPr>
          <w:lang w:val="vi-VN"/>
        </w:rPr>
        <w:t xml:space="preserve"> </w:t>
      </w:r>
      <w:r w:rsidRPr="006234AA">
        <w:rPr>
          <w:lang w:val="nl-NL"/>
        </w:rPr>
        <w:t xml:space="preserve">thành văn bản, lưu trữ </w:t>
      </w:r>
      <w:r w:rsidRPr="006234AA">
        <w:rPr>
          <w:lang w:val="vi-VN"/>
        </w:rPr>
        <w:t>theo hướng dẫn của</w:t>
      </w:r>
      <w:r w:rsidRPr="006234AA">
        <w:rPr>
          <w:lang w:val="nl-NL"/>
        </w:rPr>
        <w:t xml:space="preserve"> Ủy ban Chứng</w:t>
      </w:r>
      <w:r w:rsidRPr="006234AA">
        <w:rPr>
          <w:lang w:val="vi-VN"/>
        </w:rPr>
        <w:t xml:space="preserve"> </w:t>
      </w:r>
      <w:r w:rsidRPr="006234AA">
        <w:rPr>
          <w:lang w:val="nl-NL"/>
        </w:rPr>
        <w:t>khoán Nhà nước.</w:t>
      </w:r>
    </w:p>
    <w:p w:rsidR="004D671F" w:rsidRPr="006234AA" w:rsidRDefault="004D671F" w:rsidP="003C0546">
      <w:pPr>
        <w:autoSpaceDE w:val="0"/>
        <w:autoSpaceDN w:val="0"/>
        <w:adjustRightInd w:val="0"/>
        <w:spacing w:after="120"/>
        <w:rPr>
          <w:lang w:val="nl-NL"/>
        </w:rPr>
      </w:pPr>
      <w:r w:rsidRPr="006234AA">
        <w:rPr>
          <w:lang w:val="nl-NL"/>
        </w:rPr>
        <w:t xml:space="preserve">c) Công ty </w:t>
      </w:r>
      <w:r w:rsidRPr="006234AA">
        <w:rPr>
          <w:lang w:val="vi-VN"/>
        </w:rPr>
        <w:t>có trách nhiệm theo dõi, định dạng, nhận diện, định</w:t>
      </w:r>
      <w:r w:rsidRPr="006234AA">
        <w:rPr>
          <w:lang w:val="nl-NL"/>
        </w:rPr>
        <w:t xml:space="preserve"> </w:t>
      </w:r>
      <w:r w:rsidRPr="006234AA">
        <w:rPr>
          <w:lang w:val="vi-VN"/>
        </w:rPr>
        <w:t>lượng các rủi ro</w:t>
      </w:r>
      <w:r w:rsidRPr="006234AA">
        <w:rPr>
          <w:lang w:val="nl-NL"/>
        </w:rPr>
        <w:t xml:space="preserve"> </w:t>
      </w:r>
      <w:r w:rsidRPr="006234AA">
        <w:rPr>
          <w:lang w:val="vi-VN"/>
        </w:rPr>
        <w:t xml:space="preserve">tiềm tàng trong danh mục đầu tư của mình. Trường hợp vượt các ngưỡng cảnh báo rủi ro, công ty có trách nhiệm thực hiện các phương án xử lý, điều chỉnh rủi ro xuống dưới các ngưỡng cảnh báo này. </w:t>
      </w:r>
    </w:p>
    <w:p w:rsidR="004D671F" w:rsidRPr="006234AA" w:rsidRDefault="004D671F" w:rsidP="003C0546">
      <w:pPr>
        <w:autoSpaceDE w:val="0"/>
        <w:autoSpaceDN w:val="0"/>
        <w:adjustRightInd w:val="0"/>
        <w:spacing w:after="120"/>
        <w:rPr>
          <w:lang w:val="nl-NL"/>
        </w:rPr>
      </w:pPr>
      <w:r w:rsidRPr="006234AA">
        <w:rPr>
          <w:lang w:val="nl-NL"/>
        </w:rPr>
        <w:t xml:space="preserve">d) Công ty có trách nhiệm chủ động rà soát và đánh giá mức độ rủi ro đối với  vị thế mở của mình và của từng khách hàng, cảnh báo sớm về các rủi ro tiềm ẩn cho khách hàng; thường xuyên cập nhật thông tin về năng lực tài chính và mức độ chấp nhận rủi ro của khách hàng; tư vấn cho khách hàng thực hiện đầu tư phù hợp với phạm vi, lĩnh vực đầu tư, mục tiêu đầu tư, giá trị ký quỹ và mức chấp nhận rủi ro của khách hàng; </w:t>
      </w:r>
    </w:p>
    <w:p w:rsidR="004D671F" w:rsidRPr="006234AA" w:rsidRDefault="00E44A84" w:rsidP="003C0546">
      <w:pPr>
        <w:spacing w:after="120"/>
        <w:rPr>
          <w:lang w:val="nl-NL"/>
        </w:rPr>
      </w:pPr>
      <w:r w:rsidRPr="006234AA">
        <w:rPr>
          <w:lang w:val="nl-NL"/>
        </w:rPr>
        <w:t>6</w:t>
      </w:r>
      <w:r w:rsidR="004D671F" w:rsidRPr="006234AA">
        <w:rPr>
          <w:lang w:val="nl-NL"/>
        </w:rPr>
        <w:t>. Hoạt động kiểm soát nội bộ và quản trị rủi ro của Công ty phải bao hàm các nội dung sau:</w:t>
      </w:r>
    </w:p>
    <w:p w:rsidR="004D671F" w:rsidRPr="006234AA" w:rsidRDefault="004D671F" w:rsidP="00D36937">
      <w:pPr>
        <w:pStyle w:val="ListParagraph"/>
        <w:numPr>
          <w:ilvl w:val="0"/>
          <w:numId w:val="24"/>
        </w:numPr>
        <w:tabs>
          <w:tab w:val="left" w:pos="993"/>
        </w:tabs>
        <w:spacing w:after="120"/>
        <w:ind w:left="0" w:firstLine="720"/>
        <w:rPr>
          <w:lang w:val="sv-SE"/>
        </w:rPr>
      </w:pPr>
      <w:r w:rsidRPr="006234AA">
        <w:t xml:space="preserve">Giám sát bảo đảm </w:t>
      </w:r>
      <w:r w:rsidRPr="006234AA">
        <w:rPr>
          <w:lang w:val="sv-SE"/>
        </w:rPr>
        <w:t>hoạt động của từng vị trí, từng bộ phận và của cả công ty tuân thủ các quy định pháp luật, chính sách, quy trình nghiệp vụ, quy định nội bộ</w:t>
      </w:r>
      <w:r w:rsidRPr="006234AA">
        <w:t xml:space="preserve"> của công ty; giám sát việc thực thi trách nhiệm của mọi nhân viên trong công ty đối với các hoạt động đã được giao, phân cấp, ủy quyền bảo đảm:</w:t>
      </w:r>
    </w:p>
    <w:p w:rsidR="004D671F" w:rsidRPr="006234AA" w:rsidRDefault="004D671F" w:rsidP="003C0546">
      <w:pPr>
        <w:tabs>
          <w:tab w:val="left" w:pos="709"/>
        </w:tabs>
        <w:spacing w:after="120"/>
        <w:rPr>
          <w:lang w:val="sv-SE"/>
        </w:rPr>
      </w:pPr>
      <w:r w:rsidRPr="006234AA">
        <w:rPr>
          <w:lang w:val="nb-NO"/>
        </w:rPr>
        <w:tab/>
        <w:t>- Cơ chế phân cấp, uỷ quyền phải rõ ràng, cụ thể, minh bạch, có sự tách biệt rõ ràng về nhiệm vụ, quyền hạn của các bộ phận trong công ty. Quy trình nghiệp vụ phải bảo đảm tách biệt được giữa các chức năng, nhiệm vụ của từng vị trí, bộ phận trong công ty;</w:t>
      </w:r>
    </w:p>
    <w:p w:rsidR="004D671F" w:rsidRPr="006234AA" w:rsidRDefault="004D671F" w:rsidP="003C0546">
      <w:pPr>
        <w:tabs>
          <w:tab w:val="left" w:pos="709"/>
        </w:tabs>
        <w:spacing w:after="120"/>
        <w:rPr>
          <w:lang w:val="nl-NL"/>
        </w:rPr>
      </w:pPr>
      <w:r w:rsidRPr="006234AA">
        <w:rPr>
          <w:lang w:val="nb-NO"/>
        </w:rPr>
        <w:tab/>
        <w:t>- Một cá nhân không được đảm nhiệm nhiều vị trí mà có thể thực hiện các hoạt động, nghiệp vụ có mục đích, lợi ích mâu thuẫn với nhau hoặc chồng chéo. Nhân sự được bố trí, bảo đảm một người không thể độc lập, tự mình ra quyết định và thực hiện từ hai hoạt động trở lên trong toàn bộ quy trình nghiệp vụ, từ phân tích đầu tư, thẩm định, phê duyệt đầu tư, quyết định đầu tư, thực hiện giao dịch và đầu tư, báo cáo kết quả giao dịch, thực hiện việc quản lý và giám sát đầu tư sau giao dịch, quản lý rủi ro mà không cần tham vấn các bộ phận, cá nhân khác;</w:t>
      </w:r>
      <w:r w:rsidRPr="006234AA">
        <w:rPr>
          <w:lang w:val="nl-NL"/>
        </w:rPr>
        <w:t xml:space="preserve"> hoặc giữa bộ phận tự doanh và bộ phận môi giới, tư vấn đầu tư; hoặc giữa bộ phận tự doanh và bộ phận quản lý rủi ro;</w:t>
      </w:r>
    </w:p>
    <w:p w:rsidR="004D671F" w:rsidRPr="006234AA" w:rsidRDefault="004D671F" w:rsidP="003C0546">
      <w:pPr>
        <w:tabs>
          <w:tab w:val="left" w:pos="709"/>
        </w:tabs>
        <w:spacing w:after="120"/>
        <w:rPr>
          <w:lang w:val="sv-SE"/>
        </w:rPr>
      </w:pPr>
      <w:r w:rsidRPr="006234AA">
        <w:rPr>
          <w:lang w:val="nl-NL"/>
        </w:rPr>
        <w:t>- Mọi thông tin về hoạt động của các bộ phận, các cá nhân trong công ty đều phải được cung cấp đầy đủ, kịp thời, chính xác cho ban điều hành, cán bộ quản lý có thẩm quyền trong công ty.</w:t>
      </w:r>
    </w:p>
    <w:p w:rsidR="004D671F" w:rsidRPr="006234AA" w:rsidRDefault="004D671F" w:rsidP="00D36937">
      <w:pPr>
        <w:pStyle w:val="ListParagraph"/>
        <w:numPr>
          <w:ilvl w:val="0"/>
          <w:numId w:val="24"/>
        </w:numPr>
        <w:tabs>
          <w:tab w:val="left" w:pos="993"/>
        </w:tabs>
        <w:spacing w:after="120"/>
        <w:ind w:left="0" w:firstLine="720"/>
        <w:rPr>
          <w:lang w:val="sv-SE"/>
        </w:rPr>
      </w:pPr>
      <w:r w:rsidRPr="006234AA">
        <w:t>Nhận diện, giám sát và xử lý kịp thời các xung đột lợi ích và các rủi ro tiềm ẩn trong quá trình tác nghiệp của nhân viên và trong nghiệp vụ kinh doanh, nghiệp vụ của công ty;</w:t>
      </w:r>
    </w:p>
    <w:p w:rsidR="004D671F" w:rsidRPr="006234AA" w:rsidRDefault="004D671F" w:rsidP="00D36937">
      <w:pPr>
        <w:pStyle w:val="ListParagraph"/>
        <w:numPr>
          <w:ilvl w:val="0"/>
          <w:numId w:val="24"/>
        </w:numPr>
        <w:tabs>
          <w:tab w:val="left" w:pos="993"/>
        </w:tabs>
        <w:spacing w:after="120"/>
        <w:ind w:left="0" w:firstLine="720"/>
        <w:rPr>
          <w:lang w:val="sv-SE"/>
        </w:rPr>
      </w:pPr>
      <w:r w:rsidRPr="006234AA">
        <w:t xml:space="preserve">Thường xuyên rà soát, điều chỉnh các chính sách, quy chế, quy trình, quy định nội bộ của công ty nhằm ngăn ngừa xung đột lợi ích; giám sát việc thực hiện quy tắc đạo đức nghề nghiệp; tổng hợp, lưu trữ, thống kê và giám sát </w:t>
      </w:r>
      <w:r w:rsidRPr="006234AA">
        <w:lastRenderedPageBreak/>
        <w:t xml:space="preserve">hoạt động kinh doanh của công ty và các giao dịch cá nhân của nhân viên công ty; </w:t>
      </w:r>
    </w:p>
    <w:p w:rsidR="004D671F" w:rsidRPr="006234AA" w:rsidRDefault="004D671F" w:rsidP="003C0546">
      <w:pPr>
        <w:pStyle w:val="BodyTextIndent3"/>
        <w:tabs>
          <w:tab w:val="left" w:pos="720"/>
        </w:tabs>
        <w:rPr>
          <w:rFonts w:ascii="Times New Roman" w:hAnsi="Times New Roman" w:cs="Times New Roman"/>
          <w:i/>
          <w:color w:val="auto"/>
          <w:lang w:val="nb-NO"/>
        </w:rPr>
      </w:pPr>
      <w:r w:rsidRPr="006234AA">
        <w:rPr>
          <w:rFonts w:ascii="Times New Roman" w:hAnsi="Times New Roman" w:cs="Times New Roman"/>
          <w:color w:val="auto"/>
          <w:lang w:val="nb-NO"/>
        </w:rPr>
        <w:tab/>
        <w:t xml:space="preserve">d) Giám sát, bảo đảm hệ thống thông tin tài chính và quản lý trung thực, đầy đủ, kịp thời và chính xác; có hệ thống thông tin dự phòng để kịp thời xử lý những tình huống như thiên tai, cháy, nổ.... bảo đảm duy trì hoạt động liên tục của công ty; </w:t>
      </w:r>
    </w:p>
    <w:p w:rsidR="004D671F" w:rsidRPr="006234AA" w:rsidRDefault="004D671F" w:rsidP="003C0546">
      <w:pPr>
        <w:spacing w:after="120"/>
        <w:rPr>
          <w:lang w:val="nl-NL"/>
        </w:rPr>
      </w:pPr>
      <w:r w:rsidRPr="006234AA">
        <w:rPr>
          <w:lang w:val="nb-NO"/>
        </w:rPr>
        <w:t xml:space="preserve"> đ) </w:t>
      </w:r>
      <w:r w:rsidRPr="006234AA">
        <w:rPr>
          <w:lang w:val="nl-NL"/>
        </w:rPr>
        <w:t xml:space="preserve">Đề xuất phương án giải quyết, xử lý tranh chấp, xung đột lợi ích, khiếu kiện từ khách hàng, đối tác; các phương án dự phòng khắc phục hậu quả khi sự cố xảy ra; bảo vệ quyền và </w:t>
      </w:r>
      <w:r w:rsidR="009B7325" w:rsidRPr="006234AA">
        <w:rPr>
          <w:lang w:val="nl-NL"/>
        </w:rPr>
        <w:t>lợi ích hợp pháp của khách hàng;</w:t>
      </w:r>
    </w:p>
    <w:p w:rsidR="004D671F" w:rsidRPr="006234AA" w:rsidRDefault="004D671F" w:rsidP="003C0546">
      <w:pPr>
        <w:spacing w:after="120"/>
        <w:rPr>
          <w:lang w:val="nl-NL"/>
        </w:rPr>
      </w:pPr>
      <w:r w:rsidRPr="006234AA">
        <w:rPr>
          <w:lang w:val="nl-NL"/>
        </w:rPr>
        <w:t>e) Căn cứ vào quy mô và phạm vi hoạt động; năng lực tài chính; mức độ đa dạng của sản phẩm, dịch vụ cung cấp cho khách hàng; tần suất, quy mô giao dịch của mình và của khách hàng; mức độ rủi ro tiềm ẩn trong mọi bộ phận, hoạt động dịch vụ của công ty; năng lực quản lý và giám sát của đội ngũ cán bộ quản lý của công ty; thành viên giao dịch có trách nhiệm thường xuyên kiểm tra, đánh giá mức độ đầy đủ, hiệu lực, hiệu quả, mức độ tuân thủ các quy định của pháp luật, quy định tại điều lệ công ty để hoàn thiện hệ thống kiểm soát nội bộ; các chính sách, quy trình nội bộ, bao gồm quy tắc về đạo đức nghề nghiệp, quy trình nghiệp vụ, quy trình và hệ thống quản trị rủi ro, hệ thống công nghệ thông tin, kế toán, quy trình và hệ thống báo cáo, công bố thông tin, quy trình tiếp nhận và xử lý tố cáo, khiếu kiện từ khách hàng, và các quy định nội bộ khác.</w:t>
      </w:r>
    </w:p>
    <w:p w:rsidR="00306238" w:rsidRPr="006234AA" w:rsidRDefault="006C7D30" w:rsidP="003C0546">
      <w:pPr>
        <w:pStyle w:val="Heading4"/>
        <w:tabs>
          <w:tab w:val="left" w:pos="0"/>
        </w:tabs>
        <w:spacing w:after="120"/>
        <w:ind w:left="0" w:firstLine="567"/>
      </w:pPr>
      <w:bookmarkStart w:id="103" w:name="_Toc387136350"/>
      <w:bookmarkStart w:id="104" w:name="_Toc397003341"/>
      <w:bookmarkStart w:id="105" w:name="_Toc422671972"/>
      <w:bookmarkStart w:id="106" w:name="_Toc387136351"/>
      <w:r w:rsidRPr="006234AA">
        <w:t>Đ</w:t>
      </w:r>
      <w:r w:rsidR="00306238" w:rsidRPr="006234AA">
        <w:t>ình chỉ</w:t>
      </w:r>
      <w:r w:rsidR="008B0CEE" w:rsidRPr="006234AA">
        <w:t>, chấm dứt</w:t>
      </w:r>
      <w:r w:rsidR="00987521" w:rsidRPr="006234AA">
        <w:t xml:space="preserve"> hoạt động</w:t>
      </w:r>
      <w:r w:rsidR="00306238" w:rsidRPr="006234AA">
        <w:t xml:space="preserve"> kinh doanh</w:t>
      </w:r>
      <w:r w:rsidR="00987521" w:rsidRPr="006234AA">
        <w:t xml:space="preserve">, </w:t>
      </w:r>
      <w:r w:rsidR="00905A47" w:rsidRPr="006234AA">
        <w:t xml:space="preserve">cung cấp dịch vụ bù trừ thanh toán </w:t>
      </w:r>
      <w:r w:rsidR="00306238" w:rsidRPr="006234AA">
        <w:t>chứng khoán phái sinh</w:t>
      </w:r>
      <w:bookmarkEnd w:id="103"/>
      <w:bookmarkEnd w:id="104"/>
      <w:bookmarkEnd w:id="105"/>
    </w:p>
    <w:p w:rsidR="004A34AF" w:rsidRPr="006234AA" w:rsidRDefault="006C7D30" w:rsidP="003C0546">
      <w:pPr>
        <w:spacing w:after="120"/>
        <w:rPr>
          <w:lang w:val="nl-NL"/>
        </w:rPr>
      </w:pPr>
      <w:r w:rsidRPr="006234AA">
        <w:rPr>
          <w:lang w:val="nl-NL"/>
        </w:rPr>
        <w:t>1</w:t>
      </w:r>
      <w:r w:rsidR="0082552A" w:rsidRPr="006234AA">
        <w:rPr>
          <w:lang w:val="nl-NL"/>
        </w:rPr>
        <w:t xml:space="preserve">. </w:t>
      </w:r>
      <w:r w:rsidR="00154A8D" w:rsidRPr="006234AA">
        <w:rPr>
          <w:lang w:val="nl-NL"/>
        </w:rPr>
        <w:t>Ủy ban Chứng khoán Nhà nước quyết định đình chỉ tối đa mười hai (12) tháng một hoặc một số hoạt động kinh doanh</w:t>
      </w:r>
      <w:r w:rsidR="001700A6" w:rsidRPr="006234AA">
        <w:rPr>
          <w:lang w:val="nl-NL"/>
        </w:rPr>
        <w:t>, dịch vụ bù trừ, thanh toán chứng khoán phái sinh</w:t>
      </w:r>
      <w:r w:rsidR="00154A8D" w:rsidRPr="006234AA">
        <w:rPr>
          <w:lang w:val="nl-NL"/>
        </w:rPr>
        <w:t xml:space="preserve"> trong các trường hợp sau:</w:t>
      </w:r>
    </w:p>
    <w:p w:rsidR="00E25826" w:rsidRPr="006234AA" w:rsidRDefault="00E25826" w:rsidP="00D36937">
      <w:pPr>
        <w:numPr>
          <w:ilvl w:val="0"/>
          <w:numId w:val="49"/>
        </w:numPr>
        <w:tabs>
          <w:tab w:val="left" w:pos="993"/>
        </w:tabs>
        <w:spacing w:after="120"/>
        <w:ind w:left="0" w:firstLine="567"/>
        <w:rPr>
          <w:b/>
          <w:bCs/>
          <w:lang w:val="nl-NL"/>
        </w:rPr>
      </w:pPr>
      <w:r w:rsidRPr="006234AA">
        <w:rPr>
          <w:lang w:val="nl-NL"/>
        </w:rPr>
        <w:t>Hồ sơ đề nghị cấp Giấy chứng nhận đủ điều kiện kinh doanh chứng khoán phái sinh có tài liệu giả mạo, hoặc có thông tin sai sự thật;</w:t>
      </w:r>
    </w:p>
    <w:p w:rsidR="00E25826" w:rsidRPr="006234AA" w:rsidRDefault="00E25826" w:rsidP="00D36937">
      <w:pPr>
        <w:numPr>
          <w:ilvl w:val="0"/>
          <w:numId w:val="49"/>
        </w:numPr>
        <w:tabs>
          <w:tab w:val="left" w:pos="993"/>
        </w:tabs>
        <w:spacing w:after="120"/>
        <w:ind w:left="0" w:firstLine="567"/>
        <w:rPr>
          <w:lang w:val="nl-NL"/>
        </w:rPr>
      </w:pPr>
      <w:r w:rsidRPr="006234AA">
        <w:rPr>
          <w:lang w:val="nl-NL"/>
        </w:rPr>
        <w:t>Hoạt động kinh doanh sai mục đích, không đúng với hoạt động kinh doanh đã được cấp Giấy chứng nhận</w:t>
      </w:r>
      <w:r w:rsidR="00E5466E" w:rsidRPr="006234AA">
        <w:rPr>
          <w:lang w:val="nl-NL"/>
        </w:rPr>
        <w:t xml:space="preserve"> đủ điều kiện kinh doanh chứng khoán phái sinh</w:t>
      </w:r>
      <w:r w:rsidRPr="006234AA">
        <w:rPr>
          <w:lang w:val="nl-NL"/>
        </w:rPr>
        <w:t>;</w:t>
      </w:r>
    </w:p>
    <w:p w:rsidR="00E25826" w:rsidRPr="006234AA" w:rsidRDefault="00E25826" w:rsidP="00D36937">
      <w:pPr>
        <w:numPr>
          <w:ilvl w:val="0"/>
          <w:numId w:val="49"/>
        </w:numPr>
        <w:tabs>
          <w:tab w:val="left" w:pos="993"/>
        </w:tabs>
        <w:spacing w:after="120"/>
        <w:ind w:left="0" w:firstLine="567"/>
        <w:rPr>
          <w:lang w:val="nl-NL"/>
        </w:rPr>
      </w:pPr>
      <w:r w:rsidRPr="006234AA">
        <w:rPr>
          <w:lang w:val="nl-NL"/>
        </w:rPr>
        <w:t xml:space="preserve">Không đáp ứng một hoặc một số quy định tại Điểm a, b, c Khoản 1 Điều </w:t>
      </w:r>
      <w:r w:rsidR="00507DF0" w:rsidRPr="006234AA">
        <w:rPr>
          <w:lang w:val="nl-NL"/>
        </w:rPr>
        <w:t>26</w:t>
      </w:r>
      <w:r w:rsidRPr="006234AA">
        <w:rPr>
          <w:lang w:val="nl-NL"/>
        </w:rPr>
        <w:t xml:space="preserve"> </w:t>
      </w:r>
      <w:r w:rsidR="00507DF0" w:rsidRPr="006234AA">
        <w:rPr>
          <w:lang w:val="nl-NL"/>
        </w:rPr>
        <w:t>Thông tư</w:t>
      </w:r>
      <w:r w:rsidRPr="006234AA">
        <w:rPr>
          <w:lang w:val="nl-NL"/>
        </w:rPr>
        <w:t xml:space="preserve"> này trong vòng sáu (06) tháng liên tiếp</w:t>
      </w:r>
      <w:r w:rsidR="001700A6" w:rsidRPr="006234AA">
        <w:rPr>
          <w:lang w:val="nl-NL"/>
        </w:rPr>
        <w:t xml:space="preserve"> (đối với </w:t>
      </w:r>
      <w:r w:rsidR="002A2E4E" w:rsidRPr="006234AA">
        <w:rPr>
          <w:lang w:val="nl-NL"/>
        </w:rPr>
        <w:t>tổ chức</w:t>
      </w:r>
      <w:r w:rsidR="001700A6" w:rsidRPr="006234AA">
        <w:rPr>
          <w:lang w:val="nl-NL"/>
        </w:rPr>
        <w:t xml:space="preserve"> kinh doanh chứng khoán phái sinh)</w:t>
      </w:r>
      <w:r w:rsidRPr="006234AA">
        <w:rPr>
          <w:lang w:val="nl-NL"/>
        </w:rPr>
        <w:t>;</w:t>
      </w:r>
      <w:r w:rsidR="001700A6" w:rsidRPr="006234AA">
        <w:rPr>
          <w:lang w:val="nl-NL"/>
        </w:rPr>
        <w:t xml:space="preserve"> hoặc không đáp ứng một hoặc một số quy định tại </w:t>
      </w:r>
      <w:r w:rsidR="002A2E4E" w:rsidRPr="006234AA">
        <w:rPr>
          <w:lang w:val="nl-NL"/>
        </w:rPr>
        <w:t>Điểm a, b, c Khoản 3 Điều 26 Thông tư này trong vòng sáu (06) tháng liên tiếp (đối với tổ chức bù trừ thanh toán chứng khoán phái sinh);</w:t>
      </w:r>
    </w:p>
    <w:p w:rsidR="000B06C8" w:rsidRPr="006234AA" w:rsidRDefault="00E25826" w:rsidP="00D36937">
      <w:pPr>
        <w:numPr>
          <w:ilvl w:val="0"/>
          <w:numId w:val="49"/>
        </w:numPr>
        <w:tabs>
          <w:tab w:val="left" w:pos="993"/>
        </w:tabs>
        <w:spacing w:after="120"/>
        <w:ind w:left="0" w:firstLine="567"/>
        <w:rPr>
          <w:lang w:val="nl-NL"/>
        </w:rPr>
      </w:pPr>
      <w:r w:rsidRPr="006234AA">
        <w:rPr>
          <w:lang w:val="nl-NL"/>
        </w:rPr>
        <w:t>Bị kiểm soát hoạt động, kiểm soát đặc biệt và các trường hợp bị đình chỉ hoạt động khác theo quy định tại khoản 1 Điều 70 Luật Chứng khoán</w:t>
      </w:r>
      <w:r w:rsidR="002A2E4E" w:rsidRPr="006234AA">
        <w:rPr>
          <w:lang w:val="nl-NL"/>
        </w:rPr>
        <w:t xml:space="preserve"> (đối với tổ chức kinh doanh chứng khoán); hoặc bị kiểm soát đặc biệt, bị đình chỉ hoạt động theo quy định pháp luật về tổ chức tín dụng;</w:t>
      </w:r>
    </w:p>
    <w:p w:rsidR="00335188" w:rsidRPr="006234AA" w:rsidRDefault="00335188" w:rsidP="003C0546">
      <w:pPr>
        <w:tabs>
          <w:tab w:val="left" w:pos="993"/>
        </w:tabs>
        <w:spacing w:after="120"/>
        <w:rPr>
          <w:lang w:val="nl-NL"/>
        </w:rPr>
      </w:pPr>
      <w:r w:rsidRPr="006234AA">
        <w:rPr>
          <w:lang w:val="nl-NL"/>
        </w:rPr>
        <w:lastRenderedPageBreak/>
        <w:t xml:space="preserve">2. Tổ chức kinh doanh </w:t>
      </w:r>
      <w:r w:rsidR="00A93E5A" w:rsidRPr="006234AA">
        <w:rPr>
          <w:lang w:val="nl-NL"/>
        </w:rPr>
        <w:t xml:space="preserve">dịch vụ </w:t>
      </w:r>
      <w:r w:rsidRPr="006234AA">
        <w:rPr>
          <w:lang w:val="nl-NL"/>
        </w:rPr>
        <w:t>chứng khoán</w:t>
      </w:r>
      <w:r w:rsidR="00A93E5A" w:rsidRPr="006234AA">
        <w:rPr>
          <w:lang w:val="nl-NL"/>
        </w:rPr>
        <w:t xml:space="preserve"> phái sinh</w:t>
      </w:r>
      <w:r w:rsidRPr="006234AA">
        <w:rPr>
          <w:lang w:val="nl-NL"/>
        </w:rPr>
        <w:t xml:space="preserve"> chỉ được phục hồi hoạt động chứng khoán phái sinh sau khi đã khắc phục được hết các hành vi dẫn tới bị đình chỉ hoạt động. Trường hợp không khắc phục được sau thời gian bị đình chỉ hoạt động, tổ chức kinh doanh </w:t>
      </w:r>
      <w:r w:rsidR="00A93E5A" w:rsidRPr="006234AA">
        <w:rPr>
          <w:lang w:val="nl-NL"/>
        </w:rPr>
        <w:t xml:space="preserve">dịch vụ </w:t>
      </w:r>
      <w:r w:rsidR="00281E08" w:rsidRPr="006234AA">
        <w:rPr>
          <w:lang w:val="nl-NL"/>
        </w:rPr>
        <w:t>chứng khoán</w:t>
      </w:r>
      <w:r w:rsidR="00A93E5A" w:rsidRPr="006234AA">
        <w:rPr>
          <w:lang w:val="nl-NL"/>
        </w:rPr>
        <w:t xml:space="preserve"> phái sinh</w:t>
      </w:r>
      <w:r w:rsidR="00281E08" w:rsidRPr="006234AA">
        <w:rPr>
          <w:lang w:val="nl-NL"/>
        </w:rPr>
        <w:t xml:space="preserve"> bị buộc phải </w:t>
      </w:r>
      <w:r w:rsidRPr="006234AA">
        <w:rPr>
          <w:lang w:val="nl-NL"/>
        </w:rPr>
        <w:t>chấm dứt hoạt động chứng khoán phái sinh</w:t>
      </w:r>
      <w:r w:rsidR="00281E08" w:rsidRPr="006234AA">
        <w:rPr>
          <w:lang w:val="nl-NL"/>
        </w:rPr>
        <w:t xml:space="preserve"> theo quy định tại Khoản 3 Điều này</w:t>
      </w:r>
      <w:r w:rsidRPr="006234AA">
        <w:rPr>
          <w:lang w:val="nl-NL"/>
        </w:rPr>
        <w:t>.</w:t>
      </w:r>
    </w:p>
    <w:p w:rsidR="00987521" w:rsidRPr="006234AA" w:rsidRDefault="00281E08" w:rsidP="003C0546">
      <w:pPr>
        <w:tabs>
          <w:tab w:val="left" w:pos="993"/>
        </w:tabs>
        <w:spacing w:after="120"/>
        <w:rPr>
          <w:lang w:val="nl-NL"/>
        </w:rPr>
      </w:pPr>
      <w:r w:rsidRPr="006234AA">
        <w:rPr>
          <w:lang w:val="nl-NL"/>
        </w:rPr>
        <w:t>3</w:t>
      </w:r>
      <w:r w:rsidR="003855C6" w:rsidRPr="006234AA">
        <w:rPr>
          <w:lang w:val="nl-NL"/>
        </w:rPr>
        <w:t xml:space="preserve">. </w:t>
      </w:r>
      <w:r w:rsidR="008B0CEE" w:rsidRPr="006234AA">
        <w:rPr>
          <w:lang w:val="nl-NL"/>
        </w:rPr>
        <w:t xml:space="preserve">Tổ chức kinh doanh </w:t>
      </w:r>
      <w:r w:rsidR="00A93E5A" w:rsidRPr="006234AA">
        <w:rPr>
          <w:lang w:val="nl-NL"/>
        </w:rPr>
        <w:t xml:space="preserve">dịch vụ </w:t>
      </w:r>
      <w:r w:rsidR="008B0CEE" w:rsidRPr="006234AA">
        <w:rPr>
          <w:lang w:val="nl-NL"/>
        </w:rPr>
        <w:t>chứng khoán</w:t>
      </w:r>
      <w:r w:rsidR="00A93E5A" w:rsidRPr="006234AA">
        <w:rPr>
          <w:lang w:val="nl-NL"/>
        </w:rPr>
        <w:t xml:space="preserve"> phái sinh</w:t>
      </w:r>
      <w:r w:rsidR="008B0CEE" w:rsidRPr="006234AA">
        <w:rPr>
          <w:lang w:val="nl-NL"/>
        </w:rPr>
        <w:t xml:space="preserve"> chấm dứt hoạt động chứng khoán phái sinh khi bị thu hồi </w:t>
      </w:r>
      <w:r w:rsidR="00987521" w:rsidRPr="006234AA">
        <w:rPr>
          <w:lang w:val="nl-NL"/>
        </w:rPr>
        <w:t>Giấy chứng nhận đủ điều kiện kinh doanh</w:t>
      </w:r>
      <w:r w:rsidR="00905A47" w:rsidRPr="006234AA">
        <w:rPr>
          <w:lang w:val="nl-NL"/>
        </w:rPr>
        <w:t>, đủ điều kiện cung cấp dịch vụ bù trừ thanh toán</w:t>
      </w:r>
      <w:r w:rsidR="00987521" w:rsidRPr="006234AA">
        <w:rPr>
          <w:lang w:val="nl-NL"/>
        </w:rPr>
        <w:t xml:space="preserve"> chứng khoán phái sinh</w:t>
      </w:r>
      <w:r w:rsidR="008B0CEE" w:rsidRPr="006234AA">
        <w:rPr>
          <w:lang w:val="nl-NL"/>
        </w:rPr>
        <w:t>. Việc</w:t>
      </w:r>
      <w:r w:rsidR="00987521" w:rsidRPr="006234AA">
        <w:rPr>
          <w:lang w:val="nl-NL"/>
        </w:rPr>
        <w:t xml:space="preserve"> </w:t>
      </w:r>
      <w:r w:rsidR="002A2E4E" w:rsidRPr="006234AA">
        <w:rPr>
          <w:lang w:val="nl-NL"/>
        </w:rPr>
        <w:t xml:space="preserve">thu hồi </w:t>
      </w:r>
      <w:r w:rsidR="008B0CEE" w:rsidRPr="006234AA">
        <w:rPr>
          <w:lang w:val="nl-NL"/>
        </w:rPr>
        <w:t xml:space="preserve">thực hiện </w:t>
      </w:r>
      <w:r w:rsidR="00987521" w:rsidRPr="006234AA">
        <w:rPr>
          <w:lang w:val="nl-NL"/>
        </w:rPr>
        <w:t>trong các trường hợp sau:</w:t>
      </w:r>
    </w:p>
    <w:p w:rsidR="00987521" w:rsidRPr="006234AA" w:rsidRDefault="00987521" w:rsidP="003C0546">
      <w:pPr>
        <w:tabs>
          <w:tab w:val="left" w:pos="993"/>
          <w:tab w:val="left" w:pos="6859"/>
        </w:tabs>
        <w:spacing w:after="120"/>
        <w:ind w:firstLine="709"/>
        <w:rPr>
          <w:lang w:val="nl-NL"/>
        </w:rPr>
      </w:pPr>
      <w:r w:rsidRPr="006234AA">
        <w:rPr>
          <w:lang w:val="nl-NL"/>
        </w:rPr>
        <w:t xml:space="preserve">a) </w:t>
      </w:r>
      <w:r w:rsidR="00A93E5A" w:rsidRPr="006234AA">
        <w:rPr>
          <w:lang w:val="nl-NL"/>
        </w:rPr>
        <w:t>T</w:t>
      </w:r>
      <w:r w:rsidRPr="006234AA">
        <w:rPr>
          <w:lang w:val="nl-NL"/>
        </w:rPr>
        <w:t>ự nguyện chấm dứt hoạt động;</w:t>
      </w:r>
    </w:p>
    <w:p w:rsidR="00987521" w:rsidRPr="006234AA" w:rsidRDefault="00987521" w:rsidP="003C0546">
      <w:pPr>
        <w:tabs>
          <w:tab w:val="left" w:pos="993"/>
          <w:tab w:val="left" w:pos="6859"/>
        </w:tabs>
        <w:spacing w:after="120"/>
        <w:ind w:firstLine="709"/>
        <w:rPr>
          <w:lang w:val="nl-NL"/>
        </w:rPr>
      </w:pPr>
      <w:r w:rsidRPr="006234AA">
        <w:rPr>
          <w:lang w:val="nl-NL"/>
        </w:rPr>
        <w:t xml:space="preserve">b) </w:t>
      </w:r>
      <w:r w:rsidR="00A93E5A" w:rsidRPr="006234AA">
        <w:rPr>
          <w:lang w:val="nl-NL"/>
        </w:rPr>
        <w:t>B</w:t>
      </w:r>
      <w:r w:rsidRPr="006234AA">
        <w:rPr>
          <w:lang w:val="nl-NL"/>
        </w:rPr>
        <w:t>ị buộc phải chấm dứt hoạt động.</w:t>
      </w:r>
    </w:p>
    <w:p w:rsidR="00E5466E" w:rsidRPr="006234AA" w:rsidRDefault="00281E08" w:rsidP="003C0546">
      <w:pPr>
        <w:spacing w:after="120"/>
        <w:rPr>
          <w:lang w:val="nl-NL"/>
        </w:rPr>
      </w:pPr>
      <w:r w:rsidRPr="006234AA">
        <w:rPr>
          <w:lang w:val="nl-NL"/>
        </w:rPr>
        <w:t>4</w:t>
      </w:r>
      <w:r w:rsidR="00987521" w:rsidRPr="006234AA">
        <w:rPr>
          <w:lang w:val="nl-NL"/>
        </w:rPr>
        <w:t xml:space="preserve">. </w:t>
      </w:r>
      <w:r w:rsidR="00A93E5A" w:rsidRPr="006234AA">
        <w:rPr>
          <w:lang w:val="nl-NL"/>
        </w:rPr>
        <w:t>Trường hợp tự nguyện chấm dứt hoạt động, t</w:t>
      </w:r>
      <w:r w:rsidR="00987521" w:rsidRPr="006234AA">
        <w:rPr>
          <w:lang w:val="nl-NL"/>
        </w:rPr>
        <w:t xml:space="preserve">ổ chức </w:t>
      </w:r>
      <w:r w:rsidR="00A93E5A" w:rsidRPr="006234AA">
        <w:rPr>
          <w:lang w:val="nl-NL"/>
        </w:rPr>
        <w:t xml:space="preserve">kinh doanh dịch vụ chứng khoán </w:t>
      </w:r>
      <w:r w:rsidR="00987521" w:rsidRPr="006234AA">
        <w:rPr>
          <w:lang w:val="nl-NL"/>
        </w:rPr>
        <w:t xml:space="preserve">phái sinh phải nộp hồ sơ </w:t>
      </w:r>
      <w:r w:rsidR="00E5466E" w:rsidRPr="006234AA">
        <w:rPr>
          <w:lang w:val="nl-NL"/>
        </w:rPr>
        <w:t>đề nghị chấm dứt hoạt động chứng khoán phái sinh. Hồ sơ bao gồm các tài liệu sau:</w:t>
      </w:r>
    </w:p>
    <w:p w:rsidR="00E5466E" w:rsidRPr="006234AA" w:rsidRDefault="00E5466E" w:rsidP="003C0546">
      <w:pPr>
        <w:spacing w:after="120"/>
        <w:rPr>
          <w:lang w:val="nl-NL"/>
        </w:rPr>
      </w:pPr>
      <w:r w:rsidRPr="006234AA">
        <w:rPr>
          <w:lang w:val="nl-NL"/>
        </w:rPr>
        <w:t>a)  Giấy đề nghị chấm dứt hoạt động kinh doanh</w:t>
      </w:r>
      <w:r w:rsidR="00DE3C42" w:rsidRPr="006234AA">
        <w:rPr>
          <w:lang w:val="nl-NL"/>
        </w:rPr>
        <w:t>, cung cấp dịch vụ thanh toán, bù trừ</w:t>
      </w:r>
      <w:r w:rsidRPr="006234AA">
        <w:rPr>
          <w:lang w:val="nl-NL"/>
        </w:rPr>
        <w:t xml:space="preserve"> chứng khoán phái sinh theo mẫu quy định tại Phụ lục số 3 ban hành kèm theo Thông tư này;</w:t>
      </w:r>
    </w:p>
    <w:p w:rsidR="00E5466E" w:rsidRPr="006234AA" w:rsidRDefault="00E5466E" w:rsidP="003C0546">
      <w:pPr>
        <w:spacing w:after="120"/>
        <w:rPr>
          <w:lang w:val="nl-NL"/>
        </w:rPr>
      </w:pPr>
      <w:r w:rsidRPr="006234AA">
        <w:rPr>
          <w:lang w:val="nl-NL"/>
        </w:rPr>
        <w:t xml:space="preserve">b)  Biên bản họp, nghị quyết của đại hội đồng cổ đông, hội đồng thành viên hoặc chủ sở hữu về việc chấm dứt hoạt động </w:t>
      </w:r>
      <w:r w:rsidR="008B0CEE" w:rsidRPr="006234AA">
        <w:rPr>
          <w:lang w:val="nl-NL"/>
        </w:rPr>
        <w:t>kinh doanh, cung cấp dịch vụ thanh toán, bù trừ</w:t>
      </w:r>
      <w:r w:rsidRPr="006234AA">
        <w:rPr>
          <w:lang w:val="nl-NL"/>
        </w:rPr>
        <w:t xml:space="preserve"> và thông qua phương án xử lý các vấn đề liên quan;</w:t>
      </w:r>
    </w:p>
    <w:p w:rsidR="00E5466E" w:rsidRPr="006234AA" w:rsidRDefault="00E5466E" w:rsidP="003C0546">
      <w:pPr>
        <w:spacing w:after="120"/>
        <w:rPr>
          <w:lang w:val="nl-NL"/>
        </w:rPr>
      </w:pPr>
      <w:r w:rsidRPr="006234AA">
        <w:rPr>
          <w:lang w:val="nl-NL"/>
        </w:rPr>
        <w:t>c) Phương án xử lý các hợp đồng kinh doanh chứng khoán phái sinh còn hiệu lực</w:t>
      </w:r>
      <w:r w:rsidR="008B0CEE" w:rsidRPr="006234AA">
        <w:rPr>
          <w:lang w:val="nl-NL"/>
        </w:rPr>
        <w:t>, bao gồm cả</w:t>
      </w:r>
      <w:r w:rsidRPr="006234AA">
        <w:rPr>
          <w:lang w:val="nl-NL"/>
        </w:rPr>
        <w:t xml:space="preserve"> phương án xử lý các tài khoản và tài sả</w:t>
      </w:r>
      <w:r w:rsidR="008B0CEE" w:rsidRPr="006234AA">
        <w:rPr>
          <w:lang w:val="nl-NL"/>
        </w:rPr>
        <w:t>n ký quỹ của khách hàng</w:t>
      </w:r>
      <w:r w:rsidRPr="006234AA">
        <w:rPr>
          <w:lang w:val="nl-NL"/>
        </w:rPr>
        <w:t xml:space="preserve">; </w:t>
      </w:r>
    </w:p>
    <w:p w:rsidR="00E5466E" w:rsidRPr="006234AA" w:rsidRDefault="00E5466E" w:rsidP="003C0546">
      <w:pPr>
        <w:spacing w:after="120"/>
        <w:rPr>
          <w:lang w:val="nl-NL"/>
        </w:rPr>
      </w:pPr>
      <w:r w:rsidRPr="006234AA">
        <w:rPr>
          <w:lang w:val="nl-NL"/>
        </w:rPr>
        <w:t xml:space="preserve">d) </w:t>
      </w:r>
      <w:r w:rsidR="003855C6" w:rsidRPr="006234AA">
        <w:rPr>
          <w:lang w:val="nl-NL"/>
        </w:rPr>
        <w:t>Văn bản</w:t>
      </w:r>
      <w:r w:rsidRPr="006234AA">
        <w:rPr>
          <w:lang w:val="nl-NL"/>
        </w:rPr>
        <w:t xml:space="preserve"> chấp thuận nguyên tắc chấm dứt tư cách thành viên giao dịch của Sở giao dịch chứng khoán (trong trường hợp là thành viên giao dịch), kèm theo toàn bộ các tài liệu liên quan theo quy định tại khoản 10 Điều 57 Thông tư này; </w:t>
      </w:r>
      <w:r w:rsidR="003855C6" w:rsidRPr="006234AA">
        <w:rPr>
          <w:lang w:val="nl-NL"/>
        </w:rPr>
        <w:t>văn bản</w:t>
      </w:r>
      <w:r w:rsidRPr="006234AA">
        <w:rPr>
          <w:lang w:val="nl-NL"/>
        </w:rPr>
        <w:t xml:space="preserve"> chấp thuận nguyên tắc chấm dứt tư cách thành viên bù trừ của Trung tâm lưu ký chứng khoán (trong trường hợp là thành viên bù trừ).</w:t>
      </w:r>
    </w:p>
    <w:p w:rsidR="00E5466E" w:rsidRPr="006234AA" w:rsidRDefault="00281E08" w:rsidP="003C0546">
      <w:pPr>
        <w:spacing w:after="120"/>
        <w:rPr>
          <w:lang w:val="nl-NL"/>
        </w:rPr>
      </w:pPr>
      <w:r w:rsidRPr="006234AA">
        <w:rPr>
          <w:lang w:val="nl-NL"/>
        </w:rPr>
        <w:t>5</w:t>
      </w:r>
      <w:r w:rsidR="00E5466E" w:rsidRPr="006234AA">
        <w:rPr>
          <w:lang w:val="nl-NL"/>
        </w:rPr>
        <w:t xml:space="preserve">. Hồ sơ theo quy định tại khoản </w:t>
      </w:r>
      <w:r w:rsidRPr="006234AA">
        <w:rPr>
          <w:lang w:val="nl-NL"/>
        </w:rPr>
        <w:t>4</w:t>
      </w:r>
      <w:r w:rsidR="00E5466E" w:rsidRPr="006234AA">
        <w:rPr>
          <w:lang w:val="nl-NL"/>
        </w:rPr>
        <w:t xml:space="preserve"> Điều này được lập thành một (01) bộ gốc kèm theo tệp thông tin điện tử. Bộ hồ sơ gốc được gửi trực tiếp Ủy ban Chứng khoán Nhà nước hoặc gửi qua đường bưu điện.</w:t>
      </w:r>
    </w:p>
    <w:p w:rsidR="00E5466E" w:rsidRPr="006234AA" w:rsidRDefault="00281E08" w:rsidP="003C0546">
      <w:pPr>
        <w:tabs>
          <w:tab w:val="left" w:pos="993"/>
          <w:tab w:val="left" w:pos="6859"/>
        </w:tabs>
        <w:spacing w:after="120"/>
        <w:rPr>
          <w:lang w:val="nl-NL"/>
        </w:rPr>
      </w:pPr>
      <w:r w:rsidRPr="006234AA">
        <w:rPr>
          <w:lang w:val="nl-NL"/>
        </w:rPr>
        <w:t>6</w:t>
      </w:r>
      <w:r w:rsidR="00E5466E" w:rsidRPr="006234AA">
        <w:rPr>
          <w:lang w:val="nl-NL"/>
        </w:rPr>
        <w:t>. Trong thời hạn mười lăm (15) ngày kể từ ngày nhận được bộ hồ sơ đầy đủ</w:t>
      </w:r>
      <w:r w:rsidR="00747FB0" w:rsidRPr="006234AA">
        <w:rPr>
          <w:lang w:val="nl-NL"/>
        </w:rPr>
        <w:t>,</w:t>
      </w:r>
      <w:r w:rsidR="00E5466E" w:rsidRPr="006234AA">
        <w:rPr>
          <w:lang w:val="nl-NL"/>
        </w:rPr>
        <w:t xml:space="preserve"> hợp lệ, Ủy ban Chứng khoán Nhà nước chấp thuận nguyên tắc về việc chấm dứt hoạt động kinh doanh chứng khoán phái sinh. Trường hợp từ chối, Ủy ban Chứng khoán Nhà nước phải trả lời bằng văn bản và nêu rõ lý do.</w:t>
      </w:r>
    </w:p>
    <w:p w:rsidR="00987521" w:rsidRPr="006234AA" w:rsidRDefault="00281E08" w:rsidP="003C0546">
      <w:pPr>
        <w:tabs>
          <w:tab w:val="left" w:pos="993"/>
          <w:tab w:val="left" w:pos="6859"/>
        </w:tabs>
        <w:spacing w:after="120"/>
        <w:rPr>
          <w:lang w:val="nl-NL"/>
        </w:rPr>
      </w:pPr>
      <w:r w:rsidRPr="006234AA">
        <w:rPr>
          <w:lang w:val="nl-NL"/>
        </w:rPr>
        <w:t>7</w:t>
      </w:r>
      <w:r w:rsidR="00987521" w:rsidRPr="006234AA">
        <w:rPr>
          <w:lang w:val="nl-NL"/>
        </w:rPr>
        <w:t xml:space="preserve">. Tổ chức kinh doanh </w:t>
      </w:r>
      <w:r w:rsidR="00A93E5A" w:rsidRPr="006234AA">
        <w:rPr>
          <w:lang w:val="nl-NL"/>
        </w:rPr>
        <w:t xml:space="preserve">dịch vụ </w:t>
      </w:r>
      <w:r w:rsidR="00987521" w:rsidRPr="006234AA">
        <w:rPr>
          <w:lang w:val="nl-NL"/>
        </w:rPr>
        <w:t>chứng khoán</w:t>
      </w:r>
      <w:r w:rsidR="00A93E5A" w:rsidRPr="006234AA">
        <w:rPr>
          <w:lang w:val="nl-NL"/>
        </w:rPr>
        <w:t xml:space="preserve"> phái sinh</w:t>
      </w:r>
      <w:r w:rsidR="00987521" w:rsidRPr="006234AA">
        <w:rPr>
          <w:lang w:val="nl-NL"/>
        </w:rPr>
        <w:t xml:space="preserve"> bị buộc phải chấm dứt hoạt động chứng khoán phái sinh trong các trường hợp sau:</w:t>
      </w:r>
    </w:p>
    <w:p w:rsidR="00987521" w:rsidRPr="006234AA" w:rsidRDefault="00987521" w:rsidP="003C0546">
      <w:pPr>
        <w:tabs>
          <w:tab w:val="left" w:pos="993"/>
        </w:tabs>
        <w:spacing w:after="120"/>
        <w:rPr>
          <w:lang w:val="nl-NL"/>
        </w:rPr>
      </w:pPr>
      <w:r w:rsidRPr="006234AA">
        <w:rPr>
          <w:lang w:val="nl-NL"/>
        </w:rPr>
        <w:lastRenderedPageBreak/>
        <w:t xml:space="preserve">a) Sau thời hạn đình chỉ </w:t>
      </w:r>
      <w:r w:rsidR="008B0CEE" w:rsidRPr="006234AA">
        <w:rPr>
          <w:lang w:val="nl-NL"/>
        </w:rPr>
        <w:t>quy định tại khoản 1 Điều này</w:t>
      </w:r>
      <w:r w:rsidRPr="006234AA">
        <w:rPr>
          <w:lang w:val="nl-NL"/>
        </w:rPr>
        <w:t xml:space="preserve"> vẫn không khắc phục được các vi phạm dẫn tới bị đình chỉ hoạt động;</w:t>
      </w:r>
    </w:p>
    <w:p w:rsidR="00987521" w:rsidRPr="006234AA" w:rsidRDefault="00987521" w:rsidP="003C0546">
      <w:pPr>
        <w:spacing w:after="120"/>
        <w:rPr>
          <w:lang w:val="nl-NL"/>
        </w:rPr>
      </w:pPr>
      <w:r w:rsidRPr="006234AA">
        <w:rPr>
          <w:lang w:val="nl-NL"/>
        </w:rPr>
        <w:t>b) Giải thể, phá sản, tạm ngừng hoạt động hoặc bị thu hồi giấy phép thành lập và hoạt động</w:t>
      </w:r>
      <w:r w:rsidR="002352B6" w:rsidRPr="006234AA">
        <w:rPr>
          <w:lang w:val="nl-NL"/>
        </w:rPr>
        <w:t>, giấy chứng nhận đăng ký doanh nghiệp</w:t>
      </w:r>
      <w:r w:rsidRPr="006234AA">
        <w:rPr>
          <w:lang w:val="nl-NL"/>
        </w:rPr>
        <w:t xml:space="preserve">; bị chia, tách mà tổ chức hình thành sau khi chia, tách không đáp ứng điều kiện kinh doanh quy định tại </w:t>
      </w:r>
      <w:r w:rsidR="008B0CEE" w:rsidRPr="006234AA">
        <w:rPr>
          <w:lang w:val="nl-NL"/>
        </w:rPr>
        <w:t xml:space="preserve">Điểm a, b, c </w:t>
      </w:r>
      <w:r w:rsidRPr="006234AA">
        <w:rPr>
          <w:lang w:val="nl-NL"/>
        </w:rPr>
        <w:t>Khoản 1</w:t>
      </w:r>
      <w:r w:rsidR="008B0CEE" w:rsidRPr="006234AA">
        <w:rPr>
          <w:lang w:val="nl-NL"/>
        </w:rPr>
        <w:t xml:space="preserve"> hoặc Điểm a, b, c Khoản 3</w:t>
      </w:r>
      <w:r w:rsidRPr="006234AA">
        <w:rPr>
          <w:lang w:val="nl-NL"/>
        </w:rPr>
        <w:t xml:space="preserve"> Điều </w:t>
      </w:r>
      <w:r w:rsidR="008B0CEE" w:rsidRPr="006234AA">
        <w:rPr>
          <w:lang w:val="nl-NL"/>
        </w:rPr>
        <w:t>26</w:t>
      </w:r>
      <w:r w:rsidRPr="006234AA">
        <w:rPr>
          <w:lang w:val="nl-NL"/>
        </w:rPr>
        <w:t xml:space="preserve"> </w:t>
      </w:r>
      <w:r w:rsidR="008B0CEE" w:rsidRPr="006234AA">
        <w:rPr>
          <w:lang w:val="nl-NL"/>
        </w:rPr>
        <w:t>Thông tư</w:t>
      </w:r>
      <w:r w:rsidRPr="006234AA">
        <w:rPr>
          <w:lang w:val="nl-NL"/>
        </w:rPr>
        <w:t xml:space="preserve"> này.</w:t>
      </w:r>
    </w:p>
    <w:p w:rsidR="003561C3" w:rsidRPr="006234AA" w:rsidRDefault="003561C3" w:rsidP="003C0546">
      <w:pPr>
        <w:tabs>
          <w:tab w:val="left" w:pos="993"/>
        </w:tabs>
        <w:spacing w:after="120"/>
        <w:rPr>
          <w:lang w:val="nl-NL"/>
        </w:rPr>
      </w:pPr>
      <w:r w:rsidRPr="006234AA">
        <w:rPr>
          <w:lang w:val="nl-NL"/>
        </w:rPr>
        <w:t>8. Trong vòng ba mươi (30) ngày, kể từ ngày tổ chức kinh doanh dịch vụ chứng khoán phái sinh bị buộc phải chấm dứt hoạt động kinh doanh dịch vụ chứng khoán phái sinh theo quy định tại khoản 7 Điều này, Ủy ban Chứng khoán Nhà nước có văn bản yêu cầu tổ chức kinh doanh dịch vụ chứng khoán tiến hành thủ tục chấm dứt các hoạt động kinh doanh dịch vụ chứng khoán phái sinh.</w:t>
      </w:r>
    </w:p>
    <w:p w:rsidR="00182CF4" w:rsidRPr="006234AA" w:rsidRDefault="003561C3" w:rsidP="003C0546">
      <w:pPr>
        <w:tabs>
          <w:tab w:val="left" w:pos="993"/>
        </w:tabs>
        <w:spacing w:after="120"/>
        <w:rPr>
          <w:lang w:val="nl-NL"/>
        </w:rPr>
      </w:pPr>
      <w:r w:rsidRPr="006234AA">
        <w:rPr>
          <w:lang w:val="nl-NL"/>
        </w:rPr>
        <w:t>9</w:t>
      </w:r>
      <w:r w:rsidR="00E5466E" w:rsidRPr="006234AA">
        <w:rPr>
          <w:lang w:val="nl-NL"/>
        </w:rPr>
        <w:t xml:space="preserve">. </w:t>
      </w:r>
      <w:r w:rsidR="00182CF4" w:rsidRPr="006234AA">
        <w:rPr>
          <w:lang w:val="nl-NL"/>
        </w:rPr>
        <w:t>K</w:t>
      </w:r>
      <w:r w:rsidR="00E5466E" w:rsidRPr="006234AA">
        <w:rPr>
          <w:lang w:val="nl-NL"/>
        </w:rPr>
        <w:t>ể từ khi nhận được quyết định đình chỉ hoạt động, chấp thuận cho phép chấm dứt hoạt động, yêu cầu chấm dứt hoạt động</w:t>
      </w:r>
      <w:r w:rsidR="00182CF4" w:rsidRPr="006234AA">
        <w:rPr>
          <w:lang w:val="nl-NL"/>
        </w:rPr>
        <w:t xml:space="preserve"> của Ủy ban Chứng khoán Nhà nước:</w:t>
      </w:r>
      <w:r w:rsidR="00E5466E" w:rsidRPr="006234AA">
        <w:rPr>
          <w:lang w:val="nl-NL"/>
        </w:rPr>
        <w:t xml:space="preserve"> </w:t>
      </w:r>
    </w:p>
    <w:p w:rsidR="00182CF4" w:rsidRPr="006234AA" w:rsidRDefault="00182CF4" w:rsidP="003C0546">
      <w:pPr>
        <w:tabs>
          <w:tab w:val="left" w:pos="993"/>
        </w:tabs>
        <w:spacing w:after="120"/>
        <w:rPr>
          <w:lang w:val="nl-NL"/>
        </w:rPr>
      </w:pPr>
      <w:r w:rsidRPr="006234AA">
        <w:rPr>
          <w:lang w:val="nl-NL"/>
        </w:rPr>
        <w:t xml:space="preserve">a) Trong vòng </w:t>
      </w:r>
      <w:r w:rsidR="001F67ED" w:rsidRPr="006234AA">
        <w:rPr>
          <w:lang w:val="nl-NL"/>
        </w:rPr>
        <w:t>24 giờ</w:t>
      </w:r>
      <w:r w:rsidRPr="006234AA">
        <w:rPr>
          <w:lang w:val="nl-NL"/>
        </w:rPr>
        <w:t xml:space="preserve">, </w:t>
      </w:r>
      <w:r w:rsidR="00E5466E" w:rsidRPr="006234AA">
        <w:rPr>
          <w:lang w:val="nl-NL"/>
        </w:rPr>
        <w:t xml:space="preserve">tổ chức kinh doanh </w:t>
      </w:r>
      <w:r w:rsidR="00A93E5A" w:rsidRPr="006234AA">
        <w:rPr>
          <w:lang w:val="nl-NL"/>
        </w:rPr>
        <w:t xml:space="preserve">dịch vụ </w:t>
      </w:r>
      <w:r w:rsidR="00E5466E" w:rsidRPr="006234AA">
        <w:rPr>
          <w:lang w:val="nl-NL"/>
        </w:rPr>
        <w:t>chứng khoán</w:t>
      </w:r>
      <w:r w:rsidR="00A93E5A" w:rsidRPr="006234AA">
        <w:rPr>
          <w:lang w:val="nl-NL"/>
        </w:rPr>
        <w:t xml:space="preserve"> phái sinh</w:t>
      </w:r>
      <w:r w:rsidR="00E5466E" w:rsidRPr="006234AA">
        <w:rPr>
          <w:lang w:val="nl-NL"/>
        </w:rPr>
        <w:t xml:space="preserve"> có trách nhiệm</w:t>
      </w:r>
      <w:r w:rsidRPr="006234AA">
        <w:rPr>
          <w:lang w:val="nl-NL"/>
        </w:rPr>
        <w:t xml:space="preserve"> </w:t>
      </w:r>
      <w:r w:rsidR="00E5466E" w:rsidRPr="006234AA">
        <w:rPr>
          <w:lang w:val="nl-NL"/>
        </w:rPr>
        <w:t>công bố thông tin về việc đình chỉ, chấm dứt hoạt động chứng khoán phái sinh</w:t>
      </w:r>
      <w:r w:rsidR="001F67ED" w:rsidRPr="006234AA">
        <w:rPr>
          <w:lang w:val="nl-NL"/>
        </w:rPr>
        <w:t xml:space="preserve"> theo quy định của pháp luật chứng khoán về công bố thông tin</w:t>
      </w:r>
      <w:r w:rsidRPr="006234AA">
        <w:rPr>
          <w:lang w:val="nl-NL"/>
        </w:rPr>
        <w:t>;</w:t>
      </w:r>
      <w:r w:rsidR="00E5466E" w:rsidRPr="006234AA">
        <w:rPr>
          <w:lang w:val="nl-NL"/>
        </w:rPr>
        <w:t xml:space="preserve"> </w:t>
      </w:r>
    </w:p>
    <w:p w:rsidR="00182CF4" w:rsidRPr="006234AA" w:rsidRDefault="00182CF4" w:rsidP="003C0546">
      <w:pPr>
        <w:tabs>
          <w:tab w:val="left" w:pos="993"/>
        </w:tabs>
        <w:spacing w:after="120"/>
        <w:rPr>
          <w:lang w:val="nl-NL"/>
        </w:rPr>
      </w:pPr>
      <w:r w:rsidRPr="006234AA">
        <w:rPr>
          <w:lang w:val="nl-NL"/>
        </w:rPr>
        <w:t>Ủy ban Chứng khoán Nhà nước có trách nhiệm công bố thông tin việc đình chỉ, yêu cầu chấm dứt hoạt động kinh doanh dịch vụ chứng khoán phái sinh của tổ chức kinh doanh dịch vụ chứng khoán phái sinh trên trang thông tin điện tử của Ủy ban Chứng khoán Nhà nước.</w:t>
      </w:r>
    </w:p>
    <w:p w:rsidR="00182CF4" w:rsidRPr="006234AA" w:rsidRDefault="00182CF4" w:rsidP="003C0546">
      <w:pPr>
        <w:spacing w:after="120"/>
        <w:rPr>
          <w:lang w:val="nl-NL"/>
        </w:rPr>
      </w:pPr>
      <w:r w:rsidRPr="006234AA">
        <w:rPr>
          <w:lang w:val="nl-NL"/>
        </w:rPr>
        <w:t xml:space="preserve">b) Trong vòng mười (10) ngày, tổ chức kinh doanh dịch vụ chứng khoán phái sinh gửi Ủy ban Chứng khoán Nhà nước và công bố phương án xử lý các hợp đồng kinh doanh dịch vụ chứng khoán phái sinh; phương án xử lý các vị thế mở của mình và của khách hàng. Phương án bao gồm các nội dung cơ bản sau: </w:t>
      </w:r>
    </w:p>
    <w:p w:rsidR="00182CF4" w:rsidRPr="006234AA" w:rsidRDefault="00182CF4" w:rsidP="003C0546">
      <w:pPr>
        <w:spacing w:after="120"/>
        <w:rPr>
          <w:lang w:val="nl-NL"/>
        </w:rPr>
      </w:pPr>
      <w:r w:rsidRPr="006234AA">
        <w:rPr>
          <w:lang w:val="nl-NL"/>
        </w:rPr>
        <w:t xml:space="preserve">- Thời điểm dự kiến đình chỉ, chấm dứt hoạt động, thời hạn đình chỉ, chấm dứt hoạt động; địa điểm, thời hạn, phương thức xử lý các vấn đề liên quan, người chịu trách nhiệm tiếp nhận, giải đáp, hướng dẫn xử lý các hợp đồng </w:t>
      </w:r>
      <w:r w:rsidR="00533893" w:rsidRPr="006234AA">
        <w:rPr>
          <w:lang w:val="nl-NL"/>
        </w:rPr>
        <w:t>còn hiệu lực</w:t>
      </w:r>
      <w:r w:rsidRPr="006234AA">
        <w:rPr>
          <w:lang w:val="nl-NL"/>
        </w:rPr>
        <w:t xml:space="preserve">; </w:t>
      </w:r>
    </w:p>
    <w:p w:rsidR="00182CF4" w:rsidRPr="006234AA" w:rsidRDefault="00182CF4" w:rsidP="003C0546">
      <w:pPr>
        <w:spacing w:after="120"/>
        <w:rPr>
          <w:lang w:val="nl-NL"/>
        </w:rPr>
      </w:pPr>
      <w:r w:rsidRPr="006234AA">
        <w:rPr>
          <w:lang w:val="nl-NL"/>
        </w:rPr>
        <w:t xml:space="preserve">- Thời điểm dự kiến chấm dứt tư cách thành viên giao dịch của Sở giao dịch chứng khoán, chấm dứt tư cách thành viên bù trừ của Trung tâm Lưu ký Chứng khoán phái sinh (nếu có); </w:t>
      </w:r>
    </w:p>
    <w:p w:rsidR="00182CF4" w:rsidRPr="006234AA" w:rsidRDefault="00182CF4" w:rsidP="003C0546">
      <w:pPr>
        <w:spacing w:after="120"/>
        <w:rPr>
          <w:lang w:val="nl-NL"/>
        </w:rPr>
      </w:pPr>
      <w:r w:rsidRPr="006234AA">
        <w:rPr>
          <w:lang w:val="nl-NL"/>
        </w:rPr>
        <w:t xml:space="preserve">-  Thời điểm ngừng giao dịch </w:t>
      </w:r>
      <w:r w:rsidR="008A1853" w:rsidRPr="006234AA">
        <w:rPr>
          <w:lang w:val="nl-NL"/>
        </w:rPr>
        <w:t>để</w:t>
      </w:r>
      <w:r w:rsidRPr="006234AA">
        <w:rPr>
          <w:lang w:val="nl-NL"/>
        </w:rPr>
        <w:t xml:space="preserve"> chốt số dư tài khoản của khách hàng; thời hạn tất toán hoặc chuyển tài khoản, tài sản ký quỹ của khách hàng cho thành viên thay thế theo yêu cầu của khách hàng; </w:t>
      </w:r>
    </w:p>
    <w:p w:rsidR="00182CF4" w:rsidRPr="006234AA" w:rsidRDefault="00182CF4" w:rsidP="003C0546">
      <w:pPr>
        <w:spacing w:after="120"/>
        <w:rPr>
          <w:lang w:val="nl-NL"/>
        </w:rPr>
      </w:pPr>
      <w:r w:rsidRPr="006234AA">
        <w:rPr>
          <w:lang w:val="nl-NL"/>
        </w:rPr>
        <w:t xml:space="preserve">- Phương án xử lý đối với tài khoản tồn, tài khoản có tranh chấp. </w:t>
      </w:r>
    </w:p>
    <w:p w:rsidR="00182CF4" w:rsidRPr="006234AA" w:rsidRDefault="00533893" w:rsidP="003C0546">
      <w:pPr>
        <w:tabs>
          <w:tab w:val="left" w:pos="993"/>
        </w:tabs>
        <w:spacing w:after="120"/>
        <w:rPr>
          <w:lang w:val="nl-NL"/>
        </w:rPr>
      </w:pPr>
      <w:r w:rsidRPr="006234AA">
        <w:rPr>
          <w:lang w:val="nl-NL"/>
        </w:rPr>
        <w:t xml:space="preserve">Trong trường hợp tự nguyện chấm dứt hoạt động môi giới chứng khoán phái sinh, chấm dứt cung cấp dịch vụ bù trừ thanh toán, thời gian thực hiện các </w:t>
      </w:r>
      <w:r w:rsidRPr="006234AA">
        <w:rPr>
          <w:lang w:val="nl-NL"/>
        </w:rPr>
        <w:lastRenderedPageBreak/>
        <w:t>thủ tục chấm dứt hoạt động quy định tại khoản này không được ít hơn bốn mươi lăm (45) ngày</w:t>
      </w:r>
      <w:r w:rsidR="00182CF4" w:rsidRPr="006234AA">
        <w:rPr>
          <w:lang w:val="nl-NL"/>
        </w:rPr>
        <w:t xml:space="preserve"> và không vượt quá </w:t>
      </w:r>
      <w:r w:rsidRPr="006234AA">
        <w:rPr>
          <w:lang w:val="nl-NL"/>
        </w:rPr>
        <w:t>sáu mươi (</w:t>
      </w:r>
      <w:r w:rsidR="00182CF4" w:rsidRPr="006234AA">
        <w:rPr>
          <w:lang w:val="nl-NL"/>
        </w:rPr>
        <w:t>60</w:t>
      </w:r>
      <w:r w:rsidRPr="006234AA">
        <w:rPr>
          <w:lang w:val="nl-NL"/>
        </w:rPr>
        <w:t>)</w:t>
      </w:r>
      <w:r w:rsidR="00182CF4" w:rsidRPr="006234AA">
        <w:rPr>
          <w:lang w:val="nl-NL"/>
        </w:rPr>
        <w:t xml:space="preserve"> ngày, kể từ ngày </w:t>
      </w:r>
      <w:r w:rsidRPr="006234AA">
        <w:rPr>
          <w:lang w:val="nl-NL"/>
        </w:rPr>
        <w:t>thời điểm công bố thông tin</w:t>
      </w:r>
      <w:r w:rsidR="00182CF4" w:rsidRPr="006234AA">
        <w:rPr>
          <w:lang w:val="nl-NL"/>
        </w:rPr>
        <w:t xml:space="preserve"> quy định tại </w:t>
      </w:r>
      <w:r w:rsidRPr="006234AA">
        <w:rPr>
          <w:lang w:val="nl-NL"/>
        </w:rPr>
        <w:t xml:space="preserve">điểm a </w:t>
      </w:r>
      <w:r w:rsidR="00182CF4" w:rsidRPr="006234AA">
        <w:rPr>
          <w:lang w:val="nl-NL"/>
        </w:rPr>
        <w:t>khoản này.</w:t>
      </w:r>
    </w:p>
    <w:p w:rsidR="00E5466E" w:rsidRPr="006234AA" w:rsidRDefault="003561C3" w:rsidP="003C0546">
      <w:pPr>
        <w:tabs>
          <w:tab w:val="left" w:pos="993"/>
        </w:tabs>
        <w:spacing w:after="120"/>
        <w:rPr>
          <w:lang w:val="nl-NL"/>
        </w:rPr>
      </w:pPr>
      <w:r w:rsidRPr="006234AA">
        <w:rPr>
          <w:lang w:val="nl-NL"/>
        </w:rPr>
        <w:t>10</w:t>
      </w:r>
      <w:r w:rsidR="00027F63" w:rsidRPr="006234AA">
        <w:rPr>
          <w:lang w:val="nl-NL"/>
        </w:rPr>
        <w:t xml:space="preserve">. </w:t>
      </w:r>
      <w:r w:rsidR="00E5466E" w:rsidRPr="006234AA">
        <w:rPr>
          <w:lang w:val="nl-NL"/>
        </w:rPr>
        <w:t xml:space="preserve">Trong thời gian bị đình chỉ hoạt động, </w:t>
      </w:r>
      <w:r w:rsidR="00027F63" w:rsidRPr="006234AA">
        <w:rPr>
          <w:lang w:val="nl-NL"/>
        </w:rPr>
        <w:t xml:space="preserve">thực hiện các thủ tục chấm dứt </w:t>
      </w:r>
      <w:r w:rsidR="00E5466E" w:rsidRPr="006234AA">
        <w:rPr>
          <w:lang w:val="nl-NL"/>
        </w:rPr>
        <w:t>hoạt động, tổ chức kinh doanh chứng khoán</w:t>
      </w:r>
      <w:r w:rsidR="00027F63" w:rsidRPr="006234AA">
        <w:rPr>
          <w:lang w:val="nl-NL"/>
        </w:rPr>
        <w:t>, ngân hàng thương mại, chi nhánh ngân hàng nước ngoài</w:t>
      </w:r>
      <w:r w:rsidR="00E5466E" w:rsidRPr="006234AA">
        <w:rPr>
          <w:lang w:val="nl-NL"/>
        </w:rPr>
        <w:t xml:space="preserve"> có trách nhiệm:</w:t>
      </w:r>
    </w:p>
    <w:p w:rsidR="00533893" w:rsidRPr="006234AA" w:rsidRDefault="00E5466E" w:rsidP="003C0546">
      <w:pPr>
        <w:tabs>
          <w:tab w:val="left" w:pos="993"/>
        </w:tabs>
        <w:spacing w:after="120"/>
        <w:rPr>
          <w:lang w:val="nl-NL"/>
        </w:rPr>
      </w:pPr>
      <w:r w:rsidRPr="006234AA">
        <w:rPr>
          <w:lang w:val="nl-NL"/>
        </w:rPr>
        <w:t xml:space="preserve">a) Định kỳ hoặc theo yêu cầu của Ủy ban Chứng khoán Nhà nước báo cáo, công bố thông tin về tình trạng </w:t>
      </w:r>
      <w:r w:rsidR="00D53C19" w:rsidRPr="006234AA">
        <w:rPr>
          <w:lang w:val="nl-NL"/>
        </w:rPr>
        <w:t xml:space="preserve">của mình và các </w:t>
      </w:r>
      <w:r w:rsidRPr="006234AA">
        <w:rPr>
          <w:lang w:val="nl-NL"/>
        </w:rPr>
        <w:t>hoạt động</w:t>
      </w:r>
      <w:r w:rsidR="00D53C19" w:rsidRPr="006234AA">
        <w:rPr>
          <w:lang w:val="nl-NL"/>
        </w:rPr>
        <w:t xml:space="preserve"> có liên quan</w:t>
      </w:r>
      <w:r w:rsidRPr="006234AA">
        <w:rPr>
          <w:lang w:val="nl-NL"/>
        </w:rPr>
        <w:t xml:space="preserve">; </w:t>
      </w:r>
    </w:p>
    <w:p w:rsidR="00E412AC" w:rsidRPr="006234AA" w:rsidRDefault="00533893" w:rsidP="003C0546">
      <w:pPr>
        <w:tabs>
          <w:tab w:val="left" w:pos="993"/>
        </w:tabs>
        <w:spacing w:after="120"/>
        <w:rPr>
          <w:lang w:val="nl-NL"/>
        </w:rPr>
      </w:pPr>
      <w:r w:rsidRPr="006234AA">
        <w:rPr>
          <w:lang w:val="nl-NL"/>
        </w:rPr>
        <w:t xml:space="preserve">b) </w:t>
      </w:r>
      <w:r w:rsidR="008A1853" w:rsidRPr="006234AA">
        <w:rPr>
          <w:lang w:val="nl-NL"/>
        </w:rPr>
        <w:t>D</w:t>
      </w:r>
      <w:r w:rsidR="00E412AC" w:rsidRPr="006234AA">
        <w:rPr>
          <w:lang w:val="nl-NL"/>
        </w:rPr>
        <w:t xml:space="preserve">ừng </w:t>
      </w:r>
      <w:r w:rsidR="008A1853" w:rsidRPr="006234AA">
        <w:rPr>
          <w:lang w:val="nl-NL"/>
        </w:rPr>
        <w:t xml:space="preserve">hoạt động </w:t>
      </w:r>
      <w:r w:rsidR="00E412AC" w:rsidRPr="006234AA">
        <w:rPr>
          <w:lang w:val="nl-NL"/>
        </w:rPr>
        <w:t>tự doanh</w:t>
      </w:r>
      <w:r w:rsidR="007A4809" w:rsidRPr="006234AA">
        <w:rPr>
          <w:lang w:val="nl-NL"/>
        </w:rPr>
        <w:t>, mở mới</w:t>
      </w:r>
      <w:r w:rsidR="00E412AC" w:rsidRPr="006234AA">
        <w:rPr>
          <w:lang w:val="nl-NL"/>
        </w:rPr>
        <w:t xml:space="preserve"> vị thế tự doanh, trừ trường hợp </w:t>
      </w:r>
      <w:r w:rsidR="007A4809" w:rsidRPr="006234AA">
        <w:rPr>
          <w:lang w:val="nl-NL"/>
        </w:rPr>
        <w:t>giao dịch để</w:t>
      </w:r>
      <w:r w:rsidR="00E412AC" w:rsidRPr="006234AA">
        <w:rPr>
          <w:lang w:val="nl-NL"/>
        </w:rPr>
        <w:t xml:space="preserve"> đóng vị thế; </w:t>
      </w:r>
      <w:r w:rsidR="007A4809" w:rsidRPr="006234AA">
        <w:rPr>
          <w:lang w:val="nl-NL"/>
        </w:rPr>
        <w:t>dừng</w:t>
      </w:r>
      <w:r w:rsidR="00E412AC" w:rsidRPr="006234AA">
        <w:rPr>
          <w:lang w:val="nl-NL"/>
        </w:rPr>
        <w:t xml:space="preserve"> thực hiện các giao dịch tạo lập thị trường;</w:t>
      </w:r>
    </w:p>
    <w:p w:rsidR="00533893" w:rsidRPr="006234AA" w:rsidRDefault="00E412AC" w:rsidP="003C0546">
      <w:pPr>
        <w:tabs>
          <w:tab w:val="left" w:pos="993"/>
        </w:tabs>
        <w:spacing w:after="120"/>
        <w:rPr>
          <w:lang w:val="nl-NL"/>
        </w:rPr>
      </w:pPr>
      <w:r w:rsidRPr="006234AA">
        <w:rPr>
          <w:lang w:val="nl-NL"/>
        </w:rPr>
        <w:t xml:space="preserve">c) </w:t>
      </w:r>
      <w:r w:rsidR="00533893" w:rsidRPr="006234AA">
        <w:rPr>
          <w:lang w:val="nl-NL"/>
        </w:rPr>
        <w:t>K</w:t>
      </w:r>
      <w:r w:rsidR="00BE6CB3" w:rsidRPr="006234AA">
        <w:rPr>
          <w:lang w:val="nl-NL"/>
        </w:rPr>
        <w:t>hông được ký mới các hợp đồng kinh doanh dịch vụ chứng khoán phái sinh</w:t>
      </w:r>
      <w:r w:rsidR="00533893" w:rsidRPr="006234AA">
        <w:rPr>
          <w:lang w:val="nl-NL"/>
        </w:rPr>
        <w:t>.</w:t>
      </w:r>
      <w:r w:rsidR="002352B6" w:rsidRPr="006234AA">
        <w:rPr>
          <w:lang w:val="nl-NL"/>
        </w:rPr>
        <w:t xml:space="preserve"> </w:t>
      </w:r>
      <w:r w:rsidRPr="006234AA">
        <w:rPr>
          <w:lang w:val="nl-NL"/>
        </w:rPr>
        <w:t xml:space="preserve"> </w:t>
      </w:r>
      <w:r w:rsidR="00533893" w:rsidRPr="006234AA">
        <w:rPr>
          <w:lang w:val="nl-NL"/>
        </w:rPr>
        <w:t>Đ</w:t>
      </w:r>
      <w:r w:rsidR="002352B6" w:rsidRPr="006234AA">
        <w:rPr>
          <w:lang w:val="nl-NL"/>
        </w:rPr>
        <w:t>ối với các hợp đồng kinh doanh dịch vụ chứng khoán phái sinh còn hiệu lực</w:t>
      </w:r>
      <w:r w:rsidR="00533893" w:rsidRPr="006234AA">
        <w:rPr>
          <w:lang w:val="nl-NL"/>
        </w:rPr>
        <w:t>:</w:t>
      </w:r>
    </w:p>
    <w:p w:rsidR="00533893" w:rsidRPr="006234AA" w:rsidRDefault="00533893" w:rsidP="003C0546">
      <w:pPr>
        <w:spacing w:after="120"/>
        <w:rPr>
          <w:lang w:val="nl-NL"/>
        </w:rPr>
      </w:pPr>
      <w:r w:rsidRPr="006234AA">
        <w:rPr>
          <w:lang w:val="nl-NL"/>
        </w:rPr>
        <w:t xml:space="preserve">- Ngừng tiếp nhận, thực hiện lệnh giao dịch của khách hàng, trừ trường hợp nhằm mục đích đóng vị thế, </w:t>
      </w:r>
      <w:r w:rsidR="00E412AC" w:rsidRPr="006234AA">
        <w:rPr>
          <w:lang w:val="nl-NL"/>
        </w:rPr>
        <w:t>thanh lý vị thế của khách hàng; n</w:t>
      </w:r>
      <w:r w:rsidRPr="006234AA">
        <w:rPr>
          <w:lang w:val="nl-NL"/>
        </w:rPr>
        <w:t>gừng tiếp nhận tài sản ký quỹ của khách hàng, trừ trường hợp bổ sung ký quỹ nhằm bảo đảm thực hiện các vị thế mở còn hiệu lực của khách hàng;</w:t>
      </w:r>
    </w:p>
    <w:p w:rsidR="00E412AC" w:rsidRPr="006234AA" w:rsidRDefault="00E412AC" w:rsidP="003C0546">
      <w:pPr>
        <w:spacing w:after="120"/>
        <w:rPr>
          <w:lang w:val="nl-NL"/>
        </w:rPr>
      </w:pPr>
      <w:r w:rsidRPr="006234AA">
        <w:rPr>
          <w:lang w:val="nl-NL"/>
        </w:rPr>
        <w:t xml:space="preserve">- Chốt số dư tài khoản giao dịch, tài khoản ký quỹ; thực hiện tất toán tài khoản giao dịch, tài khoản ký quỹ; thực hiện giao dịch đóng vị thế và hoàn trả tài sản ký quỹ cho khách hàng theo yêu cầu của khách hàng, bảo đảm ưu tiên thực hiện lệnh giao dịch của khách hàng trước lệnh tự doanh; thỏa thuận, bàn giao quyền, trách nhiệm, nghĩa vụ, chuyển tài khoản, tài sản ký quỹ cho thành viên thay thế theo yêu cầu của khách hàng; </w:t>
      </w:r>
    </w:p>
    <w:p w:rsidR="00533893" w:rsidRPr="006234AA" w:rsidRDefault="00E412AC" w:rsidP="003C0546">
      <w:pPr>
        <w:tabs>
          <w:tab w:val="left" w:pos="993"/>
        </w:tabs>
        <w:spacing w:after="120"/>
        <w:rPr>
          <w:lang w:val="nl-NL"/>
        </w:rPr>
      </w:pPr>
      <w:r w:rsidRPr="006234AA">
        <w:rPr>
          <w:lang w:val="nl-NL"/>
        </w:rPr>
        <w:t>- Thực hiện các giao dịch theo yêu cầu của Trung tâm lưu ký chứng khoán, Sở giao dịch chứng khoán nhằm đóng vị thế, thanh lý vị thế bắt buộc đối với khách hàng. Mức giá giao dịch, đối tác giao dịch thực hiện theo hướng dẫn của Trung tâm lưu ký chứng khoán, Sở giao dịch chứng khoán.</w:t>
      </w:r>
      <w:r w:rsidR="00533893" w:rsidRPr="006234AA">
        <w:rPr>
          <w:lang w:val="nl-NL"/>
        </w:rPr>
        <w:t xml:space="preserve"> </w:t>
      </w:r>
    </w:p>
    <w:p w:rsidR="00E5466E" w:rsidRPr="006234AA" w:rsidRDefault="00EF4520" w:rsidP="003C0546">
      <w:pPr>
        <w:spacing w:after="120"/>
        <w:rPr>
          <w:lang w:val="nl-NL"/>
        </w:rPr>
      </w:pPr>
      <w:r w:rsidRPr="006234AA">
        <w:rPr>
          <w:lang w:val="nl-NL"/>
        </w:rPr>
        <w:t>d</w:t>
      </w:r>
      <w:r w:rsidR="00E5466E" w:rsidRPr="006234AA">
        <w:rPr>
          <w:lang w:val="nl-NL"/>
        </w:rPr>
        <w:t xml:space="preserve">) </w:t>
      </w:r>
      <w:r w:rsidR="00533893" w:rsidRPr="006234AA">
        <w:rPr>
          <w:lang w:val="nl-NL"/>
        </w:rPr>
        <w:t>N</w:t>
      </w:r>
      <w:r w:rsidR="002352B6" w:rsidRPr="006234AA">
        <w:rPr>
          <w:lang w:val="nl-NL"/>
        </w:rPr>
        <w:t>ộp đủ số thuế còn nợ; tiếp tục thanh toán các khoản nợ và t</w:t>
      </w:r>
      <w:r w:rsidR="00E5466E" w:rsidRPr="006234AA">
        <w:rPr>
          <w:lang w:val="nl-NL"/>
        </w:rPr>
        <w:t>hực hiện các hoạt động khác theo yêu cầu của Ủy ban Chứng khoán Nhà nước.</w:t>
      </w:r>
    </w:p>
    <w:bookmarkEnd w:id="106"/>
    <w:p w:rsidR="00555FD7" w:rsidRPr="006234AA" w:rsidRDefault="009E5B6D" w:rsidP="003C0546">
      <w:pPr>
        <w:spacing w:after="120"/>
        <w:rPr>
          <w:lang w:val="nl-NL"/>
        </w:rPr>
      </w:pPr>
      <w:r w:rsidRPr="006234AA">
        <w:rPr>
          <w:lang w:val="nl-NL"/>
        </w:rPr>
        <w:t>1</w:t>
      </w:r>
      <w:r w:rsidR="003561C3" w:rsidRPr="006234AA">
        <w:rPr>
          <w:lang w:val="nl-NL"/>
        </w:rPr>
        <w:t>1</w:t>
      </w:r>
      <w:r w:rsidR="00C8110D" w:rsidRPr="006234AA">
        <w:rPr>
          <w:lang w:val="nl-NL"/>
        </w:rPr>
        <w:t xml:space="preserve">. </w:t>
      </w:r>
      <w:r w:rsidR="00E412AC" w:rsidRPr="006234AA">
        <w:rPr>
          <w:lang w:val="nl-NL"/>
        </w:rPr>
        <w:t xml:space="preserve">Trong thời hạn tối đa (05) ngày làm việc kể từ ngày kết thúc thời hạn thực hiện thủ tục chấm dứt hoạt động kinh doanh dịch vụ chứng khoán phái sinh, tổ chức kinh doanh dịch vụ chứng khoán phái sinh </w:t>
      </w:r>
      <w:r w:rsidR="00100939" w:rsidRPr="006234AA">
        <w:rPr>
          <w:lang w:val="nl-NL"/>
        </w:rPr>
        <w:t xml:space="preserve">nộp hồ sơ </w:t>
      </w:r>
      <w:r w:rsidR="00C8110D" w:rsidRPr="006234AA">
        <w:rPr>
          <w:lang w:val="nl-NL"/>
        </w:rPr>
        <w:t>báo cáo Ủy ban Chứng khoán Nhà nước kết quả xử lý</w:t>
      </w:r>
      <w:r w:rsidR="00100939" w:rsidRPr="006234AA">
        <w:rPr>
          <w:lang w:val="nl-NL"/>
        </w:rPr>
        <w:t>,</w:t>
      </w:r>
      <w:r w:rsidR="00555FD7" w:rsidRPr="006234AA">
        <w:rPr>
          <w:lang w:val="nl-NL"/>
        </w:rPr>
        <w:t xml:space="preserve"> bao gồm</w:t>
      </w:r>
      <w:r w:rsidR="00100939" w:rsidRPr="006234AA">
        <w:rPr>
          <w:lang w:val="nl-NL"/>
        </w:rPr>
        <w:t xml:space="preserve"> các tài liệu sau</w:t>
      </w:r>
      <w:r w:rsidR="00555FD7" w:rsidRPr="006234AA">
        <w:rPr>
          <w:lang w:val="nl-NL"/>
        </w:rPr>
        <w:t>:</w:t>
      </w:r>
    </w:p>
    <w:p w:rsidR="00997B45" w:rsidRPr="006234AA" w:rsidRDefault="00997B45" w:rsidP="003C0546">
      <w:pPr>
        <w:spacing w:after="120"/>
        <w:rPr>
          <w:lang w:val="nl-NL"/>
        </w:rPr>
      </w:pPr>
      <w:r w:rsidRPr="006234AA">
        <w:rPr>
          <w:lang w:val="nl-NL"/>
        </w:rPr>
        <w:t>a) Danh sách khách hàng với đầy đủ thông tin nhận diện khách hàng, số tài khoản giao dịch, số tài khoản ký quỹ và danh mục tài sản ký quỹ, chi tiết vị thế mở trên từng tài khoản; lý do không thể tất toán, xử lý các tài khoản còn tồn (nếu chưa xử lý được);</w:t>
      </w:r>
    </w:p>
    <w:p w:rsidR="004D5AEC" w:rsidRPr="006234AA" w:rsidRDefault="00997B45" w:rsidP="003C0546">
      <w:pPr>
        <w:spacing w:after="120"/>
        <w:rPr>
          <w:lang w:val="nl-NL"/>
        </w:rPr>
      </w:pPr>
      <w:r w:rsidRPr="006234AA">
        <w:rPr>
          <w:lang w:val="nl-NL"/>
        </w:rPr>
        <w:t>b</w:t>
      </w:r>
      <w:r w:rsidR="00555FD7" w:rsidRPr="006234AA">
        <w:rPr>
          <w:lang w:val="nl-NL"/>
        </w:rPr>
        <w:t xml:space="preserve">) </w:t>
      </w:r>
      <w:r w:rsidR="004D5AEC" w:rsidRPr="006234AA">
        <w:rPr>
          <w:lang w:val="nl-NL"/>
        </w:rPr>
        <w:t>Biên bản thanh lý, có xác nhận của thành viên giao dịch thay thế, thành viên bù trừ thay thế, kèm theo t</w:t>
      </w:r>
      <w:r w:rsidR="00555FD7" w:rsidRPr="006234AA">
        <w:rPr>
          <w:lang w:val="nl-NL"/>
        </w:rPr>
        <w:t xml:space="preserve">ài liệu xác thực việc </w:t>
      </w:r>
      <w:r w:rsidR="00603074" w:rsidRPr="006234AA">
        <w:rPr>
          <w:lang w:val="nl-NL"/>
        </w:rPr>
        <w:t xml:space="preserve">tổ chức kinh doanh dịch vụ </w:t>
      </w:r>
      <w:r w:rsidR="00603074" w:rsidRPr="006234AA">
        <w:rPr>
          <w:lang w:val="nl-NL"/>
        </w:rPr>
        <w:lastRenderedPageBreak/>
        <w:t>chứng khoán phái sinh</w:t>
      </w:r>
      <w:r w:rsidR="00555FD7" w:rsidRPr="006234AA">
        <w:rPr>
          <w:lang w:val="nl-NL"/>
        </w:rPr>
        <w:t xml:space="preserve"> đã </w:t>
      </w:r>
      <w:r w:rsidR="00F92784" w:rsidRPr="006234AA">
        <w:rPr>
          <w:lang w:val="nl-NL"/>
        </w:rPr>
        <w:t>hoàn tất bàn giao toàn bộ tài khoản</w:t>
      </w:r>
      <w:r w:rsidR="00100939" w:rsidRPr="006234AA">
        <w:rPr>
          <w:lang w:val="nl-NL"/>
        </w:rPr>
        <w:t>,</w:t>
      </w:r>
      <w:r w:rsidR="004D5AEC" w:rsidRPr="006234AA">
        <w:rPr>
          <w:lang w:val="nl-NL"/>
        </w:rPr>
        <w:t xml:space="preserve"> tài sản ký quỹ </w:t>
      </w:r>
      <w:r w:rsidR="00100939" w:rsidRPr="006234AA">
        <w:rPr>
          <w:lang w:val="nl-NL"/>
        </w:rPr>
        <w:t xml:space="preserve">(nếu có) </w:t>
      </w:r>
      <w:r w:rsidR="004D5AEC" w:rsidRPr="006234AA">
        <w:rPr>
          <w:lang w:val="nl-NL"/>
        </w:rPr>
        <w:t xml:space="preserve">của khách hàng cho </w:t>
      </w:r>
      <w:r w:rsidR="00F92784" w:rsidRPr="006234AA">
        <w:rPr>
          <w:lang w:val="nl-NL"/>
        </w:rPr>
        <w:t>thành viên</w:t>
      </w:r>
      <w:r w:rsidR="004D5AEC" w:rsidRPr="006234AA">
        <w:rPr>
          <w:lang w:val="nl-NL"/>
        </w:rPr>
        <w:t xml:space="preserve"> </w:t>
      </w:r>
      <w:r w:rsidR="00F92784" w:rsidRPr="006234AA">
        <w:rPr>
          <w:lang w:val="nl-NL"/>
        </w:rPr>
        <w:t>thay thế</w:t>
      </w:r>
      <w:r w:rsidR="004D5AEC" w:rsidRPr="006234AA">
        <w:rPr>
          <w:lang w:val="nl-NL"/>
        </w:rPr>
        <w:t>;</w:t>
      </w:r>
    </w:p>
    <w:p w:rsidR="00555FD7" w:rsidRPr="006234AA" w:rsidRDefault="00997B45" w:rsidP="003C0546">
      <w:pPr>
        <w:spacing w:after="120"/>
        <w:rPr>
          <w:lang w:val="nl-NL"/>
        </w:rPr>
      </w:pPr>
      <w:r w:rsidRPr="006234AA">
        <w:rPr>
          <w:lang w:val="nl-NL"/>
        </w:rPr>
        <w:t>c</w:t>
      </w:r>
      <w:r w:rsidR="004D5AEC" w:rsidRPr="006234AA">
        <w:rPr>
          <w:lang w:val="nl-NL"/>
        </w:rPr>
        <w:t xml:space="preserve">) Quyết định rút tư cách thành viên của </w:t>
      </w:r>
      <w:r w:rsidR="00555FD7" w:rsidRPr="006234AA">
        <w:rPr>
          <w:lang w:val="nl-NL"/>
        </w:rPr>
        <w:t>Sở giao dịch chứng khoán</w:t>
      </w:r>
      <w:r w:rsidR="004D5AEC" w:rsidRPr="006234AA">
        <w:rPr>
          <w:lang w:val="nl-NL"/>
        </w:rPr>
        <w:t xml:space="preserve"> (đối với thành viên giao dịch), </w:t>
      </w:r>
      <w:r w:rsidR="008573AD" w:rsidRPr="006234AA">
        <w:rPr>
          <w:lang w:val="nl-NL"/>
        </w:rPr>
        <w:t>Trung tâm lưu ký chứng khoán</w:t>
      </w:r>
      <w:r w:rsidR="004D5AEC" w:rsidRPr="006234AA">
        <w:rPr>
          <w:lang w:val="nl-NL"/>
        </w:rPr>
        <w:t xml:space="preserve"> (đối với thành viên bù trừ)</w:t>
      </w:r>
      <w:r w:rsidR="00555FD7" w:rsidRPr="006234AA">
        <w:rPr>
          <w:lang w:val="nl-NL"/>
        </w:rPr>
        <w:t xml:space="preserve">, kèm theo toàn bộ các tài liệu liên quan theo quy định tại khoản 10 Điều </w:t>
      </w:r>
      <w:r w:rsidR="00E21E49" w:rsidRPr="006234AA">
        <w:rPr>
          <w:lang w:val="nl-NL"/>
        </w:rPr>
        <w:t>57</w:t>
      </w:r>
      <w:r w:rsidR="00555FD7" w:rsidRPr="006234AA">
        <w:rPr>
          <w:lang w:val="nl-NL"/>
        </w:rPr>
        <w:t xml:space="preserve"> Thông tư này</w:t>
      </w:r>
      <w:r w:rsidR="00747FB0" w:rsidRPr="006234AA">
        <w:rPr>
          <w:lang w:val="nl-NL"/>
        </w:rPr>
        <w:t>.</w:t>
      </w:r>
      <w:r w:rsidR="00555FD7" w:rsidRPr="006234AA">
        <w:rPr>
          <w:lang w:val="nl-NL"/>
        </w:rPr>
        <w:t xml:space="preserve"> </w:t>
      </w:r>
    </w:p>
    <w:p w:rsidR="002A31C6" w:rsidRPr="006234AA" w:rsidRDefault="003561C3" w:rsidP="003C0546">
      <w:pPr>
        <w:spacing w:after="120"/>
        <w:rPr>
          <w:lang w:val="nl-NL"/>
        </w:rPr>
      </w:pPr>
      <w:r w:rsidRPr="006234AA">
        <w:rPr>
          <w:lang w:val="nl-NL"/>
        </w:rPr>
        <w:t>12</w:t>
      </w:r>
      <w:r w:rsidR="009C78CA" w:rsidRPr="006234AA">
        <w:rPr>
          <w:lang w:val="nl-NL"/>
        </w:rPr>
        <w:t>. Trong thời hạn mười (</w:t>
      </w:r>
      <w:r w:rsidR="006B1395" w:rsidRPr="006234AA">
        <w:rPr>
          <w:lang w:val="nl-NL"/>
        </w:rPr>
        <w:t>10</w:t>
      </w:r>
      <w:r w:rsidR="009C78CA" w:rsidRPr="006234AA">
        <w:rPr>
          <w:lang w:val="nl-NL"/>
        </w:rPr>
        <w:t xml:space="preserve">) ngày kể từ ngày nhận được hồ sơ </w:t>
      </w:r>
      <w:r w:rsidR="006B1395" w:rsidRPr="006234AA">
        <w:rPr>
          <w:lang w:val="nl-NL"/>
        </w:rPr>
        <w:t xml:space="preserve">báo cáo kết quả </w:t>
      </w:r>
      <w:r w:rsidR="009C78CA" w:rsidRPr="006234AA">
        <w:rPr>
          <w:lang w:val="nl-NL"/>
        </w:rPr>
        <w:t xml:space="preserve">quy định tại khoản </w:t>
      </w:r>
      <w:r w:rsidR="009372E4" w:rsidRPr="006234AA">
        <w:rPr>
          <w:lang w:val="nl-NL"/>
        </w:rPr>
        <w:t>7</w:t>
      </w:r>
      <w:r w:rsidR="006B1395" w:rsidRPr="006234AA">
        <w:rPr>
          <w:lang w:val="nl-NL"/>
        </w:rPr>
        <w:t xml:space="preserve"> </w:t>
      </w:r>
      <w:r w:rsidR="009C78CA" w:rsidRPr="006234AA">
        <w:rPr>
          <w:lang w:val="nl-NL"/>
        </w:rPr>
        <w:t xml:space="preserve">Điều này, Ủy ban Chứng khoán Nhà nước </w:t>
      </w:r>
      <w:r w:rsidR="00603074" w:rsidRPr="006234AA">
        <w:rPr>
          <w:lang w:val="nl-NL"/>
        </w:rPr>
        <w:t xml:space="preserve">có văn bản chấp thuận </w:t>
      </w:r>
      <w:r w:rsidR="00753205" w:rsidRPr="006234AA">
        <w:rPr>
          <w:lang w:val="nl-NL"/>
        </w:rPr>
        <w:t xml:space="preserve">cho phép </w:t>
      </w:r>
      <w:r w:rsidR="00603074" w:rsidRPr="006234AA">
        <w:rPr>
          <w:lang w:val="nl-NL"/>
        </w:rPr>
        <w:t>chấm dứt hoạt động kinh doanh dịch vụ chứng khoán phái sinh</w:t>
      </w:r>
      <w:r w:rsidR="00747FB0" w:rsidRPr="006234AA">
        <w:rPr>
          <w:lang w:val="nl-NL"/>
        </w:rPr>
        <w:t xml:space="preserve"> hoặc ra quyết định thu hồi Giấy chứng nhận đủ điều kiện kinh doanh, đủ điều kiện cung cấp dịch vụ bù trừ thanh toán chứng khoán phái sinh</w:t>
      </w:r>
      <w:r w:rsidR="009C78CA" w:rsidRPr="006234AA">
        <w:rPr>
          <w:lang w:val="nl-NL"/>
        </w:rPr>
        <w:t>. Trường hợp từ chối Ủy ban Chứng khoán Nhà nước phải trả lời bằng văn bản và nêu rõ lý do</w:t>
      </w:r>
      <w:r w:rsidR="004D5AEC" w:rsidRPr="006234AA">
        <w:rPr>
          <w:lang w:val="nl-NL"/>
        </w:rPr>
        <w:t>.</w:t>
      </w:r>
    </w:p>
    <w:p w:rsidR="00747FB0" w:rsidRPr="006234AA" w:rsidRDefault="00747FB0" w:rsidP="003C0546">
      <w:pPr>
        <w:spacing w:after="120"/>
        <w:rPr>
          <w:lang w:val="nl-NL"/>
        </w:rPr>
      </w:pPr>
      <w:r w:rsidRPr="006234AA">
        <w:rPr>
          <w:lang w:val="pt-BR"/>
        </w:rPr>
        <w:t>1</w:t>
      </w:r>
      <w:r w:rsidR="003561C3" w:rsidRPr="006234AA">
        <w:rPr>
          <w:lang w:val="pt-BR"/>
        </w:rPr>
        <w:t>3</w:t>
      </w:r>
      <w:r w:rsidRPr="006234AA">
        <w:rPr>
          <w:lang w:val="pt-BR"/>
        </w:rPr>
        <w:t xml:space="preserve">. Thành viên Hội đồng quản trị công ty cổ phần, thành viên Hội đồng thành viên công ty trách nhiệm hữu hạn, chủ sở hữu công ty, Giám đốc hoặc Tổng giám đốc, người đại diện theo pháp luật của tổ chức kinh doanh dịch vụ chứng khoán phái sinh chịu trách nhiệm về tính trung thực, chính xác của hồ sơ đề nghị chấm dứt hoạt động, hồ sơ báo cáo kết quả chấm dứt hoạt động kinh doanh dịch vụ chứng khoán phái sinh. Trường hợp hồ sơ không chính xác, giả mạo, những người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w:t>
      </w:r>
      <w:r w:rsidR="00B93989" w:rsidRPr="006234AA">
        <w:rPr>
          <w:lang w:val="pt-BR"/>
        </w:rPr>
        <w:t xml:space="preserve">quy định tại khoản 7 Điều này </w:t>
      </w:r>
      <w:r w:rsidRPr="006234AA">
        <w:rPr>
          <w:lang w:val="pt-BR"/>
        </w:rPr>
        <w:t xml:space="preserve">đến </w:t>
      </w:r>
      <w:r w:rsidR="003561C3" w:rsidRPr="006234AA">
        <w:rPr>
          <w:lang w:val="pt-BR"/>
        </w:rPr>
        <w:t>Ủy ban Chứng khoán Nhà nước</w:t>
      </w:r>
      <w:r w:rsidRPr="006234AA">
        <w:rPr>
          <w:lang w:val="pt-BR"/>
        </w:rPr>
        <w:t>.</w:t>
      </w:r>
    </w:p>
    <w:p w:rsidR="009C78CA" w:rsidRPr="006234AA" w:rsidRDefault="009D0C2F" w:rsidP="003C0546">
      <w:pPr>
        <w:spacing w:after="120"/>
        <w:rPr>
          <w:lang w:val="nl-NL"/>
        </w:rPr>
      </w:pPr>
      <w:r w:rsidRPr="006234AA">
        <w:rPr>
          <w:lang w:val="nl-NL"/>
        </w:rPr>
        <w:t xml:space="preserve">14. Ủy ban Chứng khoán Nhà nước có quyền chỉ định tổ chức kinh doanh dịch vụ chứng khoán phái sinh khác thay thế tiếp tục thực hiện các vị thế mở của khách hàng của tổ chức kinh doanh dịch vụ chứng khoán bị chấm dứt hoạt động. Ủy ban Chứng khoán Nhà nước có quyền yêu cầu Sở giao dịch chứng khoán, </w:t>
      </w:r>
      <w:r w:rsidR="008573AD" w:rsidRPr="006234AA">
        <w:rPr>
          <w:lang w:val="nl-NL"/>
        </w:rPr>
        <w:t>Trung tâm lưu ký chứng khoán</w:t>
      </w:r>
      <w:r w:rsidRPr="006234AA">
        <w:rPr>
          <w:lang w:val="nl-NL"/>
        </w:rPr>
        <w:t xml:space="preserve"> yêu cầu thành viên giao dịch, thành viên bù trừ thay thế</w:t>
      </w:r>
      <w:r w:rsidR="009C78CA" w:rsidRPr="006234AA">
        <w:rPr>
          <w:lang w:val="nl-NL"/>
        </w:rPr>
        <w:t xml:space="preserve"> </w:t>
      </w:r>
      <w:r w:rsidRPr="006234AA">
        <w:rPr>
          <w:lang w:val="nl-NL"/>
        </w:rPr>
        <w:t>đóng vị thế bắt buộc đối với các tài khoản còn tồn.</w:t>
      </w:r>
    </w:p>
    <w:p w:rsidR="009C78CA" w:rsidRPr="006234AA" w:rsidRDefault="007F0A91" w:rsidP="003C0546">
      <w:pPr>
        <w:spacing w:after="120"/>
        <w:rPr>
          <w:lang w:val="nl-NL"/>
        </w:rPr>
      </w:pPr>
      <w:r w:rsidRPr="006234AA">
        <w:rPr>
          <w:lang w:val="nl-NL"/>
        </w:rPr>
        <w:t>1</w:t>
      </w:r>
      <w:r w:rsidR="00997B45" w:rsidRPr="006234AA">
        <w:rPr>
          <w:lang w:val="nl-NL"/>
        </w:rPr>
        <w:t>5</w:t>
      </w:r>
      <w:r w:rsidRPr="006234AA">
        <w:rPr>
          <w:lang w:val="nl-NL"/>
        </w:rPr>
        <w:t xml:space="preserve">. </w:t>
      </w:r>
      <w:r w:rsidR="009C78CA" w:rsidRPr="006234AA">
        <w:rPr>
          <w:lang w:val="nl-NL"/>
        </w:rPr>
        <w:t>Ủy ban Chứng khoán Nhà nước có trách nhiệm công bố việc</w:t>
      </w:r>
      <w:r w:rsidR="007743C9" w:rsidRPr="006234AA">
        <w:rPr>
          <w:lang w:val="nl-NL"/>
        </w:rPr>
        <w:t xml:space="preserve"> chấm dứt hoạt động kinh doanh dịch vụ chứng khoán phái sinh của tổ chức kinh doanh dịch vụ chứng khoán phái sinh</w:t>
      </w:r>
      <w:r w:rsidR="009C78CA" w:rsidRPr="006234AA">
        <w:rPr>
          <w:lang w:val="nl-NL"/>
        </w:rPr>
        <w:t xml:space="preserve"> trên trang thông tin điện tử của Ủy ban Chứng khoán Nhà nước.</w:t>
      </w:r>
    </w:p>
    <w:p w:rsidR="0083099F" w:rsidRPr="006234AA" w:rsidRDefault="0083099F" w:rsidP="003C0546">
      <w:pPr>
        <w:spacing w:after="120"/>
        <w:rPr>
          <w:lang w:val="nl-NL"/>
        </w:rPr>
      </w:pPr>
    </w:p>
    <w:p w:rsidR="0083099F" w:rsidRPr="006234AA" w:rsidRDefault="00F80B4E" w:rsidP="003C0546">
      <w:pPr>
        <w:pStyle w:val="Heading2"/>
        <w:spacing w:after="120"/>
      </w:pPr>
      <w:bookmarkStart w:id="107" w:name="_Toc397003343"/>
      <w:bookmarkStart w:id="108" w:name="_Toc422671973"/>
      <w:r w:rsidRPr="006234AA">
        <w:t>Mục 2</w:t>
      </w:r>
      <w:bookmarkEnd w:id="107"/>
      <w:bookmarkEnd w:id="108"/>
    </w:p>
    <w:p w:rsidR="00627372" w:rsidRPr="006234AA" w:rsidRDefault="00627372" w:rsidP="003C0546">
      <w:pPr>
        <w:pStyle w:val="Heading2"/>
        <w:spacing w:after="120"/>
      </w:pPr>
      <w:bookmarkStart w:id="109" w:name="_Toc397003344"/>
      <w:bookmarkStart w:id="110" w:name="_Toc422671974"/>
      <w:r w:rsidRPr="006234AA">
        <w:t>THÀNH VIÊN GIAO DỊCH</w:t>
      </w:r>
      <w:bookmarkEnd w:id="109"/>
      <w:bookmarkEnd w:id="110"/>
    </w:p>
    <w:p w:rsidR="00627372" w:rsidRPr="006234AA" w:rsidRDefault="00627372" w:rsidP="003C0546">
      <w:pPr>
        <w:spacing w:after="120"/>
        <w:rPr>
          <w:lang w:val="nl-NL"/>
        </w:rPr>
      </w:pPr>
    </w:p>
    <w:p w:rsidR="00627372" w:rsidRPr="006234AA" w:rsidRDefault="00627372" w:rsidP="003C0546">
      <w:pPr>
        <w:pStyle w:val="Heading4"/>
        <w:spacing w:after="120"/>
      </w:pPr>
      <w:bookmarkStart w:id="111" w:name="_Toc397003345"/>
      <w:bookmarkStart w:id="112" w:name="_Toc422671975"/>
      <w:r w:rsidRPr="006234AA">
        <w:t>Đăng ký thành viên giao dịch</w:t>
      </w:r>
      <w:bookmarkEnd w:id="111"/>
      <w:bookmarkEnd w:id="112"/>
    </w:p>
    <w:p w:rsidR="009C78CA" w:rsidRPr="006234AA" w:rsidRDefault="009C78CA" w:rsidP="003C0546">
      <w:pPr>
        <w:spacing w:after="120"/>
        <w:rPr>
          <w:lang w:val="nl-NL"/>
        </w:rPr>
      </w:pPr>
      <w:r w:rsidRPr="006234AA">
        <w:rPr>
          <w:lang w:val="nl-NL"/>
        </w:rPr>
        <w:lastRenderedPageBreak/>
        <w:t xml:space="preserve">1. </w:t>
      </w:r>
      <w:r w:rsidR="00087F54" w:rsidRPr="006234AA">
        <w:rPr>
          <w:lang w:val="nl-NL"/>
        </w:rPr>
        <w:t xml:space="preserve">Công ty chứng khoán </w:t>
      </w:r>
      <w:r w:rsidR="00A51AF3" w:rsidRPr="006234AA">
        <w:rPr>
          <w:lang w:val="nl-NL"/>
        </w:rPr>
        <w:t>đáp ứng đầy</w:t>
      </w:r>
      <w:r w:rsidR="00087F54" w:rsidRPr="006234AA">
        <w:rPr>
          <w:lang w:val="nl-NL"/>
        </w:rPr>
        <w:t xml:space="preserve"> đủ </w:t>
      </w:r>
      <w:r w:rsidR="00A51AF3" w:rsidRPr="006234AA">
        <w:rPr>
          <w:lang w:val="nl-NL"/>
        </w:rPr>
        <w:t xml:space="preserve">các </w:t>
      </w:r>
      <w:r w:rsidR="00087F54" w:rsidRPr="006234AA">
        <w:rPr>
          <w:lang w:val="nl-NL"/>
        </w:rPr>
        <w:t xml:space="preserve">điều kiện </w:t>
      </w:r>
      <w:r w:rsidR="00A51AF3" w:rsidRPr="006234AA">
        <w:rPr>
          <w:lang w:val="nl-NL"/>
        </w:rPr>
        <w:t xml:space="preserve">dưới đây được </w:t>
      </w:r>
      <w:r w:rsidR="00087F54" w:rsidRPr="006234AA">
        <w:rPr>
          <w:lang w:val="nl-NL"/>
        </w:rPr>
        <w:t xml:space="preserve">đăng ký </w:t>
      </w:r>
      <w:r w:rsidR="00A51AF3" w:rsidRPr="006234AA">
        <w:rPr>
          <w:lang w:val="nl-NL"/>
        </w:rPr>
        <w:t xml:space="preserve">làm </w:t>
      </w:r>
      <w:r w:rsidR="00087F54" w:rsidRPr="006234AA">
        <w:rPr>
          <w:lang w:val="nl-NL"/>
        </w:rPr>
        <w:t>thành viên giao dịch chứng khoán phái sinh (thành viên giao dịch) tại Sở giao dịch chứng khoán</w:t>
      </w:r>
      <w:r w:rsidRPr="006234AA">
        <w:rPr>
          <w:lang w:val="nl-NL"/>
        </w:rPr>
        <w:t>:</w:t>
      </w:r>
    </w:p>
    <w:p w:rsidR="009C78CA" w:rsidRPr="006234AA" w:rsidRDefault="009C78CA" w:rsidP="003C0546">
      <w:pPr>
        <w:spacing w:after="120"/>
        <w:rPr>
          <w:lang w:val="nl-NL"/>
        </w:rPr>
      </w:pPr>
      <w:r w:rsidRPr="006234AA">
        <w:rPr>
          <w:lang w:val="nl-NL"/>
        </w:rPr>
        <w:t xml:space="preserve">a) </w:t>
      </w:r>
      <w:r w:rsidR="00AE423B" w:rsidRPr="006234AA">
        <w:rPr>
          <w:lang w:val="nl-NL"/>
        </w:rPr>
        <w:t>Là công ty chứng khoán đ</w:t>
      </w:r>
      <w:r w:rsidRPr="006234AA">
        <w:rPr>
          <w:lang w:val="nl-NL"/>
        </w:rPr>
        <w:t xml:space="preserve">ã </w:t>
      </w:r>
      <w:r w:rsidR="000018B5" w:rsidRPr="006234AA">
        <w:rPr>
          <w:lang w:val="nl-NL"/>
        </w:rPr>
        <w:t xml:space="preserve">được </w:t>
      </w:r>
      <w:r w:rsidR="00B93989" w:rsidRPr="006234AA">
        <w:rPr>
          <w:lang w:val="nl-NL"/>
        </w:rPr>
        <w:t>Ủy ban Chứng khoán Nhà nước cấp Giấy chứng nhận đủ điều kiện</w:t>
      </w:r>
      <w:r w:rsidR="000018B5" w:rsidRPr="006234AA">
        <w:rPr>
          <w:lang w:val="nl-NL"/>
        </w:rPr>
        <w:t xml:space="preserve"> hoạt động</w:t>
      </w:r>
      <w:r w:rsidR="00B204BE" w:rsidRPr="006234AA">
        <w:rPr>
          <w:lang w:val="nl-NL"/>
        </w:rPr>
        <w:t xml:space="preserve"> </w:t>
      </w:r>
      <w:r w:rsidR="00903337" w:rsidRPr="006234AA">
        <w:rPr>
          <w:lang w:val="nl-NL"/>
        </w:rPr>
        <w:t>môi giới</w:t>
      </w:r>
      <w:r w:rsidRPr="006234AA">
        <w:rPr>
          <w:lang w:val="nl-NL"/>
        </w:rPr>
        <w:t xml:space="preserve"> chứng khoán phái sinh</w:t>
      </w:r>
      <w:r w:rsidR="00CF4C34" w:rsidRPr="006234AA">
        <w:rPr>
          <w:lang w:val="nl-NL"/>
        </w:rPr>
        <w:t xml:space="preserve"> và đáp ứng quy định tại Điểm đ khoản 1 Điều 26 Thông tư này</w:t>
      </w:r>
      <w:r w:rsidRPr="006234AA">
        <w:rPr>
          <w:lang w:val="nl-NL"/>
        </w:rPr>
        <w:t xml:space="preserve">; </w:t>
      </w:r>
    </w:p>
    <w:p w:rsidR="009C78CA" w:rsidRPr="006234AA" w:rsidRDefault="009C78CA" w:rsidP="003C0546">
      <w:pPr>
        <w:spacing w:after="120"/>
        <w:rPr>
          <w:lang w:val="nl-NL"/>
        </w:rPr>
      </w:pPr>
      <w:r w:rsidRPr="006234AA">
        <w:rPr>
          <w:lang w:val="nl-NL"/>
        </w:rPr>
        <w:t xml:space="preserve">b) </w:t>
      </w:r>
      <w:r w:rsidR="00B93989" w:rsidRPr="006234AA">
        <w:rPr>
          <w:lang w:val="nl-NL"/>
        </w:rPr>
        <w:t>Đã được Ủy ban Chứng khoán Nhà nước cấp Giấy chứng nhận đủ điều kiện cung cấp dịch vụ bù trừ, thanh toán chứng khoán phái sinh</w:t>
      </w:r>
      <w:r w:rsidR="00087F54" w:rsidRPr="006234AA">
        <w:rPr>
          <w:lang w:val="nl-NL"/>
        </w:rPr>
        <w:t>;</w:t>
      </w:r>
      <w:r w:rsidR="00B93989" w:rsidRPr="006234AA">
        <w:rPr>
          <w:lang w:val="nl-NL"/>
        </w:rPr>
        <w:t xml:space="preserve"> hoặc đ</w:t>
      </w:r>
      <w:r w:rsidRPr="006234AA">
        <w:rPr>
          <w:lang w:val="nl-NL"/>
        </w:rPr>
        <w:t xml:space="preserve">ã ký </w:t>
      </w:r>
      <w:r w:rsidR="00087F54" w:rsidRPr="006234AA">
        <w:rPr>
          <w:lang w:val="nl-NL"/>
        </w:rPr>
        <w:t xml:space="preserve">với thành viên bù trừ chung </w:t>
      </w:r>
      <w:r w:rsidRPr="006234AA">
        <w:rPr>
          <w:lang w:val="nl-NL"/>
        </w:rPr>
        <w:t xml:space="preserve">hợp đồng </w:t>
      </w:r>
      <w:r w:rsidR="00D20545" w:rsidRPr="006234AA">
        <w:rPr>
          <w:lang w:val="nl-NL"/>
        </w:rPr>
        <w:t>ủy thác</w:t>
      </w:r>
      <w:r w:rsidRPr="006234AA">
        <w:rPr>
          <w:lang w:val="nl-NL"/>
        </w:rPr>
        <w:t xml:space="preserve"> </w:t>
      </w:r>
      <w:r w:rsidR="00666F37" w:rsidRPr="006234AA">
        <w:rPr>
          <w:lang w:val="nl-NL"/>
        </w:rPr>
        <w:t>bù trừ, thanh toán</w:t>
      </w:r>
      <w:r w:rsidRPr="006234AA">
        <w:rPr>
          <w:lang w:val="nl-NL"/>
        </w:rPr>
        <w:t xml:space="preserve"> </w:t>
      </w:r>
      <w:r w:rsidR="00B93989" w:rsidRPr="006234AA">
        <w:rPr>
          <w:lang w:val="nl-NL"/>
        </w:rPr>
        <w:t>chứng khoán phái sinh;</w:t>
      </w:r>
      <w:r w:rsidRPr="006234AA">
        <w:rPr>
          <w:lang w:val="nl-NL"/>
        </w:rPr>
        <w:t xml:space="preserve"> </w:t>
      </w:r>
    </w:p>
    <w:p w:rsidR="009C78CA" w:rsidRPr="006234AA" w:rsidRDefault="009C78CA" w:rsidP="003C0546">
      <w:pPr>
        <w:spacing w:after="120"/>
        <w:rPr>
          <w:lang w:val="nl-NL"/>
        </w:rPr>
      </w:pPr>
      <w:r w:rsidRPr="006234AA">
        <w:rPr>
          <w:lang w:val="nl-NL"/>
        </w:rPr>
        <w:t xml:space="preserve">c) </w:t>
      </w:r>
      <w:r w:rsidR="00A51AF3" w:rsidRPr="006234AA">
        <w:rPr>
          <w:lang w:val="nl-NL"/>
        </w:rPr>
        <w:t xml:space="preserve">Đáp ứng </w:t>
      </w:r>
      <w:r w:rsidR="00CF4C34" w:rsidRPr="006234AA">
        <w:rPr>
          <w:lang w:val="nl-NL"/>
        </w:rPr>
        <w:t>yêu cầu của Sở giao dịch chứng khoán về hạ tầng công nghệ thông tin, quy trình nghiệp vụ cho giao dịch chứng khoán phái sinh</w:t>
      </w:r>
      <w:r w:rsidR="00B93989" w:rsidRPr="006234AA">
        <w:rPr>
          <w:lang w:val="nl-NL"/>
        </w:rPr>
        <w:t>.</w:t>
      </w:r>
    </w:p>
    <w:p w:rsidR="00F87713" w:rsidRPr="006234AA" w:rsidRDefault="00CF4C34" w:rsidP="003C0546">
      <w:pPr>
        <w:pStyle w:val="ListParagraph"/>
        <w:numPr>
          <w:ilvl w:val="0"/>
          <w:numId w:val="14"/>
        </w:numPr>
        <w:tabs>
          <w:tab w:val="left" w:pos="993"/>
        </w:tabs>
        <w:spacing w:after="120"/>
      </w:pPr>
      <w:r w:rsidRPr="006234AA">
        <w:t>N</w:t>
      </w:r>
      <w:r w:rsidR="00A51AF3" w:rsidRPr="006234AA">
        <w:t xml:space="preserve">gân hàng thương mại, chi nhánh ngân hàng nước ngoài </w:t>
      </w:r>
      <w:r w:rsidR="003F5562" w:rsidRPr="006234AA">
        <w:t xml:space="preserve">đáp ứng </w:t>
      </w:r>
      <w:r w:rsidR="00A51AF3" w:rsidRPr="006234AA">
        <w:t xml:space="preserve">đầy đủ </w:t>
      </w:r>
      <w:r w:rsidR="003F5562" w:rsidRPr="006234AA">
        <w:t xml:space="preserve">các điều kiện </w:t>
      </w:r>
      <w:r w:rsidR="00A51AF3" w:rsidRPr="006234AA">
        <w:t>dưới đây được đăng ký làm thành viên giao dịch chứng khoán phái sinh đặc biệt (thành viên giao dịch đặc biệt) tại Sở giao dịch chứng khoán:</w:t>
      </w:r>
      <w:r w:rsidR="003F5562" w:rsidRPr="006234AA">
        <w:t xml:space="preserve"> </w:t>
      </w:r>
    </w:p>
    <w:p w:rsidR="00637631" w:rsidRPr="006234AA" w:rsidRDefault="00637631" w:rsidP="003C0546">
      <w:pPr>
        <w:pStyle w:val="ListParagraph"/>
        <w:numPr>
          <w:ilvl w:val="1"/>
          <w:numId w:val="13"/>
        </w:numPr>
        <w:tabs>
          <w:tab w:val="left" w:pos="993"/>
          <w:tab w:val="left" w:pos="1170"/>
        </w:tabs>
        <w:spacing w:after="120"/>
        <w:ind w:left="0" w:firstLine="567"/>
      </w:pPr>
      <w:r w:rsidRPr="006234AA">
        <w:t>Là thành viên giao dịch thị trường Trái phiếu Chính phủ trên Sở giao dịch chứng khoán</w:t>
      </w:r>
      <w:r w:rsidR="00BA75F1" w:rsidRPr="006234AA">
        <w:t xml:space="preserve"> và đáp ứng quy định tại Điểm </w:t>
      </w:r>
      <w:r w:rsidR="00464B58" w:rsidRPr="006234AA">
        <w:t xml:space="preserve">đ Khoản 1 Điều 26 Thông tư này và Điểm </w:t>
      </w:r>
      <w:r w:rsidR="00BA75F1" w:rsidRPr="006234AA">
        <w:t>c Khoản 1 Điều này</w:t>
      </w:r>
      <w:r w:rsidRPr="006234AA">
        <w:t>;</w:t>
      </w:r>
    </w:p>
    <w:p w:rsidR="003F5562" w:rsidRPr="006234AA" w:rsidRDefault="00AE423B" w:rsidP="003C0546">
      <w:pPr>
        <w:pStyle w:val="ListParagraph"/>
        <w:numPr>
          <w:ilvl w:val="1"/>
          <w:numId w:val="13"/>
        </w:numPr>
        <w:tabs>
          <w:tab w:val="left" w:pos="993"/>
          <w:tab w:val="left" w:pos="1170"/>
        </w:tabs>
        <w:spacing w:after="120"/>
        <w:ind w:left="0" w:firstLine="567"/>
      </w:pPr>
      <w:r w:rsidRPr="006234AA">
        <w:t xml:space="preserve">Đã </w:t>
      </w:r>
      <w:r w:rsidR="00A51AF3" w:rsidRPr="006234AA">
        <w:t>đăng ký làm thành viên bù trừ với</w:t>
      </w:r>
      <w:r w:rsidR="000018B5" w:rsidRPr="006234AA">
        <w:t xml:space="preserve"> </w:t>
      </w:r>
      <w:r w:rsidR="008573AD" w:rsidRPr="006234AA">
        <w:t>Trung tâm lưu ký chứng khoán</w:t>
      </w:r>
      <w:r w:rsidR="00A51AF3" w:rsidRPr="006234AA">
        <w:t xml:space="preserve">; hoặc đã được Ủy ban Chứng khoán Nhà nước cấp Giấy chứng nhận đủ điều kiện cung cấp dịch vụ bù trừ, thanh toán chứng khoán phái sinh; </w:t>
      </w:r>
    </w:p>
    <w:p w:rsidR="00AE423B" w:rsidRPr="006234AA" w:rsidRDefault="00EF56A1" w:rsidP="003C0546">
      <w:pPr>
        <w:pStyle w:val="ListParagraph"/>
        <w:numPr>
          <w:ilvl w:val="1"/>
          <w:numId w:val="13"/>
        </w:numPr>
        <w:tabs>
          <w:tab w:val="left" w:pos="993"/>
          <w:tab w:val="left" w:pos="1170"/>
        </w:tabs>
        <w:spacing w:after="120"/>
        <w:ind w:left="0" w:firstLine="567"/>
      </w:pPr>
      <w:r w:rsidRPr="006234AA">
        <w:t xml:space="preserve">Được Ngân hàng Nhà nước chấp thuận cho hoạt động đầu tư và </w:t>
      </w:r>
      <w:r w:rsidR="00666F37" w:rsidRPr="006234AA">
        <w:t>bù trừ, thanh toán</w:t>
      </w:r>
      <w:r w:rsidR="00BA75F1" w:rsidRPr="006234AA">
        <w:t>.</w:t>
      </w:r>
    </w:p>
    <w:p w:rsidR="009C78CA" w:rsidRPr="006234AA" w:rsidRDefault="000C2C7F" w:rsidP="003C0546">
      <w:pPr>
        <w:spacing w:after="120"/>
        <w:rPr>
          <w:lang w:val="nl-NL"/>
        </w:rPr>
      </w:pPr>
      <w:r w:rsidRPr="006234AA">
        <w:rPr>
          <w:lang w:val="nl-NL"/>
        </w:rPr>
        <w:t>3</w:t>
      </w:r>
      <w:r w:rsidR="009C78CA" w:rsidRPr="006234AA">
        <w:rPr>
          <w:lang w:val="nl-NL"/>
        </w:rPr>
        <w:t xml:space="preserve">. Hồ sơ, trình tự thủ tục </w:t>
      </w:r>
      <w:r w:rsidRPr="006234AA">
        <w:rPr>
          <w:lang w:val="nl-NL"/>
        </w:rPr>
        <w:t>đăng ký làm</w:t>
      </w:r>
      <w:r w:rsidR="009C78CA" w:rsidRPr="006234AA">
        <w:rPr>
          <w:lang w:val="nl-NL"/>
        </w:rPr>
        <w:t xml:space="preserve"> thành viên giao dịch</w:t>
      </w:r>
      <w:r w:rsidR="00AE423B" w:rsidRPr="006234AA">
        <w:rPr>
          <w:lang w:val="nl-NL"/>
        </w:rPr>
        <w:t>, thành viên giao dịch đặc biệt</w:t>
      </w:r>
      <w:r w:rsidR="009C78CA" w:rsidRPr="006234AA">
        <w:rPr>
          <w:lang w:val="nl-NL"/>
        </w:rPr>
        <w:t xml:space="preserve"> thực hiện theo </w:t>
      </w:r>
      <w:r w:rsidRPr="006234AA">
        <w:rPr>
          <w:lang w:val="nl-NL"/>
        </w:rPr>
        <w:t>quy chế</w:t>
      </w:r>
      <w:r w:rsidR="009C78CA" w:rsidRPr="006234AA">
        <w:rPr>
          <w:lang w:val="nl-NL"/>
        </w:rPr>
        <w:t xml:space="preserve"> của Sở giao dịch chứng khoán. </w:t>
      </w:r>
    </w:p>
    <w:p w:rsidR="00C34369" w:rsidRPr="006234AA" w:rsidRDefault="000C2C7F" w:rsidP="003C0546">
      <w:pPr>
        <w:spacing w:after="120"/>
        <w:rPr>
          <w:lang w:val="nl-NL"/>
        </w:rPr>
      </w:pPr>
      <w:r w:rsidRPr="006234AA">
        <w:rPr>
          <w:lang w:val="nl-NL"/>
        </w:rPr>
        <w:t>4</w:t>
      </w:r>
      <w:r w:rsidR="00C34369" w:rsidRPr="006234AA">
        <w:rPr>
          <w:lang w:val="nl-NL"/>
        </w:rPr>
        <w:t xml:space="preserve">. Trước khi chấp thuận tư cách thành viên giao dịch, </w:t>
      </w:r>
      <w:r w:rsidR="00AE423B" w:rsidRPr="006234AA">
        <w:rPr>
          <w:lang w:val="nl-NL"/>
        </w:rPr>
        <w:t xml:space="preserve">thành viên giao dịch đặc biệt, </w:t>
      </w:r>
      <w:r w:rsidR="00C34369" w:rsidRPr="006234AA">
        <w:rPr>
          <w:lang w:val="nl-NL"/>
        </w:rPr>
        <w:t xml:space="preserve">Sở giao dịch chứng khoán phối hợp với </w:t>
      </w:r>
      <w:r w:rsidR="008573AD" w:rsidRPr="006234AA">
        <w:rPr>
          <w:lang w:val="nl-NL"/>
        </w:rPr>
        <w:t>Trung tâm lưu ký chứng khoán</w:t>
      </w:r>
      <w:r w:rsidR="00C34369" w:rsidRPr="006234AA">
        <w:rPr>
          <w:lang w:val="nl-NL"/>
        </w:rPr>
        <w:t xml:space="preserve"> kiểm tra</w:t>
      </w:r>
      <w:r w:rsidRPr="006234AA">
        <w:rPr>
          <w:lang w:val="nl-NL"/>
        </w:rPr>
        <w:t>, thẩm định</w:t>
      </w:r>
      <w:r w:rsidR="00C34369" w:rsidRPr="006234AA">
        <w:rPr>
          <w:lang w:val="nl-NL"/>
        </w:rPr>
        <w:t xml:space="preserve"> </w:t>
      </w:r>
      <w:r w:rsidR="00086955" w:rsidRPr="006234AA">
        <w:rPr>
          <w:lang w:val="nl-NL"/>
        </w:rPr>
        <w:t xml:space="preserve">bảo đảm </w:t>
      </w:r>
      <w:r w:rsidR="00C34369" w:rsidRPr="006234AA">
        <w:rPr>
          <w:lang w:val="nl-NL"/>
        </w:rPr>
        <w:t xml:space="preserve">ứng các tiêu chí của Sở giao dịch chứng khoán, </w:t>
      </w:r>
      <w:r w:rsidR="008573AD" w:rsidRPr="006234AA">
        <w:rPr>
          <w:lang w:val="nl-NL"/>
        </w:rPr>
        <w:t>Trung tâm lưu ký chứng khoán</w:t>
      </w:r>
      <w:r w:rsidR="000A4CF2" w:rsidRPr="006234AA">
        <w:rPr>
          <w:lang w:val="nl-NL"/>
        </w:rPr>
        <w:t xml:space="preserve"> về hạ tầng công nghệ và quy trình nghiệp vụ</w:t>
      </w:r>
      <w:r w:rsidR="00C34369" w:rsidRPr="006234AA">
        <w:rPr>
          <w:lang w:val="nl-NL"/>
        </w:rPr>
        <w:t>.</w:t>
      </w:r>
    </w:p>
    <w:p w:rsidR="00627372" w:rsidRPr="006234AA" w:rsidRDefault="00627372" w:rsidP="003C0546">
      <w:pPr>
        <w:pStyle w:val="Heading4"/>
        <w:spacing w:after="120"/>
        <w:ind w:hanging="502"/>
      </w:pPr>
      <w:bookmarkStart w:id="113" w:name="_Toc397003347"/>
      <w:bookmarkStart w:id="114" w:name="_Toc422671976"/>
      <w:r w:rsidRPr="006234AA">
        <w:t>Quyền của thành viên giao dịch</w:t>
      </w:r>
      <w:bookmarkEnd w:id="113"/>
      <w:bookmarkEnd w:id="114"/>
    </w:p>
    <w:p w:rsidR="00A72E4B" w:rsidRPr="006234AA" w:rsidRDefault="009C78CA" w:rsidP="003C0546">
      <w:pPr>
        <w:pStyle w:val="ListParagraph"/>
        <w:numPr>
          <w:ilvl w:val="3"/>
          <w:numId w:val="2"/>
        </w:numPr>
        <w:tabs>
          <w:tab w:val="left" w:pos="993"/>
        </w:tabs>
        <w:spacing w:after="120"/>
        <w:ind w:left="0" w:firstLine="709"/>
      </w:pPr>
      <w:r w:rsidRPr="006234AA">
        <w:t xml:space="preserve">Thành viên giao dịch </w:t>
      </w:r>
      <w:r w:rsidR="007C0FFF" w:rsidRPr="006234AA">
        <w:t>được</w:t>
      </w:r>
      <w:r w:rsidRPr="006234AA">
        <w:t xml:space="preserve"> cung cấp dịch vụ môi giới</w:t>
      </w:r>
      <w:r w:rsidR="002B6BD1" w:rsidRPr="006234AA">
        <w:t xml:space="preserve"> </w:t>
      </w:r>
      <w:r w:rsidRPr="006234AA">
        <w:t>chứng khoán phái sinh</w:t>
      </w:r>
      <w:r w:rsidR="002B6BD1" w:rsidRPr="006234AA">
        <w:t>, tự doanh chứng khoán phái sinh</w:t>
      </w:r>
      <w:r w:rsidRPr="006234AA">
        <w:t xml:space="preserve"> </w:t>
      </w:r>
      <w:r w:rsidR="002B6BD1" w:rsidRPr="006234AA">
        <w:t>và tư vấn đầu tư chứng khoán phái sinh</w:t>
      </w:r>
      <w:r w:rsidRPr="006234AA">
        <w:t xml:space="preserve">. </w:t>
      </w:r>
    </w:p>
    <w:p w:rsidR="00A72E4B" w:rsidRPr="006234AA" w:rsidRDefault="00903337" w:rsidP="003C0546">
      <w:pPr>
        <w:pStyle w:val="ListParagraph"/>
        <w:numPr>
          <w:ilvl w:val="3"/>
          <w:numId w:val="2"/>
        </w:numPr>
        <w:tabs>
          <w:tab w:val="left" w:pos="993"/>
        </w:tabs>
        <w:spacing w:after="120"/>
        <w:ind w:left="0" w:firstLine="709"/>
      </w:pPr>
      <w:r w:rsidRPr="006234AA">
        <w:t xml:space="preserve">Thành viên giao dịch đặc biệt được </w:t>
      </w:r>
      <w:r w:rsidR="00EC52D1" w:rsidRPr="006234AA">
        <w:t>kinh</w:t>
      </w:r>
      <w:r w:rsidRPr="006234AA">
        <w:t xml:space="preserve"> doanh chứng khoán phái sinh </w:t>
      </w:r>
      <w:r w:rsidR="004D0B34" w:rsidRPr="006234AA">
        <w:t xml:space="preserve">dựa trên </w:t>
      </w:r>
      <w:r w:rsidRPr="006234AA">
        <w:t xml:space="preserve">trái phiếu Chính phủ và </w:t>
      </w:r>
      <w:r w:rsidR="00666F37" w:rsidRPr="006234AA">
        <w:t>bù trừ, thanh toán</w:t>
      </w:r>
      <w:r w:rsidRPr="006234AA">
        <w:t xml:space="preserve"> giao dịch tự doanh chứng khoán phái sinh </w:t>
      </w:r>
      <w:r w:rsidR="004D0B34" w:rsidRPr="006234AA">
        <w:t xml:space="preserve">dựa </w:t>
      </w:r>
      <w:r w:rsidRPr="006234AA">
        <w:t>trên trái phiếu Chính phủ.</w:t>
      </w:r>
    </w:p>
    <w:p w:rsidR="003F5562" w:rsidRPr="006234AA" w:rsidRDefault="00753205" w:rsidP="003C0546">
      <w:pPr>
        <w:spacing w:after="120"/>
        <w:rPr>
          <w:lang w:val="nl-NL"/>
        </w:rPr>
      </w:pPr>
      <w:r w:rsidRPr="006234AA">
        <w:rPr>
          <w:lang w:val="nl-NL"/>
        </w:rPr>
        <w:t xml:space="preserve">  3</w:t>
      </w:r>
      <w:r w:rsidR="009C78CA" w:rsidRPr="006234AA">
        <w:rPr>
          <w:lang w:val="nl-NL"/>
        </w:rPr>
        <w:t xml:space="preserve">. </w:t>
      </w:r>
      <w:r w:rsidR="00A72E4B" w:rsidRPr="006234AA">
        <w:rPr>
          <w:lang w:val="nl-NL"/>
        </w:rPr>
        <w:t>Thành viên giao dịch đ</w:t>
      </w:r>
      <w:r w:rsidR="009C78CA" w:rsidRPr="006234AA">
        <w:rPr>
          <w:lang w:val="nl-NL"/>
        </w:rPr>
        <w:t>ược tự nguyện chấm dứt tư cách thành viên</w:t>
      </w:r>
      <w:r w:rsidR="00A72E4B" w:rsidRPr="006234AA">
        <w:rPr>
          <w:lang w:val="nl-NL"/>
        </w:rPr>
        <w:t xml:space="preserve"> </w:t>
      </w:r>
      <w:r w:rsidR="009C78CA" w:rsidRPr="006234AA">
        <w:rPr>
          <w:lang w:val="nl-NL"/>
        </w:rPr>
        <w:t xml:space="preserve">sau khi được Sở giao dịch chứng khoán chấp thuận. Trong trường hợp này, thành viên giao dịch có trách nhiệm tiếp tục thực hiện mọi nghĩa vụ theo hợp đồng đối </w:t>
      </w:r>
      <w:r w:rsidR="009C78CA" w:rsidRPr="006234AA">
        <w:rPr>
          <w:lang w:val="nl-NL"/>
        </w:rPr>
        <w:lastRenderedPageBreak/>
        <w:t xml:space="preserve">với khách hàng đang duy trì vị thế cho tới khi khách hàng đóng vị thế, thanh lý vị thế hoặc khách hàng đồng ý và thành viên hoàn tất việc bàn giao trách nhiệm cho thành viên giao dịch thay thế mà khách hàng chỉ định. </w:t>
      </w:r>
    </w:p>
    <w:p w:rsidR="009C78CA" w:rsidRPr="006234AA" w:rsidRDefault="00753205" w:rsidP="003C0546">
      <w:pPr>
        <w:spacing w:after="120"/>
        <w:rPr>
          <w:lang w:val="nl-NL"/>
        </w:rPr>
      </w:pPr>
      <w:r w:rsidRPr="006234AA">
        <w:rPr>
          <w:lang w:val="nl-NL"/>
        </w:rPr>
        <w:t xml:space="preserve"> 4</w:t>
      </w:r>
      <w:r w:rsidR="009C78CA" w:rsidRPr="006234AA">
        <w:rPr>
          <w:lang w:val="nl-NL"/>
        </w:rPr>
        <w:t xml:space="preserve">. </w:t>
      </w:r>
      <w:r w:rsidR="00A72E4B" w:rsidRPr="006234AA">
        <w:rPr>
          <w:lang w:val="nl-NL"/>
        </w:rPr>
        <w:t>Thành viên giao dịch được t</w:t>
      </w:r>
      <w:r w:rsidR="009C78CA" w:rsidRPr="006234AA">
        <w:rPr>
          <w:lang w:val="nl-NL"/>
        </w:rPr>
        <w:t xml:space="preserve">hu các loại phí cung cấp dịch vụ cho khách hàng và yêu cầu khách hàng ký quỹ </w:t>
      </w:r>
      <w:r w:rsidR="00A72E4B" w:rsidRPr="006234AA">
        <w:rPr>
          <w:lang w:val="nl-NL"/>
        </w:rPr>
        <w:t>với thành viên bù trừ</w:t>
      </w:r>
      <w:r w:rsidR="009C78CA" w:rsidRPr="006234AA">
        <w:rPr>
          <w:lang w:val="nl-NL"/>
        </w:rPr>
        <w:t>.</w:t>
      </w:r>
      <w:r w:rsidR="00A72E4B" w:rsidRPr="006234AA">
        <w:rPr>
          <w:lang w:val="nl-NL"/>
        </w:rPr>
        <w:t xml:space="preserve"> Mức phí dịch vụ thực hiện theo quy định của Bộ Tài chính. </w:t>
      </w:r>
    </w:p>
    <w:p w:rsidR="009C78CA" w:rsidRPr="006234AA" w:rsidRDefault="009C78CA" w:rsidP="003C0546">
      <w:pPr>
        <w:spacing w:after="120"/>
        <w:rPr>
          <w:lang w:val="nl-NL"/>
        </w:rPr>
      </w:pPr>
      <w:r w:rsidRPr="006234AA">
        <w:rPr>
          <w:lang w:val="nl-NL"/>
        </w:rPr>
        <w:t>5. Thực hiện các quyền khác theo quy định của pháp luật.</w:t>
      </w:r>
    </w:p>
    <w:p w:rsidR="00DA437C" w:rsidRPr="006234AA" w:rsidRDefault="006D2EE1" w:rsidP="003C0546">
      <w:pPr>
        <w:pStyle w:val="Heading4"/>
        <w:spacing w:after="120"/>
        <w:ind w:hanging="502"/>
      </w:pPr>
      <w:bookmarkStart w:id="115" w:name="_Toc397003348"/>
      <w:bookmarkStart w:id="116" w:name="_Toc422671977"/>
      <w:r w:rsidRPr="006234AA">
        <w:t>Trách nhiệm</w:t>
      </w:r>
      <w:r w:rsidR="004E2336" w:rsidRPr="006234AA">
        <w:t>,</w:t>
      </w:r>
      <w:r w:rsidRPr="006234AA">
        <w:t xml:space="preserve"> n</w:t>
      </w:r>
      <w:r w:rsidR="00627372" w:rsidRPr="006234AA">
        <w:t>ghĩa vụ của thành viên giao dịch</w:t>
      </w:r>
      <w:bookmarkEnd w:id="115"/>
      <w:bookmarkEnd w:id="116"/>
    </w:p>
    <w:p w:rsidR="00BA6486" w:rsidRPr="006234AA" w:rsidRDefault="00BA6486" w:rsidP="003C0546">
      <w:pPr>
        <w:spacing w:after="120"/>
        <w:rPr>
          <w:lang w:val="nl-NL"/>
        </w:rPr>
      </w:pPr>
      <w:r w:rsidRPr="006234AA">
        <w:rPr>
          <w:lang w:val="nl-NL"/>
        </w:rPr>
        <w:t xml:space="preserve">1. Thành viên giao dịch không bù trừ phải ký hợp đồng ủy thác thanh toán, bù trừ với một thành viên bù trừ chung (thành viên bù trừ được chỉ định) để thực hiện bù trừ, thanh toán giao dịch chứng khoán phái sinh của mình và các khách hàng của mình. Mỗi thành viên giao dịch không bù trừ chỉ được ký hợp đồng cung cấp dịch vụ thanh toán, bù trừ với duy nhất một thành viên bù trừ chung. Hợp đồng ủy thác bù trừ, thanh toán giữa thành viên giao dịch không bù trừ và thanh viên bù trừ được chỉ định phải bao gồm các nội dung tối thiểu quy định tại </w:t>
      </w:r>
      <w:r w:rsidRPr="006234AA">
        <w:rPr>
          <w:highlight w:val="yellow"/>
          <w:lang w:val="nl-NL"/>
        </w:rPr>
        <w:t>Phụ lục số..</w:t>
      </w:r>
      <w:r w:rsidRPr="006234AA">
        <w:rPr>
          <w:lang w:val="nl-NL"/>
        </w:rPr>
        <w:t>.ban hành kèm theo Thông tư này.</w:t>
      </w:r>
    </w:p>
    <w:p w:rsidR="009C78CA" w:rsidRPr="006234AA" w:rsidRDefault="00BA6486" w:rsidP="003C0546">
      <w:pPr>
        <w:spacing w:after="120"/>
        <w:rPr>
          <w:lang w:val="nl-NL"/>
        </w:rPr>
      </w:pPr>
      <w:r w:rsidRPr="006234AA">
        <w:rPr>
          <w:lang w:val="nl-NL"/>
        </w:rPr>
        <w:t>2</w:t>
      </w:r>
      <w:r w:rsidR="009C78CA" w:rsidRPr="006234AA">
        <w:rPr>
          <w:lang w:val="nl-NL"/>
        </w:rPr>
        <w:t xml:space="preserve">. Trong </w:t>
      </w:r>
      <w:r w:rsidR="000A7997" w:rsidRPr="006234AA">
        <w:rPr>
          <w:lang w:val="nl-NL"/>
        </w:rPr>
        <w:t>hoạt động</w:t>
      </w:r>
      <w:r w:rsidR="00B204BE" w:rsidRPr="006234AA">
        <w:rPr>
          <w:lang w:val="nl-NL"/>
        </w:rPr>
        <w:t xml:space="preserve"> </w:t>
      </w:r>
      <w:r w:rsidR="00CD0624" w:rsidRPr="006234AA">
        <w:rPr>
          <w:lang w:val="nl-NL"/>
        </w:rPr>
        <w:t xml:space="preserve">môi giới </w:t>
      </w:r>
      <w:r w:rsidR="009C78CA" w:rsidRPr="006234AA">
        <w:rPr>
          <w:lang w:val="nl-NL"/>
        </w:rPr>
        <w:t>chứng khoán phái sinh, thành viên giao dịch có trách nhiệm:</w:t>
      </w:r>
    </w:p>
    <w:p w:rsidR="00C86316" w:rsidRPr="006234AA" w:rsidRDefault="007870A9" w:rsidP="003C0546">
      <w:pPr>
        <w:spacing w:after="120"/>
        <w:rPr>
          <w:lang w:val="nl-NL"/>
        </w:rPr>
      </w:pPr>
      <w:r w:rsidRPr="006234AA">
        <w:rPr>
          <w:lang w:val="nl-NL"/>
        </w:rPr>
        <w:t xml:space="preserve">a) </w:t>
      </w:r>
      <w:r w:rsidR="00C86316" w:rsidRPr="006234AA">
        <w:rPr>
          <w:lang w:val="nl-NL"/>
        </w:rPr>
        <w:t xml:space="preserve"> Chỉ cho phép khách hàng thực hiện giao dịch trên tài khoản </w:t>
      </w:r>
      <w:r w:rsidR="001C05F2" w:rsidRPr="006234AA">
        <w:rPr>
          <w:lang w:val="nl-NL"/>
        </w:rPr>
        <w:t>giao dịch đã được</w:t>
      </w:r>
      <w:r w:rsidR="00C86316" w:rsidRPr="006234AA">
        <w:rPr>
          <w:lang w:val="nl-NL"/>
        </w:rPr>
        <w:t xml:space="preserve"> Trung tâm lưu ký chứng khoán cấp mã số định danh;</w:t>
      </w:r>
    </w:p>
    <w:p w:rsidR="00CD0624" w:rsidRPr="006234AA" w:rsidRDefault="00C86316" w:rsidP="003C0546">
      <w:pPr>
        <w:spacing w:after="120"/>
        <w:rPr>
          <w:lang w:val="nl-NL"/>
        </w:rPr>
      </w:pPr>
      <w:r w:rsidRPr="006234AA">
        <w:rPr>
          <w:lang w:val="nl-NL"/>
        </w:rPr>
        <w:t xml:space="preserve">b) </w:t>
      </w:r>
      <w:r w:rsidR="00AA1B93" w:rsidRPr="006234AA">
        <w:rPr>
          <w:lang w:val="nl-NL"/>
        </w:rPr>
        <w:t>Phối hợp với thành viên bù trừ kiểm tra,</w:t>
      </w:r>
      <w:r w:rsidR="007870A9" w:rsidRPr="006234AA">
        <w:rPr>
          <w:lang w:val="nl-NL"/>
        </w:rPr>
        <w:t xml:space="preserve"> bảo đảm khách hàng đã nộp ký quỹ đầy đủ</w:t>
      </w:r>
      <w:r w:rsidR="001D4DF3" w:rsidRPr="006234AA">
        <w:rPr>
          <w:lang w:val="nl-NL"/>
        </w:rPr>
        <w:t xml:space="preserve"> </w:t>
      </w:r>
      <w:r w:rsidR="007870A9" w:rsidRPr="006234AA">
        <w:rPr>
          <w:lang w:val="nl-NL"/>
        </w:rPr>
        <w:t>trước khi đặt lệnh giao dịch</w:t>
      </w:r>
      <w:r w:rsidR="00CD0624" w:rsidRPr="006234AA">
        <w:rPr>
          <w:lang w:val="nl-NL"/>
        </w:rPr>
        <w:t xml:space="preserve">; </w:t>
      </w:r>
    </w:p>
    <w:p w:rsidR="006D7B9B" w:rsidRPr="006234AA" w:rsidRDefault="00C86316" w:rsidP="003C0546">
      <w:pPr>
        <w:spacing w:after="120"/>
        <w:rPr>
          <w:lang w:val="nl-NL"/>
        </w:rPr>
      </w:pPr>
      <w:r w:rsidRPr="006234AA">
        <w:rPr>
          <w:lang w:val="nl-NL"/>
        </w:rPr>
        <w:t>c</w:t>
      </w:r>
      <w:r w:rsidR="009C78CA" w:rsidRPr="006234AA">
        <w:rPr>
          <w:lang w:val="nl-NL"/>
        </w:rPr>
        <w:t xml:space="preserve">) </w:t>
      </w:r>
      <w:r w:rsidR="006D7B9B" w:rsidRPr="006234AA">
        <w:rPr>
          <w:lang w:val="nl-NL"/>
        </w:rPr>
        <w:t>Hướng dẫn khách hàng đặt lệnh theo</w:t>
      </w:r>
      <w:r w:rsidR="009C78CA" w:rsidRPr="006234AA">
        <w:rPr>
          <w:lang w:val="nl-NL"/>
        </w:rPr>
        <w:t xml:space="preserve"> quy định của pháp luật. Lệnh của khách hàng phải được ghi nhận số thứ tự, được tiếp nhận với đầy đủ các thông tin sau: </w:t>
      </w:r>
    </w:p>
    <w:p w:rsidR="006D7B9B" w:rsidRPr="006234AA" w:rsidRDefault="006D7B9B" w:rsidP="003C0546">
      <w:pPr>
        <w:spacing w:after="120"/>
        <w:rPr>
          <w:lang w:val="nl-NL"/>
        </w:rPr>
      </w:pPr>
      <w:r w:rsidRPr="006234AA">
        <w:rPr>
          <w:lang w:val="nl-NL"/>
        </w:rPr>
        <w:t>- T</w:t>
      </w:r>
      <w:r w:rsidR="009C78CA" w:rsidRPr="006234AA">
        <w:rPr>
          <w:lang w:val="nl-NL"/>
        </w:rPr>
        <w:t xml:space="preserve">hông tin về khách hàng, thời điểm (ngày, giờ, phút) tiếp nhận lệnh, chuyển lệnh và thực hiện lệnh; </w:t>
      </w:r>
    </w:p>
    <w:p w:rsidR="006D7B9B" w:rsidRPr="006234AA" w:rsidRDefault="006D7B9B" w:rsidP="003C0546">
      <w:pPr>
        <w:spacing w:after="120"/>
        <w:rPr>
          <w:lang w:val="nl-NL"/>
        </w:rPr>
      </w:pPr>
      <w:r w:rsidRPr="006234AA">
        <w:rPr>
          <w:lang w:val="nl-NL"/>
        </w:rPr>
        <w:t>- N</w:t>
      </w:r>
      <w:r w:rsidR="009C78CA" w:rsidRPr="006234AA">
        <w:rPr>
          <w:lang w:val="nl-NL"/>
        </w:rPr>
        <w:t xml:space="preserve">gười đặt lệnh, nhân viên tiếp nhận lệnh, nhân viên chuyển lệnh, nhân viên thực hiện lệnh; </w:t>
      </w:r>
    </w:p>
    <w:p w:rsidR="009C78CA" w:rsidRPr="006234AA" w:rsidRDefault="006D7B9B" w:rsidP="003C0546">
      <w:pPr>
        <w:spacing w:after="120"/>
        <w:rPr>
          <w:lang w:val="nl-NL"/>
        </w:rPr>
      </w:pPr>
      <w:r w:rsidRPr="006234AA">
        <w:rPr>
          <w:lang w:val="nl-NL"/>
        </w:rPr>
        <w:t>- C</w:t>
      </w:r>
      <w:r w:rsidR="009C78CA" w:rsidRPr="006234AA">
        <w:rPr>
          <w:lang w:val="nl-NL"/>
        </w:rPr>
        <w:t xml:space="preserve">hi tiết hợp đồng (tài sản cơ sở, thời điểm đáo hạn, phương thức và hình thức thanh toán); loại lệnh giao dịch (mua, bán); vị thế giao dịch (mở/mở thêm vị thế; đóng vị thế); loại giao dịch (giao dịch phòng ngừa rủi ro, </w:t>
      </w:r>
      <w:r w:rsidR="007E7732" w:rsidRPr="006234AA">
        <w:rPr>
          <w:lang w:val="nl-NL"/>
        </w:rPr>
        <w:t>giao dịch hạn chế chênh lệch giá</w:t>
      </w:r>
      <w:r w:rsidR="009C78CA" w:rsidRPr="006234AA">
        <w:rPr>
          <w:lang w:val="nl-NL"/>
        </w:rPr>
        <w:t xml:space="preserve">, </w:t>
      </w:r>
      <w:r w:rsidR="009E748B" w:rsidRPr="006234AA">
        <w:rPr>
          <w:lang w:val="nl-NL"/>
        </w:rPr>
        <w:t xml:space="preserve">giao dịch bù trừ, </w:t>
      </w:r>
      <w:r w:rsidR="009C78CA" w:rsidRPr="006234AA">
        <w:rPr>
          <w:lang w:val="nl-NL"/>
        </w:rPr>
        <w:t xml:space="preserve">giao dịch thông thường); khối lượng giao dịch; loại lệnh và mức giá đặt; mức giá thực hiện và các thông tin khác theo yêu cầu của thành viên và của Sở giao dịch Chứng khoán, </w:t>
      </w:r>
      <w:r w:rsidR="008573AD" w:rsidRPr="006234AA">
        <w:rPr>
          <w:lang w:val="nl-NL"/>
        </w:rPr>
        <w:t>Trung tâm lưu ký chứng khoán</w:t>
      </w:r>
      <w:r w:rsidR="009C78CA" w:rsidRPr="006234AA">
        <w:rPr>
          <w:lang w:val="nl-NL"/>
        </w:rPr>
        <w:t>;</w:t>
      </w:r>
    </w:p>
    <w:p w:rsidR="009C78CA" w:rsidRPr="006234AA" w:rsidRDefault="009C78CA" w:rsidP="003C0546">
      <w:pPr>
        <w:spacing w:after="120"/>
        <w:rPr>
          <w:lang w:val="nl-NL"/>
        </w:rPr>
      </w:pPr>
      <w:r w:rsidRPr="006234AA">
        <w:rPr>
          <w:lang w:val="nl-NL"/>
        </w:rPr>
        <w:t xml:space="preserve">Trường hợp nhận lệnh giao dịch trực tuyến, qua điện thoại, qua fax và các đường truyền khác, </w:t>
      </w:r>
      <w:r w:rsidR="006D7B9B" w:rsidRPr="006234AA">
        <w:rPr>
          <w:lang w:val="nl-NL"/>
        </w:rPr>
        <w:t>nhân viên nhận lệnh</w:t>
      </w:r>
      <w:r w:rsidR="006C1879" w:rsidRPr="006234AA">
        <w:rPr>
          <w:lang w:val="nl-NL"/>
        </w:rPr>
        <w:t>,</w:t>
      </w:r>
      <w:r w:rsidR="006D7B9B" w:rsidRPr="006234AA">
        <w:rPr>
          <w:lang w:val="nl-NL"/>
        </w:rPr>
        <w:t xml:space="preserve"> </w:t>
      </w:r>
      <w:r w:rsidRPr="006234AA">
        <w:rPr>
          <w:lang w:val="nl-NL"/>
        </w:rPr>
        <w:t xml:space="preserve">thành viên giao dịch phải tuân thủ đầy đủ các quy định của pháp luật về giao dịch điện tử; ghi nhận lại đầy đủ thông tin </w:t>
      </w:r>
      <w:r w:rsidRPr="006234AA">
        <w:rPr>
          <w:lang w:val="nl-NL"/>
        </w:rPr>
        <w:lastRenderedPageBreak/>
        <w:t>tại thời điểm nhận lệnh; đảm bảo nguyên tắc xác nhận với khách hàng trước khi nhập lệnh vào hệ thống giao dịch và có biện pháp đảm bảo an toàn, an ninh đường truyền;</w:t>
      </w:r>
    </w:p>
    <w:p w:rsidR="009C78CA" w:rsidRPr="006234AA" w:rsidRDefault="009C78CA" w:rsidP="003C0546">
      <w:pPr>
        <w:spacing w:after="120"/>
        <w:rPr>
          <w:lang w:val="nl-NL"/>
        </w:rPr>
      </w:pPr>
      <w:r w:rsidRPr="006234AA">
        <w:rPr>
          <w:lang w:val="nl-NL"/>
        </w:rPr>
        <w:t xml:space="preserve">Mọi tài liệu, chứng từ, phiếu lệnh của khách hàng phải được lưu trữ trong thời gian </w:t>
      </w:r>
      <w:r w:rsidR="002A4D2F" w:rsidRPr="006234AA">
        <w:rPr>
          <w:lang w:val="nl-NL"/>
        </w:rPr>
        <w:t>mười</w:t>
      </w:r>
      <w:r w:rsidRPr="006234AA">
        <w:rPr>
          <w:lang w:val="nl-NL"/>
        </w:rPr>
        <w:t xml:space="preserve"> (</w:t>
      </w:r>
      <w:r w:rsidR="002A4D2F" w:rsidRPr="006234AA">
        <w:rPr>
          <w:lang w:val="nl-NL"/>
        </w:rPr>
        <w:t>10</w:t>
      </w:r>
      <w:r w:rsidRPr="006234AA">
        <w:rPr>
          <w:lang w:val="nl-NL"/>
        </w:rPr>
        <w:t>) năm; các bằng chứng chứng minh về việc đặt lệnh của khách hàng dưới hình thức ghi âm, ghi hình</w:t>
      </w:r>
      <w:r w:rsidR="0030573E" w:rsidRPr="006234AA">
        <w:rPr>
          <w:lang w:val="nl-NL"/>
        </w:rPr>
        <w:t xml:space="preserve"> </w:t>
      </w:r>
      <w:r w:rsidRPr="006234AA">
        <w:rPr>
          <w:lang w:val="nl-NL"/>
        </w:rPr>
        <w:t>phải được lưu trữ trong thời gian hai (2) năm;</w:t>
      </w:r>
    </w:p>
    <w:p w:rsidR="009C78CA" w:rsidRPr="006234AA" w:rsidRDefault="00C86316" w:rsidP="003C0546">
      <w:pPr>
        <w:spacing w:after="120"/>
        <w:rPr>
          <w:lang w:val="nl-NL"/>
        </w:rPr>
      </w:pPr>
      <w:r w:rsidRPr="006234AA">
        <w:rPr>
          <w:lang w:val="nl-NL"/>
        </w:rPr>
        <w:t>d</w:t>
      </w:r>
      <w:r w:rsidR="009C78CA" w:rsidRPr="006234AA">
        <w:rPr>
          <w:lang w:val="nl-NL"/>
        </w:rPr>
        <w:t xml:space="preserve">) </w:t>
      </w:r>
      <w:r w:rsidR="00CD0624" w:rsidRPr="006234AA">
        <w:rPr>
          <w:lang w:val="nl-NL"/>
        </w:rPr>
        <w:t>C</w:t>
      </w:r>
      <w:r w:rsidR="009C78CA" w:rsidRPr="006234AA">
        <w:rPr>
          <w:lang w:val="nl-NL"/>
        </w:rPr>
        <w:t xml:space="preserve">hỉ thực hiện lệnh của khách hàng khi lệnh giao dịch </w:t>
      </w:r>
      <w:r w:rsidR="00CD0624" w:rsidRPr="006234AA">
        <w:rPr>
          <w:lang w:val="nl-NL"/>
        </w:rPr>
        <w:t xml:space="preserve">đã </w:t>
      </w:r>
      <w:r w:rsidR="009C78CA" w:rsidRPr="006234AA">
        <w:rPr>
          <w:lang w:val="nl-NL"/>
        </w:rPr>
        <w:t xml:space="preserve">có đầy đủ các thông tin </w:t>
      </w:r>
      <w:r w:rsidR="006D7B9B" w:rsidRPr="006234AA">
        <w:rPr>
          <w:lang w:val="nl-NL"/>
        </w:rPr>
        <w:t xml:space="preserve">quy định tại điểm </w:t>
      </w:r>
      <w:r w:rsidR="001D4DF3" w:rsidRPr="006234AA">
        <w:rPr>
          <w:lang w:val="nl-NL"/>
        </w:rPr>
        <w:t>c</w:t>
      </w:r>
      <w:r w:rsidR="006D7B9B" w:rsidRPr="006234AA">
        <w:rPr>
          <w:lang w:val="nl-NL"/>
        </w:rPr>
        <w:t xml:space="preserve"> khoản này</w:t>
      </w:r>
      <w:r w:rsidR="009C78CA" w:rsidRPr="006234AA">
        <w:rPr>
          <w:lang w:val="nl-NL"/>
        </w:rPr>
        <w:t>. Lệnh phải được nhập và chuyển vào hệ thống để thực hiện ngay sau khi tiếp nhận;</w:t>
      </w:r>
    </w:p>
    <w:p w:rsidR="009C78CA" w:rsidRPr="006234AA" w:rsidRDefault="001D4DF3" w:rsidP="003C0546">
      <w:pPr>
        <w:spacing w:after="120"/>
        <w:rPr>
          <w:lang w:val="nl-NL"/>
        </w:rPr>
      </w:pPr>
      <w:r w:rsidRPr="006234AA">
        <w:rPr>
          <w:lang w:val="nl-NL"/>
        </w:rPr>
        <w:t>Theo yêu cầu của thành viên bù trừ, thành viên giao dịch có quyền t</w:t>
      </w:r>
      <w:r w:rsidR="00CD0624" w:rsidRPr="006234AA">
        <w:rPr>
          <w:lang w:val="nl-NL"/>
        </w:rPr>
        <w:t>ừ chối nhận lệnh hoặc chuyển lệnh để</w:t>
      </w:r>
      <w:r w:rsidR="006D7B9B" w:rsidRPr="006234AA">
        <w:rPr>
          <w:lang w:val="nl-NL"/>
        </w:rPr>
        <w:t xml:space="preserve"> </w:t>
      </w:r>
      <w:r w:rsidR="007870A9" w:rsidRPr="006234AA">
        <w:rPr>
          <w:lang w:val="nl-NL"/>
        </w:rPr>
        <w:t>thực hiện trong trường hợp</w:t>
      </w:r>
      <w:r w:rsidR="006D7B9B" w:rsidRPr="006234AA">
        <w:rPr>
          <w:lang w:val="nl-NL"/>
        </w:rPr>
        <w:t xml:space="preserve"> </w:t>
      </w:r>
      <w:r w:rsidR="009C78CA" w:rsidRPr="006234AA">
        <w:rPr>
          <w:lang w:val="nl-NL"/>
        </w:rPr>
        <w:t xml:space="preserve">vị thế mở của một khách hàng hoặc một nhóm khách hàng có liên quan </w:t>
      </w:r>
      <w:r w:rsidR="007870A9" w:rsidRPr="006234AA">
        <w:rPr>
          <w:lang w:val="nl-NL"/>
        </w:rPr>
        <w:t xml:space="preserve">vượt quá </w:t>
      </w:r>
      <w:r w:rsidR="00E355F6" w:rsidRPr="006234AA">
        <w:rPr>
          <w:lang w:val="nl-NL"/>
        </w:rPr>
        <w:t xml:space="preserve">các hạn mức đã được quy định tại hợp đồng mở tài khoản hoặc hợp đồng ủy thác </w:t>
      </w:r>
      <w:r w:rsidR="00666F37" w:rsidRPr="006234AA">
        <w:rPr>
          <w:lang w:val="nl-NL"/>
        </w:rPr>
        <w:t>bù trừ, thanh toán</w:t>
      </w:r>
      <w:r w:rsidRPr="006234AA">
        <w:rPr>
          <w:lang w:val="nl-NL"/>
        </w:rPr>
        <w:t>.</w:t>
      </w:r>
      <w:r w:rsidR="007870A9" w:rsidRPr="006234AA">
        <w:rPr>
          <w:lang w:val="nl-NL"/>
        </w:rPr>
        <w:t xml:space="preserve"> </w:t>
      </w:r>
      <w:r w:rsidR="00E355F6" w:rsidRPr="006234AA">
        <w:rPr>
          <w:lang w:val="nl-NL"/>
        </w:rPr>
        <w:t>Trường hợp từ chối, t</w:t>
      </w:r>
      <w:r w:rsidR="00CD0624" w:rsidRPr="006234AA">
        <w:rPr>
          <w:lang w:val="nl-NL"/>
        </w:rPr>
        <w:t xml:space="preserve">hành viên </w:t>
      </w:r>
      <w:r w:rsidR="00E03EC7" w:rsidRPr="006234AA">
        <w:rPr>
          <w:lang w:val="nl-NL"/>
        </w:rPr>
        <w:t>giao dịch</w:t>
      </w:r>
      <w:r w:rsidR="00CD0624" w:rsidRPr="006234AA">
        <w:rPr>
          <w:lang w:val="nl-NL"/>
        </w:rPr>
        <w:t xml:space="preserve"> có trách nhiệm </w:t>
      </w:r>
      <w:r w:rsidR="00E355F6" w:rsidRPr="006234AA">
        <w:rPr>
          <w:lang w:val="nl-NL"/>
        </w:rPr>
        <w:t xml:space="preserve">trả lời </w:t>
      </w:r>
      <w:r w:rsidR="00CD0624" w:rsidRPr="006234AA">
        <w:rPr>
          <w:lang w:val="nl-NL"/>
        </w:rPr>
        <w:t>và nêu rõ lý do;</w:t>
      </w:r>
      <w:r w:rsidR="007870A9" w:rsidRPr="006234AA">
        <w:rPr>
          <w:lang w:val="nl-NL"/>
        </w:rPr>
        <w:t xml:space="preserve"> </w:t>
      </w:r>
    </w:p>
    <w:p w:rsidR="00CD0624" w:rsidRPr="006234AA" w:rsidRDefault="001C7DCD" w:rsidP="003C0546">
      <w:pPr>
        <w:spacing w:after="120"/>
        <w:rPr>
          <w:lang w:val="nl-NL"/>
        </w:rPr>
      </w:pPr>
      <w:r w:rsidRPr="006234AA">
        <w:rPr>
          <w:lang w:val="nl-NL"/>
        </w:rPr>
        <w:t>đ</w:t>
      </w:r>
      <w:r w:rsidR="00817EBA" w:rsidRPr="006234AA">
        <w:rPr>
          <w:lang w:val="nl-NL"/>
        </w:rPr>
        <w:t>)</w:t>
      </w:r>
      <w:r w:rsidRPr="006234AA">
        <w:rPr>
          <w:lang w:val="nl-NL"/>
        </w:rPr>
        <w:t xml:space="preserve"> X</w:t>
      </w:r>
      <w:r w:rsidR="00CD0624" w:rsidRPr="006234AA">
        <w:rPr>
          <w:lang w:val="nl-NL"/>
        </w:rPr>
        <w:t xml:space="preserve">ác nhận kết quả giao dịch cho khách hàng theo quy định tại khoản 1 Điều </w:t>
      </w:r>
      <w:r w:rsidR="00725BB2" w:rsidRPr="006234AA">
        <w:rPr>
          <w:lang w:val="nl-NL"/>
        </w:rPr>
        <w:t>54</w:t>
      </w:r>
      <w:r w:rsidR="00CD0624" w:rsidRPr="006234AA">
        <w:rPr>
          <w:lang w:val="nl-NL"/>
        </w:rPr>
        <w:t xml:space="preserve"> Thông tư này</w:t>
      </w:r>
      <w:r w:rsidR="00E355F6" w:rsidRPr="006234AA">
        <w:rPr>
          <w:lang w:val="nl-NL"/>
        </w:rPr>
        <w:t>;</w:t>
      </w:r>
    </w:p>
    <w:p w:rsidR="009C78CA" w:rsidRPr="006234AA" w:rsidRDefault="00C86316" w:rsidP="003C0546">
      <w:pPr>
        <w:spacing w:after="120"/>
        <w:rPr>
          <w:lang w:val="nl-NL"/>
        </w:rPr>
      </w:pPr>
      <w:r w:rsidRPr="006234AA">
        <w:rPr>
          <w:lang w:val="nl-NL"/>
        </w:rPr>
        <w:t>f</w:t>
      </w:r>
      <w:r w:rsidR="009C78CA" w:rsidRPr="006234AA">
        <w:rPr>
          <w:lang w:val="nl-NL"/>
        </w:rPr>
        <w:t xml:space="preserve">) </w:t>
      </w:r>
      <w:r w:rsidR="006B6050" w:rsidRPr="006234AA">
        <w:rPr>
          <w:lang w:val="nl-NL"/>
        </w:rPr>
        <w:t>B</w:t>
      </w:r>
      <w:r w:rsidR="009C78CA" w:rsidRPr="006234AA">
        <w:rPr>
          <w:lang w:val="nl-NL"/>
        </w:rPr>
        <w:t xml:space="preserve">ố trí người hành nghề chứng khoán </w:t>
      </w:r>
      <w:r w:rsidR="006C054B" w:rsidRPr="006234AA">
        <w:rPr>
          <w:lang w:val="nl-NL"/>
        </w:rPr>
        <w:t>đáp ứng quy định tại Khoản 3 Điều 28 Thông tư này</w:t>
      </w:r>
      <w:r w:rsidR="009C78CA" w:rsidRPr="006234AA">
        <w:rPr>
          <w:lang w:val="nl-NL"/>
        </w:rPr>
        <w:t xml:space="preserve"> tại các vị trí </w:t>
      </w:r>
      <w:r w:rsidR="007870A9" w:rsidRPr="006234AA">
        <w:rPr>
          <w:lang w:val="nl-NL"/>
        </w:rPr>
        <w:t xml:space="preserve">môi giới chứng khoán phái sinh, tư vấn đầu tư chứng khoán phái sinh, kể cả nhân viên </w:t>
      </w:r>
      <w:r w:rsidR="009C78CA" w:rsidRPr="006234AA">
        <w:rPr>
          <w:lang w:val="nl-NL"/>
        </w:rPr>
        <w:t xml:space="preserve">tư vấn, giải thích hợp đồng và </w:t>
      </w:r>
      <w:r w:rsidR="006C054B" w:rsidRPr="006234AA">
        <w:rPr>
          <w:lang w:val="nl-NL"/>
        </w:rPr>
        <w:t>làm</w:t>
      </w:r>
      <w:r w:rsidR="009C78CA" w:rsidRPr="006234AA">
        <w:rPr>
          <w:lang w:val="nl-NL"/>
        </w:rPr>
        <w:t xml:space="preserve"> thủ tục mở tài khoản giao dịch chứng khoán cho khách hàng</w:t>
      </w:r>
      <w:r w:rsidR="00683666" w:rsidRPr="006234AA">
        <w:rPr>
          <w:lang w:val="nl-NL"/>
        </w:rPr>
        <w:t>.</w:t>
      </w:r>
    </w:p>
    <w:p w:rsidR="009C78CA" w:rsidRPr="006234AA" w:rsidRDefault="00BA6486" w:rsidP="003C0546">
      <w:pPr>
        <w:spacing w:after="120"/>
        <w:rPr>
          <w:lang w:val="nl-NL"/>
        </w:rPr>
      </w:pPr>
      <w:r w:rsidRPr="006234AA">
        <w:rPr>
          <w:lang w:val="nl-NL"/>
        </w:rPr>
        <w:t>3</w:t>
      </w:r>
      <w:r w:rsidR="009C78CA" w:rsidRPr="006234AA">
        <w:rPr>
          <w:lang w:val="nl-NL"/>
        </w:rPr>
        <w:t xml:space="preserve">. </w:t>
      </w:r>
      <w:r w:rsidR="00DB1FC0" w:rsidRPr="006234AA">
        <w:rPr>
          <w:lang w:val="nl-NL"/>
        </w:rPr>
        <w:t>Nhân viên của thành viên giao dịch</w:t>
      </w:r>
      <w:r w:rsidR="009C78CA" w:rsidRPr="006234AA">
        <w:rPr>
          <w:lang w:val="nl-NL"/>
        </w:rPr>
        <w:t xml:space="preserve"> chỉ được mở tài khoản giao dịch chứng khoán phái sinh tại chính thành viên giao dịch</w:t>
      </w:r>
      <w:r w:rsidR="00DB1FC0" w:rsidRPr="006234AA">
        <w:rPr>
          <w:lang w:val="nl-NL"/>
        </w:rPr>
        <w:t xml:space="preserve"> đó</w:t>
      </w:r>
      <w:r w:rsidR="009C78CA" w:rsidRPr="006234AA">
        <w:rPr>
          <w:lang w:val="nl-NL"/>
        </w:rPr>
        <w:t>. Hoạt động giao dịch của các cá nhân nêu trên phải được báo cáo bộ phận kiểm soát nội bộ trước và sau khi thực hiện. Bộ phận kiểm soát nội bộ chỉ cho phép thực hiện các giao dịch nêu trên nếu không phát sinh xung đột lợi ích với các giao dịch của khách hàng. Thông tin chi tiết về giao dịch, tài khoản giao dịch, văn bản chấp thuận cho phép thực hiện giao dịch (trước khi thực hiện), phải được lưu giữ tại bộ phận kiểm soát nội bộ</w:t>
      </w:r>
      <w:r w:rsidR="00D204C0" w:rsidRPr="006234AA">
        <w:rPr>
          <w:lang w:val="nl-NL"/>
        </w:rPr>
        <w:t xml:space="preserve"> và cung cấp cho cơ quan quản lý nhà nước có thẩm quyền khi có yêu cầu</w:t>
      </w:r>
      <w:r w:rsidR="009C78CA" w:rsidRPr="006234AA">
        <w:rPr>
          <w:lang w:val="nl-NL"/>
        </w:rPr>
        <w:t>.</w:t>
      </w:r>
    </w:p>
    <w:p w:rsidR="009C78CA" w:rsidRPr="006234AA" w:rsidRDefault="00BA6486" w:rsidP="003C0546">
      <w:pPr>
        <w:spacing w:after="120"/>
        <w:rPr>
          <w:lang w:val="nl-NL"/>
        </w:rPr>
      </w:pPr>
      <w:r w:rsidRPr="006234AA">
        <w:rPr>
          <w:lang w:val="nl-NL"/>
        </w:rPr>
        <w:t>4</w:t>
      </w:r>
      <w:r w:rsidR="009C78CA" w:rsidRPr="006234AA">
        <w:rPr>
          <w:lang w:val="nl-NL"/>
        </w:rPr>
        <w:t xml:space="preserve">. </w:t>
      </w:r>
      <w:r w:rsidR="000A7997" w:rsidRPr="006234AA">
        <w:rPr>
          <w:lang w:val="nl-NL"/>
        </w:rPr>
        <w:t>Trong</w:t>
      </w:r>
      <w:r w:rsidR="009C78CA" w:rsidRPr="006234AA">
        <w:rPr>
          <w:lang w:val="nl-NL"/>
        </w:rPr>
        <w:t xml:space="preserve"> hoạt động tự doanh, thành viên giao dịch </w:t>
      </w:r>
      <w:r w:rsidR="000A7997" w:rsidRPr="006234AA">
        <w:rPr>
          <w:lang w:val="nl-NL"/>
        </w:rPr>
        <w:t>có trách nhiệm</w:t>
      </w:r>
      <w:r w:rsidR="009C78CA" w:rsidRPr="006234AA">
        <w:rPr>
          <w:lang w:val="nl-NL"/>
        </w:rPr>
        <w:t>:</w:t>
      </w:r>
    </w:p>
    <w:p w:rsidR="009C78CA" w:rsidRPr="006234AA" w:rsidRDefault="009C78CA" w:rsidP="003C0546">
      <w:pPr>
        <w:spacing w:after="120"/>
        <w:rPr>
          <w:lang w:val="nl-NL"/>
        </w:rPr>
      </w:pPr>
      <w:r w:rsidRPr="006234AA">
        <w:rPr>
          <w:lang w:val="nl-NL"/>
        </w:rPr>
        <w:t xml:space="preserve">a) </w:t>
      </w:r>
      <w:r w:rsidR="00D204C0" w:rsidRPr="006234AA">
        <w:rPr>
          <w:lang w:val="nl-NL"/>
        </w:rPr>
        <w:t>Trường hợp là t</w:t>
      </w:r>
      <w:r w:rsidRPr="006234AA">
        <w:rPr>
          <w:lang w:val="nl-NL"/>
        </w:rPr>
        <w:t xml:space="preserve">hành viên </w:t>
      </w:r>
      <w:r w:rsidR="000A7997" w:rsidRPr="006234AA">
        <w:rPr>
          <w:lang w:val="nl-NL"/>
        </w:rPr>
        <w:t>không bù trừ</w:t>
      </w:r>
      <w:r w:rsidR="00D204C0" w:rsidRPr="006234AA">
        <w:rPr>
          <w:lang w:val="nl-NL"/>
        </w:rPr>
        <w:t>, thì phải</w:t>
      </w:r>
      <w:r w:rsidR="000A7997" w:rsidRPr="006234AA">
        <w:rPr>
          <w:lang w:val="nl-NL"/>
        </w:rPr>
        <w:t xml:space="preserve"> thực hiện</w:t>
      </w:r>
      <w:r w:rsidRPr="006234AA">
        <w:rPr>
          <w:lang w:val="nl-NL"/>
        </w:rPr>
        <w:t xml:space="preserve"> ký quỹ đầy đủ, kịp thời theo hướng dẫn của thành viên bù trừ;</w:t>
      </w:r>
    </w:p>
    <w:p w:rsidR="00B72A59" w:rsidRPr="006234AA" w:rsidRDefault="009C78CA" w:rsidP="003C0546">
      <w:pPr>
        <w:spacing w:after="120"/>
        <w:rPr>
          <w:lang w:val="nl-NL"/>
        </w:rPr>
      </w:pPr>
      <w:r w:rsidRPr="006234AA">
        <w:rPr>
          <w:lang w:val="nl-NL"/>
        </w:rPr>
        <w:t>b) Tách biệt giữa bộ phận tự doanh</w:t>
      </w:r>
      <w:r w:rsidR="001A4358" w:rsidRPr="006234AA">
        <w:rPr>
          <w:lang w:val="nl-NL"/>
        </w:rPr>
        <w:t>, bộ phận tạo lập thị trường (nếu có)</w:t>
      </w:r>
      <w:r w:rsidRPr="006234AA">
        <w:rPr>
          <w:lang w:val="nl-NL"/>
        </w:rPr>
        <w:t xml:space="preserve"> với bộ phận môi giới và bộ phận tư vấn đầu tư</w:t>
      </w:r>
      <w:r w:rsidR="00B72A59" w:rsidRPr="006234AA">
        <w:rPr>
          <w:lang w:val="nl-NL"/>
        </w:rPr>
        <w:t xml:space="preserve"> theo nguyên tắc:</w:t>
      </w:r>
      <w:r w:rsidRPr="006234AA">
        <w:rPr>
          <w:lang w:val="nl-NL"/>
        </w:rPr>
        <w:t xml:space="preserve"> </w:t>
      </w:r>
    </w:p>
    <w:p w:rsidR="00B72A59" w:rsidRPr="006234AA" w:rsidRDefault="00B72A59" w:rsidP="003C0546">
      <w:pPr>
        <w:spacing w:after="120"/>
        <w:rPr>
          <w:lang w:val="nl-NL"/>
        </w:rPr>
      </w:pPr>
      <w:r w:rsidRPr="006234AA">
        <w:rPr>
          <w:lang w:val="nl-NL"/>
        </w:rPr>
        <w:t>- N</w:t>
      </w:r>
      <w:r w:rsidR="009C78CA" w:rsidRPr="006234AA">
        <w:rPr>
          <w:lang w:val="nl-NL"/>
        </w:rPr>
        <w:t xml:space="preserve">hân viên tiếp nhận lệnh </w:t>
      </w:r>
      <w:r w:rsidRPr="006234AA">
        <w:rPr>
          <w:lang w:val="nl-NL"/>
        </w:rPr>
        <w:t xml:space="preserve">môi giới </w:t>
      </w:r>
      <w:r w:rsidR="009C78CA" w:rsidRPr="006234AA">
        <w:rPr>
          <w:lang w:val="nl-NL"/>
        </w:rPr>
        <w:t>không được tiếp nhận và thực hiện lệnh tự doanh</w:t>
      </w:r>
      <w:r w:rsidR="001A4358" w:rsidRPr="006234AA">
        <w:rPr>
          <w:lang w:val="nl-NL"/>
        </w:rPr>
        <w:t>, lệnh tạo lập thị trường</w:t>
      </w:r>
      <w:r w:rsidR="009C78CA" w:rsidRPr="006234AA">
        <w:rPr>
          <w:lang w:val="nl-NL"/>
        </w:rPr>
        <w:t xml:space="preserve">; </w:t>
      </w:r>
    </w:p>
    <w:p w:rsidR="00B72A59" w:rsidRPr="006234AA" w:rsidRDefault="00B72A59" w:rsidP="003C0546">
      <w:pPr>
        <w:spacing w:after="120"/>
        <w:rPr>
          <w:lang w:val="nl-NL"/>
        </w:rPr>
      </w:pPr>
      <w:r w:rsidRPr="006234AA">
        <w:rPr>
          <w:lang w:val="nl-NL"/>
        </w:rPr>
        <w:lastRenderedPageBreak/>
        <w:t>- L</w:t>
      </w:r>
      <w:r w:rsidR="009C78CA" w:rsidRPr="006234AA">
        <w:rPr>
          <w:lang w:val="nl-NL"/>
        </w:rPr>
        <w:t xml:space="preserve">ệnh </w:t>
      </w:r>
      <w:r w:rsidR="00761676" w:rsidRPr="006234AA">
        <w:rPr>
          <w:lang w:val="nl-NL"/>
        </w:rPr>
        <w:t>môi giới</w:t>
      </w:r>
      <w:r w:rsidR="00AC5B28" w:rsidRPr="006234AA">
        <w:rPr>
          <w:lang w:val="nl-NL"/>
        </w:rPr>
        <w:t xml:space="preserve"> và</w:t>
      </w:r>
      <w:r w:rsidR="009C78CA" w:rsidRPr="006234AA">
        <w:rPr>
          <w:lang w:val="nl-NL"/>
        </w:rPr>
        <w:t xml:space="preserve"> lệnh tự doanh</w:t>
      </w:r>
      <w:r w:rsidR="00AC5B28" w:rsidRPr="006234AA">
        <w:rPr>
          <w:lang w:val="nl-NL"/>
        </w:rPr>
        <w:t>, lệnh tạo lập thị trường</w:t>
      </w:r>
      <w:r w:rsidR="009C78CA" w:rsidRPr="006234AA">
        <w:rPr>
          <w:lang w:val="nl-NL"/>
        </w:rPr>
        <w:t xml:space="preserve"> phải được</w:t>
      </w:r>
      <w:r w:rsidR="00761676" w:rsidRPr="006234AA">
        <w:rPr>
          <w:lang w:val="nl-NL"/>
        </w:rPr>
        <w:t xml:space="preserve"> quản lý</w:t>
      </w:r>
      <w:r w:rsidR="009C78CA" w:rsidRPr="006234AA">
        <w:rPr>
          <w:lang w:val="nl-NL"/>
        </w:rPr>
        <w:t xml:space="preserve"> </w:t>
      </w:r>
      <w:r w:rsidR="00761676" w:rsidRPr="006234AA">
        <w:rPr>
          <w:lang w:val="nl-NL"/>
        </w:rPr>
        <w:t xml:space="preserve">và </w:t>
      </w:r>
      <w:r w:rsidR="009C78CA" w:rsidRPr="006234AA">
        <w:rPr>
          <w:lang w:val="nl-NL"/>
        </w:rPr>
        <w:t>thực hiện tách biệt</w:t>
      </w:r>
      <w:r w:rsidRPr="006234AA">
        <w:rPr>
          <w:lang w:val="nl-NL"/>
        </w:rPr>
        <w:t>. Trường hợp</w:t>
      </w:r>
      <w:r w:rsidR="0079230D" w:rsidRPr="006234AA">
        <w:rPr>
          <w:lang w:val="nl-NL"/>
        </w:rPr>
        <w:t xml:space="preserve"> </w:t>
      </w:r>
      <w:r w:rsidR="007212E7" w:rsidRPr="006234AA">
        <w:rPr>
          <w:lang w:val="nl-NL"/>
        </w:rPr>
        <w:t>cùng mua hoặc cùng bán một loại chứng khoán phái sinh</w:t>
      </w:r>
      <w:r w:rsidR="0079230D" w:rsidRPr="006234AA">
        <w:rPr>
          <w:lang w:val="nl-NL"/>
        </w:rPr>
        <w:t xml:space="preserve">, thành viên </w:t>
      </w:r>
      <w:r w:rsidRPr="006234AA">
        <w:rPr>
          <w:lang w:val="nl-NL"/>
        </w:rPr>
        <w:t xml:space="preserve">giao dịch </w:t>
      </w:r>
      <w:r w:rsidR="0079230D" w:rsidRPr="006234AA">
        <w:rPr>
          <w:lang w:val="nl-NL"/>
        </w:rPr>
        <w:t xml:space="preserve"> phải ưu tiên </w:t>
      </w:r>
      <w:r w:rsidR="00DF0BBF" w:rsidRPr="006234AA">
        <w:rPr>
          <w:lang w:val="nl-NL"/>
        </w:rPr>
        <w:t xml:space="preserve">thực hiện </w:t>
      </w:r>
      <w:r w:rsidRPr="006234AA">
        <w:rPr>
          <w:lang w:val="nl-NL"/>
        </w:rPr>
        <w:t xml:space="preserve">lệnh </w:t>
      </w:r>
      <w:r w:rsidR="00761676" w:rsidRPr="006234AA">
        <w:rPr>
          <w:lang w:val="nl-NL"/>
        </w:rPr>
        <w:t xml:space="preserve">môi giới </w:t>
      </w:r>
      <w:r w:rsidRPr="006234AA">
        <w:rPr>
          <w:lang w:val="nl-NL"/>
        </w:rPr>
        <w:t>trước lệnh tự doanh</w:t>
      </w:r>
      <w:r w:rsidR="007212E7" w:rsidRPr="006234AA">
        <w:rPr>
          <w:lang w:val="nl-NL"/>
        </w:rPr>
        <w:t>,</w:t>
      </w:r>
      <w:r w:rsidR="001A4358" w:rsidRPr="006234AA">
        <w:rPr>
          <w:lang w:val="nl-NL"/>
        </w:rPr>
        <w:t xml:space="preserve"> lệnh tạo lập thị trường</w:t>
      </w:r>
      <w:r w:rsidR="007212E7" w:rsidRPr="006234AA">
        <w:rPr>
          <w:lang w:val="nl-NL"/>
        </w:rPr>
        <w:t xml:space="preserve"> trừ trường hợp </w:t>
      </w:r>
      <w:r w:rsidR="00761676" w:rsidRPr="006234AA">
        <w:rPr>
          <w:lang w:val="nl-NL"/>
        </w:rPr>
        <w:t xml:space="preserve">hệ thống tiếp nhận và xử lý </w:t>
      </w:r>
      <w:r w:rsidR="007212E7" w:rsidRPr="006234AA">
        <w:rPr>
          <w:lang w:val="nl-NL"/>
        </w:rPr>
        <w:t xml:space="preserve">lệnh </w:t>
      </w:r>
      <w:r w:rsidR="00761676" w:rsidRPr="006234AA">
        <w:rPr>
          <w:lang w:val="nl-NL"/>
        </w:rPr>
        <w:t>môi giới</w:t>
      </w:r>
      <w:r w:rsidR="007212E7" w:rsidRPr="006234AA">
        <w:rPr>
          <w:lang w:val="nl-NL"/>
        </w:rPr>
        <w:t xml:space="preserve"> tách biệt với </w:t>
      </w:r>
      <w:r w:rsidR="00761676" w:rsidRPr="006234AA">
        <w:rPr>
          <w:lang w:val="nl-NL"/>
        </w:rPr>
        <w:t xml:space="preserve">hệ thống tiếp nhận và xử lý </w:t>
      </w:r>
      <w:r w:rsidR="007212E7" w:rsidRPr="006234AA">
        <w:rPr>
          <w:lang w:val="nl-NL"/>
        </w:rPr>
        <w:t>lệnh tự doanh</w:t>
      </w:r>
      <w:r w:rsidR="001A4358" w:rsidRPr="006234AA">
        <w:rPr>
          <w:lang w:val="nl-NL"/>
        </w:rPr>
        <w:t>, lệnh tạo lập thị trường</w:t>
      </w:r>
      <w:r w:rsidR="007212E7" w:rsidRPr="006234AA">
        <w:rPr>
          <w:lang w:val="nl-NL"/>
        </w:rPr>
        <w:t>;</w:t>
      </w:r>
      <w:r w:rsidRPr="006234AA">
        <w:rPr>
          <w:lang w:val="nl-NL"/>
        </w:rPr>
        <w:t xml:space="preserve"> </w:t>
      </w:r>
    </w:p>
    <w:p w:rsidR="009C78CA" w:rsidRPr="006234AA" w:rsidRDefault="00B72A59" w:rsidP="003C0546">
      <w:pPr>
        <w:spacing w:after="120"/>
        <w:rPr>
          <w:lang w:val="nl-NL"/>
        </w:rPr>
      </w:pPr>
      <w:r w:rsidRPr="006234AA">
        <w:rPr>
          <w:lang w:val="nl-NL"/>
        </w:rPr>
        <w:t xml:space="preserve">- </w:t>
      </w:r>
      <w:r w:rsidR="009C78CA" w:rsidRPr="006234AA">
        <w:rPr>
          <w:lang w:val="nl-NL"/>
        </w:rPr>
        <w:t>Vị thế mở trên tài khoản tự doanh</w:t>
      </w:r>
      <w:r w:rsidR="001A4358" w:rsidRPr="006234AA">
        <w:rPr>
          <w:lang w:val="nl-NL"/>
        </w:rPr>
        <w:t>, tài khoản tạo lập thị trường</w:t>
      </w:r>
      <w:r w:rsidR="009C78CA" w:rsidRPr="006234AA">
        <w:rPr>
          <w:lang w:val="nl-NL"/>
        </w:rPr>
        <w:t xml:space="preserve"> không được sử dụng để bù trừ các vị thế mở trên tài khoản của khách hàng, trừ trường hợp theo yêu cầu của Sở giao dịch chứng khoán, </w:t>
      </w:r>
      <w:r w:rsidR="008573AD" w:rsidRPr="006234AA">
        <w:rPr>
          <w:lang w:val="nl-NL"/>
        </w:rPr>
        <w:t>Trung tâm lưu ký chứng khoán</w:t>
      </w:r>
      <w:r w:rsidR="009C78CA" w:rsidRPr="006234AA">
        <w:rPr>
          <w:lang w:val="nl-NL"/>
        </w:rPr>
        <w:t>;</w:t>
      </w:r>
    </w:p>
    <w:p w:rsidR="009C78CA" w:rsidRPr="006234AA" w:rsidRDefault="009C78CA" w:rsidP="003C0546">
      <w:pPr>
        <w:spacing w:after="120"/>
        <w:rPr>
          <w:lang w:val="nl-NL"/>
        </w:rPr>
      </w:pPr>
      <w:r w:rsidRPr="006234AA">
        <w:rPr>
          <w:lang w:val="nl-NL"/>
        </w:rPr>
        <w:t xml:space="preserve">c) </w:t>
      </w:r>
      <w:r w:rsidR="00E355F6" w:rsidRPr="006234AA">
        <w:rPr>
          <w:lang w:val="nl-NL"/>
        </w:rPr>
        <w:t xml:space="preserve"> </w:t>
      </w:r>
      <w:r w:rsidRPr="006234AA">
        <w:rPr>
          <w:lang w:val="nl-NL"/>
        </w:rPr>
        <w:t xml:space="preserve">Lưu giữ đầy đủ, kịp thời </w:t>
      </w:r>
      <w:r w:rsidR="008E4E59" w:rsidRPr="006234AA">
        <w:rPr>
          <w:lang w:val="nl-NL"/>
        </w:rPr>
        <w:t xml:space="preserve">và quản lý </w:t>
      </w:r>
      <w:r w:rsidRPr="006234AA">
        <w:rPr>
          <w:lang w:val="nl-NL"/>
        </w:rPr>
        <w:t>mọi chứng từ, phiếu lệnh, tài liệu kể cả các báo cáo phân tích và quyết định đầu tư, liên quan tới hoạt động tự doanh;</w:t>
      </w:r>
    </w:p>
    <w:p w:rsidR="009372E4" w:rsidRPr="006234AA" w:rsidRDefault="001A4358" w:rsidP="003C0546">
      <w:pPr>
        <w:spacing w:after="120"/>
        <w:rPr>
          <w:lang w:val="nl-NL"/>
        </w:rPr>
      </w:pPr>
      <w:r w:rsidRPr="006234AA">
        <w:rPr>
          <w:lang w:val="nl-NL"/>
        </w:rPr>
        <w:t>d</w:t>
      </w:r>
      <w:r w:rsidR="009C78CA" w:rsidRPr="006234AA">
        <w:rPr>
          <w:lang w:val="nl-NL"/>
        </w:rPr>
        <w:t xml:space="preserve">) </w:t>
      </w:r>
      <w:r w:rsidR="009372E4" w:rsidRPr="006234AA">
        <w:rPr>
          <w:lang w:val="nl-NL"/>
        </w:rPr>
        <w:t xml:space="preserve">Tại mọi thời điểm, tổng giá trị </w:t>
      </w:r>
      <w:r w:rsidR="00274D1A" w:rsidRPr="006234AA">
        <w:rPr>
          <w:lang w:val="nl-NL"/>
        </w:rPr>
        <w:t xml:space="preserve">cam kết từ </w:t>
      </w:r>
      <w:r w:rsidR="009372E4" w:rsidRPr="006234AA">
        <w:rPr>
          <w:lang w:val="nl-NL"/>
        </w:rPr>
        <w:t>vị thế mở tự doanh của thành viên giao dịch không được vượt quá 30% vốn chủ sở hữu.</w:t>
      </w:r>
      <w:r w:rsidR="00274D1A" w:rsidRPr="006234AA">
        <w:rPr>
          <w:lang w:val="nl-NL"/>
        </w:rPr>
        <w:t xml:space="preserve"> Phương thức tính giá trị cam kết thực hiện theo Phụ lục số</w:t>
      </w:r>
      <w:r w:rsidR="005B0C8B" w:rsidRPr="006234AA">
        <w:rPr>
          <w:lang w:val="nl-NL"/>
        </w:rPr>
        <w:t xml:space="preserve"> 09 </w:t>
      </w:r>
      <w:r w:rsidR="00274D1A" w:rsidRPr="006234AA">
        <w:rPr>
          <w:lang w:val="nl-NL"/>
        </w:rPr>
        <w:t xml:space="preserve">ban hành kèm theo Thông tư này. </w:t>
      </w:r>
    </w:p>
    <w:p w:rsidR="009C78CA" w:rsidRPr="006234AA" w:rsidRDefault="00BA6486" w:rsidP="003C0546">
      <w:pPr>
        <w:spacing w:after="120"/>
        <w:rPr>
          <w:lang w:val="nl-NL"/>
        </w:rPr>
      </w:pPr>
      <w:r w:rsidRPr="006234AA">
        <w:rPr>
          <w:lang w:val="nl-NL"/>
        </w:rPr>
        <w:t>5</w:t>
      </w:r>
      <w:r w:rsidR="009C78CA" w:rsidRPr="006234AA">
        <w:rPr>
          <w:lang w:val="nl-NL"/>
        </w:rPr>
        <w:t xml:space="preserve">. Thành viên giao dịch phải tạm ngừng </w:t>
      </w:r>
      <w:r w:rsidR="00BE1DDC" w:rsidRPr="006234AA">
        <w:rPr>
          <w:lang w:val="nl-NL"/>
        </w:rPr>
        <w:t xml:space="preserve">việc đặt lệnh giao dịch tự doanh, tạo lập thị trường, tạm ngừng tiếp nhận lệnh giao dịch </w:t>
      </w:r>
      <w:r w:rsidR="009C78CA" w:rsidRPr="006234AA">
        <w:rPr>
          <w:lang w:val="nl-NL"/>
        </w:rPr>
        <w:t xml:space="preserve">trong trường hợp không thể thực hiện hoạt động </w:t>
      </w:r>
      <w:r w:rsidR="00666F37" w:rsidRPr="006234AA">
        <w:rPr>
          <w:lang w:val="nl-NL"/>
        </w:rPr>
        <w:t xml:space="preserve">bù trừ, </w:t>
      </w:r>
      <w:r w:rsidR="00813DBA" w:rsidRPr="006234AA">
        <w:rPr>
          <w:lang w:val="nl-NL"/>
        </w:rPr>
        <w:t>thanh toán</w:t>
      </w:r>
      <w:r w:rsidR="009C78CA" w:rsidRPr="006234AA">
        <w:rPr>
          <w:lang w:val="nl-NL"/>
        </w:rPr>
        <w:t xml:space="preserve"> giao dịch phái sinh.</w:t>
      </w:r>
      <w:r w:rsidR="00274D1A" w:rsidRPr="006234AA">
        <w:rPr>
          <w:lang w:val="nl-NL"/>
        </w:rPr>
        <w:t xml:space="preserve"> Thành viên giao dịch có trách nhiệm công bố thông tin bất thường và nêu rõ lý do trong trường hợp buộc phải tạm ngừng hoạt động do không thể thực hiện hoạt động </w:t>
      </w:r>
      <w:r w:rsidR="00666F37" w:rsidRPr="006234AA">
        <w:rPr>
          <w:lang w:val="nl-NL"/>
        </w:rPr>
        <w:t>bù trừ, thanh toán</w:t>
      </w:r>
      <w:r w:rsidR="00274D1A" w:rsidRPr="006234AA">
        <w:rPr>
          <w:lang w:val="nl-NL"/>
        </w:rPr>
        <w:t>.</w:t>
      </w:r>
      <w:r w:rsidR="009C78CA" w:rsidRPr="006234AA">
        <w:rPr>
          <w:lang w:val="nl-NL"/>
        </w:rPr>
        <w:t xml:space="preserve"> </w:t>
      </w:r>
    </w:p>
    <w:p w:rsidR="009C78CA" w:rsidRPr="006234AA" w:rsidRDefault="00BA6486" w:rsidP="003C0546">
      <w:pPr>
        <w:spacing w:after="120"/>
        <w:rPr>
          <w:lang w:val="nl-NL"/>
        </w:rPr>
      </w:pPr>
      <w:r w:rsidRPr="006234AA">
        <w:rPr>
          <w:lang w:val="nl-NL"/>
        </w:rPr>
        <w:t>6</w:t>
      </w:r>
      <w:r w:rsidR="009C78CA" w:rsidRPr="006234AA">
        <w:rPr>
          <w:lang w:val="nl-NL"/>
        </w:rPr>
        <w:t xml:space="preserve">. </w:t>
      </w:r>
      <w:r w:rsidR="000A7997" w:rsidRPr="006234AA">
        <w:rPr>
          <w:lang w:val="nl-NL"/>
        </w:rPr>
        <w:t>Trong t</w:t>
      </w:r>
      <w:r w:rsidR="009C78CA" w:rsidRPr="006234AA">
        <w:rPr>
          <w:lang w:val="nl-NL"/>
        </w:rPr>
        <w:t xml:space="preserve">rường hợp </w:t>
      </w:r>
      <w:r w:rsidR="000A7997" w:rsidRPr="006234AA">
        <w:rPr>
          <w:lang w:val="nl-NL"/>
        </w:rPr>
        <w:t xml:space="preserve">xét thấy là cần thiết để </w:t>
      </w:r>
      <w:r w:rsidR="009C78CA" w:rsidRPr="006234AA">
        <w:rPr>
          <w:lang w:val="nl-NL"/>
        </w:rPr>
        <w:t xml:space="preserve">bảo vệ lợi ích công chúng đầu tư, </w:t>
      </w:r>
      <w:r w:rsidR="000A7997" w:rsidRPr="006234AA">
        <w:rPr>
          <w:lang w:val="nl-NL"/>
        </w:rPr>
        <w:t>theo yêu cầu của</w:t>
      </w:r>
      <w:r w:rsidR="009C78CA" w:rsidRPr="006234AA">
        <w:rPr>
          <w:lang w:val="nl-NL"/>
        </w:rPr>
        <w:t xml:space="preserve"> Sở giao dịch chứng khoán, </w:t>
      </w:r>
      <w:r w:rsidR="008573AD" w:rsidRPr="006234AA">
        <w:rPr>
          <w:lang w:val="nl-NL"/>
        </w:rPr>
        <w:t>Trung tâm lưu ký chứng khoán</w:t>
      </w:r>
      <w:r w:rsidR="000A7997" w:rsidRPr="006234AA">
        <w:rPr>
          <w:lang w:val="nl-NL"/>
        </w:rPr>
        <w:t xml:space="preserve">, </w:t>
      </w:r>
      <w:r w:rsidR="009C78CA" w:rsidRPr="006234AA">
        <w:rPr>
          <w:lang w:val="nl-NL"/>
        </w:rPr>
        <w:t>Ủy ban Chứng khoán Nhà nước</w:t>
      </w:r>
      <w:r w:rsidR="000A7997" w:rsidRPr="006234AA">
        <w:rPr>
          <w:lang w:val="nl-NL"/>
        </w:rPr>
        <w:t>, thành viên giao dịch có trách nhiệm</w:t>
      </w:r>
      <w:r w:rsidR="009C78CA" w:rsidRPr="006234AA">
        <w:rPr>
          <w:lang w:val="nl-NL"/>
        </w:rPr>
        <w:t xml:space="preserve">: </w:t>
      </w:r>
    </w:p>
    <w:p w:rsidR="009C78CA" w:rsidRPr="006234AA" w:rsidRDefault="009C78CA" w:rsidP="003C0546">
      <w:pPr>
        <w:spacing w:after="120"/>
        <w:rPr>
          <w:lang w:val="nl-NL"/>
        </w:rPr>
      </w:pPr>
      <w:r w:rsidRPr="006234AA">
        <w:rPr>
          <w:lang w:val="nl-NL"/>
        </w:rPr>
        <w:t xml:space="preserve">a) </w:t>
      </w:r>
      <w:r w:rsidR="000A7997" w:rsidRPr="006234AA">
        <w:rPr>
          <w:lang w:val="nl-NL"/>
        </w:rPr>
        <w:t>T</w:t>
      </w:r>
      <w:r w:rsidRPr="006234AA">
        <w:rPr>
          <w:lang w:val="nl-NL"/>
        </w:rPr>
        <w:t>hanh lý vị thế, đóng các vị thế mở trong giao dịch tự doanh của mình; thanh lý vị thế, đóng các vị thế mở của các khách hàng của mình</w:t>
      </w:r>
      <w:r w:rsidR="000A7997" w:rsidRPr="006234AA">
        <w:rPr>
          <w:lang w:val="nl-NL"/>
        </w:rPr>
        <w:t xml:space="preserve">. Trình tự, thủ tục, mức giá thực hiện theo hướng dẫn của Sở giao dịch chứng khoán, </w:t>
      </w:r>
      <w:r w:rsidR="008573AD" w:rsidRPr="006234AA">
        <w:rPr>
          <w:lang w:val="nl-NL"/>
        </w:rPr>
        <w:t>Trung tâm lưu ký chứng khoán</w:t>
      </w:r>
      <w:r w:rsidR="000A7997" w:rsidRPr="006234AA">
        <w:rPr>
          <w:lang w:val="nl-NL"/>
        </w:rPr>
        <w:t>;</w:t>
      </w:r>
    </w:p>
    <w:p w:rsidR="009C78CA" w:rsidRPr="006234AA" w:rsidRDefault="009C78CA" w:rsidP="003C0546">
      <w:pPr>
        <w:spacing w:after="120"/>
        <w:rPr>
          <w:lang w:val="nl-NL"/>
        </w:rPr>
      </w:pPr>
      <w:r w:rsidRPr="006234AA">
        <w:rPr>
          <w:lang w:val="nl-NL"/>
        </w:rPr>
        <w:t xml:space="preserve">b) </w:t>
      </w:r>
      <w:r w:rsidR="000A7997" w:rsidRPr="006234AA">
        <w:rPr>
          <w:lang w:val="nl-NL"/>
        </w:rPr>
        <w:t>C</w:t>
      </w:r>
      <w:r w:rsidRPr="006234AA">
        <w:rPr>
          <w:lang w:val="nl-NL"/>
        </w:rPr>
        <w:t>huyển toàn bộ các vị thế mở, bàn giao quyền, trách nhiệm nghĩa vụ đối với khách hàng cho thành viên giao dịch khác;</w:t>
      </w:r>
    </w:p>
    <w:p w:rsidR="009C78CA" w:rsidRPr="006234AA" w:rsidRDefault="009C78CA" w:rsidP="003C0546">
      <w:pPr>
        <w:spacing w:after="120"/>
        <w:rPr>
          <w:lang w:val="nl-NL"/>
        </w:rPr>
      </w:pPr>
      <w:r w:rsidRPr="006234AA">
        <w:rPr>
          <w:lang w:val="nl-NL"/>
        </w:rPr>
        <w:t xml:space="preserve">c) </w:t>
      </w:r>
      <w:r w:rsidR="000A7997" w:rsidRPr="006234AA">
        <w:rPr>
          <w:lang w:val="nl-NL"/>
        </w:rPr>
        <w:t xml:space="preserve">Dừng </w:t>
      </w:r>
      <w:r w:rsidRPr="006234AA">
        <w:rPr>
          <w:lang w:val="nl-NL"/>
        </w:rPr>
        <w:t xml:space="preserve">ký </w:t>
      </w:r>
      <w:r w:rsidR="000A7997" w:rsidRPr="006234AA">
        <w:rPr>
          <w:lang w:val="nl-NL"/>
        </w:rPr>
        <w:t xml:space="preserve">mới </w:t>
      </w:r>
      <w:r w:rsidRPr="006234AA">
        <w:rPr>
          <w:lang w:val="nl-NL"/>
        </w:rPr>
        <w:t>hợp đồng mở tài khoản giao dịch</w:t>
      </w:r>
      <w:r w:rsidR="000A7997" w:rsidRPr="006234AA">
        <w:rPr>
          <w:lang w:val="nl-NL"/>
        </w:rPr>
        <w:t>; dừng tiếp nhận, thực hiện lệnh giao dịch;</w:t>
      </w:r>
    </w:p>
    <w:p w:rsidR="000A7997" w:rsidRPr="006234AA" w:rsidRDefault="000A7997" w:rsidP="003C0546">
      <w:pPr>
        <w:spacing w:after="120"/>
        <w:rPr>
          <w:lang w:val="nl-NL"/>
        </w:rPr>
      </w:pPr>
      <w:r w:rsidRPr="006234AA">
        <w:rPr>
          <w:lang w:val="nl-NL"/>
        </w:rPr>
        <w:t xml:space="preserve">d) Các hoạt động khác phù hợp với quy định của pháp luật theo yêu cầu của Ủy ban Chứng khoán Nhà nước, Sở Giao dịch chứng khoán, </w:t>
      </w:r>
      <w:r w:rsidR="008573AD" w:rsidRPr="006234AA">
        <w:rPr>
          <w:lang w:val="nl-NL"/>
        </w:rPr>
        <w:t>Trung tâm lưu ký chứng khoán</w:t>
      </w:r>
      <w:r w:rsidRPr="006234AA">
        <w:rPr>
          <w:lang w:val="nl-NL"/>
        </w:rPr>
        <w:t xml:space="preserve">. </w:t>
      </w:r>
    </w:p>
    <w:p w:rsidR="00B752B0" w:rsidRPr="006234AA" w:rsidRDefault="00BA6486" w:rsidP="003C0546">
      <w:pPr>
        <w:spacing w:after="120"/>
        <w:rPr>
          <w:lang w:val="nl-NL"/>
        </w:rPr>
      </w:pPr>
      <w:r w:rsidRPr="006234AA">
        <w:rPr>
          <w:lang w:val="nl-NL"/>
        </w:rPr>
        <w:t>7</w:t>
      </w:r>
      <w:r w:rsidR="00B752B0" w:rsidRPr="006234AA">
        <w:rPr>
          <w:lang w:val="nl-NL"/>
        </w:rPr>
        <w:t>. Thành viên giao dịch được quảng cáo, cung cấp thông tin và giới thiệu về hoạt động kinh doanh dịch vụ chứng khoán phái sinh, nhưng phải bảo đảm:</w:t>
      </w:r>
    </w:p>
    <w:p w:rsidR="00B752B0" w:rsidRPr="006234AA" w:rsidRDefault="00B752B0" w:rsidP="003C0546">
      <w:pPr>
        <w:spacing w:after="120"/>
        <w:rPr>
          <w:lang w:val="nl-NL"/>
        </w:rPr>
      </w:pPr>
      <w:r w:rsidRPr="006234AA">
        <w:rPr>
          <w:lang w:val="nl-NL"/>
        </w:rPr>
        <w:t xml:space="preserve">a) Nội dung thông tin, quảng cáo phải trung thực, khách quan, chính xác, rõ ràng, không gây hiểu nhầm là việc sử dụng dịch vụ chứng khoán phái sinh do </w:t>
      </w:r>
      <w:r w:rsidRPr="006234AA">
        <w:rPr>
          <w:lang w:val="nl-NL"/>
        </w:rPr>
        <w:lastRenderedPageBreak/>
        <w:t>thành viên giao dịch sẽ bảo đảm kết quả đầu tư, vốn đầu tư được an toàn, lợi nhuận đạt được trên khoản đầu tư được bảo đảm chắc chắn hoặc rủi ro/thiệt hại được chia sẻ;</w:t>
      </w:r>
    </w:p>
    <w:p w:rsidR="00B752B0" w:rsidRPr="006234AA" w:rsidRDefault="00B752B0" w:rsidP="003C0546">
      <w:pPr>
        <w:spacing w:after="120"/>
        <w:rPr>
          <w:lang w:val="nl-NL"/>
        </w:rPr>
      </w:pPr>
      <w:r w:rsidRPr="006234AA">
        <w:rPr>
          <w:lang w:val="nl-NL"/>
        </w:rPr>
        <w:t>b) Thành viên giao dịch phải chịu trách nhiệm về nội dung, tính pháp lý những thông tin đã cung cấp trong các hoạt động thông tin, quảng cáo, giới thiệu về hoạt động kinh doanh dịch vụ chứng khoán phái sinh;</w:t>
      </w:r>
    </w:p>
    <w:p w:rsidR="00B752B0" w:rsidRPr="006234AA" w:rsidRDefault="00B752B0" w:rsidP="003C0546">
      <w:pPr>
        <w:spacing w:after="120"/>
        <w:rPr>
          <w:lang w:val="nl-NL"/>
        </w:rPr>
      </w:pPr>
      <w:r w:rsidRPr="006234AA">
        <w:rPr>
          <w:lang w:val="nl-NL"/>
        </w:rPr>
        <w:t>c) Tài liệu thông tin, quảng cáo phải có các khuyến cáo yêu cầu nhà đầu tư cần đọc kỹ và hiểu tất cả các điều khoản tại hợp đồng. Chú ý tới các loại hình rủi ro, quy mô rủi ro tiềm ẩn và các khoản phí, lệ phí khi giao dịch.</w:t>
      </w:r>
    </w:p>
    <w:p w:rsidR="00212618" w:rsidRPr="006234AA" w:rsidRDefault="00BA6486" w:rsidP="003C0546">
      <w:pPr>
        <w:spacing w:after="120"/>
        <w:rPr>
          <w:lang w:val="nl-NL"/>
        </w:rPr>
      </w:pPr>
      <w:r w:rsidRPr="006234AA">
        <w:rPr>
          <w:lang w:val="nl-NL"/>
        </w:rPr>
        <w:t>8</w:t>
      </w:r>
      <w:r w:rsidR="00212618" w:rsidRPr="006234AA">
        <w:rPr>
          <w:lang w:val="nl-NL"/>
        </w:rPr>
        <w:t>. Thành viên giao dịch có quyền thay đổi thành viên bù trừ được chỉ định theo nguyên tắc sau:</w:t>
      </w:r>
    </w:p>
    <w:p w:rsidR="00212618" w:rsidRPr="006234AA" w:rsidRDefault="00212618" w:rsidP="003C0546">
      <w:pPr>
        <w:spacing w:after="120"/>
        <w:rPr>
          <w:lang w:val="nl-NL"/>
        </w:rPr>
      </w:pPr>
      <w:r w:rsidRPr="006234AA">
        <w:rPr>
          <w:lang w:val="nl-NL"/>
        </w:rPr>
        <w:t>a) Thành viên bù trừ thay thế đáp ứng quy định tại Điều 62 Thông tư này</w:t>
      </w:r>
      <w:r w:rsidR="00F40250" w:rsidRPr="006234AA">
        <w:rPr>
          <w:lang w:val="nl-NL"/>
        </w:rPr>
        <w:t xml:space="preserve"> và có trách nhiệm tiếp nhận toàn bộ quyền, nghĩa vụ, trách nhiệm </w:t>
      </w:r>
      <w:r w:rsidR="00666F37" w:rsidRPr="006234AA">
        <w:rPr>
          <w:lang w:val="nl-NL"/>
        </w:rPr>
        <w:t>bù trừ, thanh toán</w:t>
      </w:r>
      <w:r w:rsidR="00F40250" w:rsidRPr="006234AA">
        <w:rPr>
          <w:lang w:val="nl-NL"/>
        </w:rPr>
        <w:t>, tài khoản và tài sản ký quỹ của tất cả khách hàng của thành viên bù trừ bị thay thế</w:t>
      </w:r>
      <w:r w:rsidRPr="006234AA">
        <w:rPr>
          <w:lang w:val="nl-NL"/>
        </w:rPr>
        <w:t>;</w:t>
      </w:r>
    </w:p>
    <w:p w:rsidR="00212618" w:rsidRPr="006234AA" w:rsidRDefault="00212618" w:rsidP="003C0546">
      <w:pPr>
        <w:spacing w:after="120"/>
        <w:rPr>
          <w:lang w:val="nl-NL"/>
        </w:rPr>
      </w:pPr>
      <w:r w:rsidRPr="006234AA">
        <w:rPr>
          <w:lang w:val="nl-NL"/>
        </w:rPr>
        <w:t>b) Trước khi thay đổi thành viên bù trừ, thành viên giao dịch phải được Sở giao dịch chứng khoán và Trung tâm lưu ký chứng khoán chấp thuận bằng văn bản theo quy chế của Sở giao dịch chứng khoán và Trung tâm lưu ký chứng khoán;</w:t>
      </w:r>
    </w:p>
    <w:p w:rsidR="00212618" w:rsidRPr="006234AA" w:rsidRDefault="00212618" w:rsidP="003C0546">
      <w:pPr>
        <w:spacing w:after="120"/>
        <w:rPr>
          <w:lang w:val="nl-NL"/>
        </w:rPr>
      </w:pPr>
      <w:r w:rsidRPr="006234AA">
        <w:rPr>
          <w:lang w:val="nl-NL"/>
        </w:rPr>
        <w:t>c) Trình tự, thủ tục bàn giao tài khoản và tài sản ký quỹ, quyền, trách nhiệm, nghĩa vụ đối với khách hàng giữa thành viên bù trừ bị thay thế và thành viên bù trừ thay thế thực hiện theo quy chế của Sở giao dịch chứng khoán và Trung tâm lưu ký chứng khoán.</w:t>
      </w:r>
    </w:p>
    <w:p w:rsidR="004F4D8C" w:rsidRPr="006234AA" w:rsidRDefault="00BA6486" w:rsidP="003C0546">
      <w:pPr>
        <w:spacing w:after="120"/>
        <w:rPr>
          <w:lang w:val="nl-NL"/>
        </w:rPr>
      </w:pPr>
      <w:r w:rsidRPr="006234AA">
        <w:rPr>
          <w:lang w:val="nl-NL"/>
        </w:rPr>
        <w:t>9</w:t>
      </w:r>
      <w:r w:rsidR="004F4D8C" w:rsidRPr="006234AA">
        <w:rPr>
          <w:lang w:val="nl-NL"/>
        </w:rPr>
        <w:t xml:space="preserve">. Nộp phí quản lý thành viên, phí giao dịch và các phí dịch vụ khác theo quy định của Bộ Tài chính. </w:t>
      </w:r>
    </w:p>
    <w:p w:rsidR="009B5849" w:rsidRPr="006234AA" w:rsidRDefault="009B5849" w:rsidP="003C0546">
      <w:pPr>
        <w:pStyle w:val="Heading4"/>
        <w:spacing w:after="120"/>
        <w:ind w:left="0" w:firstLine="709"/>
      </w:pPr>
      <w:bookmarkStart w:id="117" w:name="_Toc397003349"/>
      <w:bookmarkStart w:id="118" w:name="_Toc422671978"/>
      <w:r w:rsidRPr="006234AA">
        <w:t xml:space="preserve">Hạn chế </w:t>
      </w:r>
      <w:r w:rsidR="00DB6105" w:rsidRPr="006234AA">
        <w:t xml:space="preserve">đối với </w:t>
      </w:r>
      <w:r w:rsidRPr="006234AA">
        <w:t>thành viên giao dịch</w:t>
      </w:r>
      <w:r w:rsidR="00DB6105" w:rsidRPr="006234AA">
        <w:t>, nhân viên của thành viên giao dịch</w:t>
      </w:r>
      <w:bookmarkEnd w:id="117"/>
      <w:bookmarkEnd w:id="118"/>
    </w:p>
    <w:p w:rsidR="009C78CA" w:rsidRPr="006234AA" w:rsidRDefault="009C78CA" w:rsidP="003C0546">
      <w:pPr>
        <w:spacing w:after="120"/>
        <w:rPr>
          <w:lang w:val="nl-NL"/>
        </w:rPr>
      </w:pPr>
      <w:r w:rsidRPr="006234AA">
        <w:rPr>
          <w:lang w:val="nl-NL"/>
        </w:rPr>
        <w:t>Thành viên giao dịch, nhân viên của thành viên giao dịch không được:</w:t>
      </w:r>
    </w:p>
    <w:p w:rsidR="009C78CA" w:rsidRPr="006234AA" w:rsidRDefault="009C78CA" w:rsidP="003C0546">
      <w:pPr>
        <w:spacing w:after="120"/>
        <w:rPr>
          <w:lang w:val="nl-NL"/>
        </w:rPr>
      </w:pPr>
      <w:r w:rsidRPr="006234AA">
        <w:rPr>
          <w:lang w:val="nl-NL"/>
        </w:rPr>
        <w:t>1. Tiếp nhận lệnh giao dịch của khách hàng mà không thực hiện hoặc thực hiện lệnh trái với yêu cầu của khách hàng</w:t>
      </w:r>
      <w:r w:rsidR="00223A15" w:rsidRPr="006234AA">
        <w:rPr>
          <w:lang w:val="nl-NL"/>
        </w:rPr>
        <w:t xml:space="preserve">, trừ các trường hợp </w:t>
      </w:r>
      <w:r w:rsidR="00777934" w:rsidRPr="006234AA">
        <w:rPr>
          <w:lang w:val="nl-NL"/>
        </w:rPr>
        <w:t>theo yêu cầu của cơ quan nhà nước có thẩm quyền</w:t>
      </w:r>
      <w:r w:rsidRPr="006234AA">
        <w:rPr>
          <w:lang w:val="nl-NL"/>
        </w:rPr>
        <w:t xml:space="preserve">. </w:t>
      </w:r>
      <w:r w:rsidR="00CF1F3A" w:rsidRPr="006234AA">
        <w:rPr>
          <w:lang w:val="nl-NL"/>
        </w:rPr>
        <w:t>Tiếp nhận và thực hiện lệnh giao dịch không phù hợp với các điều khoản tại hợp đồng. Thực hiện giao dịch trên tài khoản của khách hàng khi chưa có lệnh của khách hàng hoặc</w:t>
      </w:r>
      <w:r w:rsidRPr="006234AA">
        <w:rPr>
          <w:lang w:val="nl-NL"/>
        </w:rPr>
        <w:t xml:space="preserve"> khi khách hàng chưa </w:t>
      </w:r>
      <w:r w:rsidR="00223A15" w:rsidRPr="006234AA">
        <w:rPr>
          <w:lang w:val="nl-NL"/>
        </w:rPr>
        <w:t xml:space="preserve">ký quỹ </w:t>
      </w:r>
      <w:r w:rsidRPr="006234AA">
        <w:rPr>
          <w:lang w:val="nl-NL"/>
        </w:rPr>
        <w:t xml:space="preserve">đầy đủ theo </w:t>
      </w:r>
      <w:r w:rsidR="006271C0" w:rsidRPr="006234AA">
        <w:rPr>
          <w:lang w:val="nl-NL"/>
        </w:rPr>
        <w:t xml:space="preserve">yêu cầu </w:t>
      </w:r>
      <w:r w:rsidR="00223A15" w:rsidRPr="006234AA">
        <w:rPr>
          <w:lang w:val="nl-NL"/>
        </w:rPr>
        <w:t>của thành viên bù trừ</w:t>
      </w:r>
      <w:r w:rsidRPr="006234AA">
        <w:rPr>
          <w:lang w:val="nl-NL"/>
        </w:rPr>
        <w:t>.</w:t>
      </w:r>
      <w:r w:rsidR="00CF1F3A" w:rsidRPr="006234AA">
        <w:rPr>
          <w:lang w:val="nl-NL"/>
        </w:rPr>
        <w:t xml:space="preserve"> </w:t>
      </w:r>
    </w:p>
    <w:p w:rsidR="00985401" w:rsidRPr="006234AA" w:rsidRDefault="00985401" w:rsidP="003C0546">
      <w:pPr>
        <w:spacing w:after="120"/>
        <w:rPr>
          <w:lang w:val="nl-NL"/>
        </w:rPr>
      </w:pPr>
      <w:r w:rsidRPr="006234AA">
        <w:rPr>
          <w:lang w:val="nl-NL"/>
        </w:rPr>
        <w:t>2</w:t>
      </w:r>
      <w:r w:rsidR="009C78CA" w:rsidRPr="006234AA">
        <w:rPr>
          <w:lang w:val="nl-NL"/>
        </w:rPr>
        <w:t>. Tạo dựng và cung cấp thông tin sai lệch</w:t>
      </w:r>
      <w:r w:rsidR="00EB3002" w:rsidRPr="006234AA">
        <w:rPr>
          <w:lang w:val="nl-NL"/>
        </w:rPr>
        <w:t>,</w:t>
      </w:r>
      <w:r w:rsidR="009C78CA" w:rsidRPr="006234AA">
        <w:rPr>
          <w:lang w:val="nl-NL"/>
        </w:rPr>
        <w:t xml:space="preserve"> </w:t>
      </w:r>
      <w:r w:rsidR="00EB3002" w:rsidRPr="006234AA">
        <w:rPr>
          <w:lang w:val="nl-NL"/>
        </w:rPr>
        <w:t xml:space="preserve">giả mạo, dễ gây hiểu nhầm, thông tin không kịp thời, không đầy đủ, không chính xác về các sự việc xảy ra nhằm thay đổi giá chứng khoán hoặc </w:t>
      </w:r>
      <w:r w:rsidR="009C78CA" w:rsidRPr="006234AA">
        <w:rPr>
          <w:lang w:val="nl-NL"/>
        </w:rPr>
        <w:t>nhằm lôi kéo, xúi giục mua, bán</w:t>
      </w:r>
      <w:r w:rsidRPr="006234AA">
        <w:rPr>
          <w:lang w:val="nl-NL"/>
        </w:rPr>
        <w:t>.</w:t>
      </w:r>
      <w:r w:rsidR="009C78CA" w:rsidRPr="006234AA">
        <w:rPr>
          <w:lang w:val="nl-NL"/>
        </w:rPr>
        <w:t xml:space="preserve"> </w:t>
      </w:r>
      <w:r w:rsidRPr="006234AA">
        <w:rPr>
          <w:lang w:val="nl-NL"/>
        </w:rPr>
        <w:t>Sử dụng thông tin nội bộ và chưa được phép công bố</w:t>
      </w:r>
      <w:r w:rsidR="0037296F" w:rsidRPr="006234AA">
        <w:rPr>
          <w:lang w:val="nl-NL"/>
        </w:rPr>
        <w:t>,</w:t>
      </w:r>
      <w:r w:rsidRPr="006234AA">
        <w:rPr>
          <w:lang w:val="nl-NL"/>
        </w:rPr>
        <w:t xml:space="preserve"> </w:t>
      </w:r>
      <w:r w:rsidR="0037296F" w:rsidRPr="006234AA">
        <w:rPr>
          <w:lang w:val="nl-NL"/>
        </w:rPr>
        <w:t xml:space="preserve">thông tin có được từ nghiệp vụ kinh doanh chứng khoán </w:t>
      </w:r>
      <w:r w:rsidRPr="006234AA">
        <w:rPr>
          <w:lang w:val="nl-NL"/>
        </w:rPr>
        <w:t xml:space="preserve">để thực hiện hoặc </w:t>
      </w:r>
      <w:r w:rsidR="0037296F" w:rsidRPr="006234AA">
        <w:rPr>
          <w:lang w:val="nl-NL"/>
        </w:rPr>
        <w:t xml:space="preserve">tạo điều kiện cho </w:t>
      </w:r>
      <w:r w:rsidRPr="006234AA">
        <w:rPr>
          <w:lang w:val="nl-NL"/>
        </w:rPr>
        <w:t xml:space="preserve">tổ chức, cá nhân </w:t>
      </w:r>
      <w:r w:rsidRPr="006234AA">
        <w:rPr>
          <w:lang w:val="nl-NL"/>
        </w:rPr>
        <w:lastRenderedPageBreak/>
        <w:t>khác biết mà thực hiện các giao dịch chứng khoán nhằm trục lợi. Tiết lộ nội dung lệnh giao dịch</w:t>
      </w:r>
      <w:r w:rsidR="0037296F" w:rsidRPr="006234AA">
        <w:rPr>
          <w:lang w:val="nl-NL"/>
        </w:rPr>
        <w:t xml:space="preserve"> hoặc các thông tin khác</w:t>
      </w:r>
      <w:r w:rsidRPr="006234AA">
        <w:rPr>
          <w:lang w:val="nl-NL"/>
        </w:rPr>
        <w:t xml:space="preserve"> của khách hàng </w:t>
      </w:r>
      <w:r w:rsidR="0037296F" w:rsidRPr="006234AA">
        <w:rPr>
          <w:lang w:val="nl-NL"/>
        </w:rPr>
        <w:t xml:space="preserve">cho tổ chức, cá nhân khác, trừ trường hợp </w:t>
      </w:r>
      <w:r w:rsidRPr="006234AA">
        <w:rPr>
          <w:lang w:val="nl-NL"/>
        </w:rPr>
        <w:t>công bố thông tin hoặc</w:t>
      </w:r>
      <w:r w:rsidR="0037296F" w:rsidRPr="006234AA">
        <w:rPr>
          <w:lang w:val="nl-NL"/>
        </w:rPr>
        <w:t xml:space="preserve"> cung cấp cho Ủy ban Chứng khoán Nhà nước</w:t>
      </w:r>
      <w:r w:rsidRPr="006234AA">
        <w:rPr>
          <w:lang w:val="nl-NL"/>
        </w:rPr>
        <w:t xml:space="preserve"> theo yêu cầu thanh tra, kiểm tra theo quy định của pháp luật.</w:t>
      </w:r>
    </w:p>
    <w:p w:rsidR="00817EBA" w:rsidRPr="006234AA" w:rsidRDefault="00985401" w:rsidP="003C0546">
      <w:pPr>
        <w:spacing w:after="120"/>
        <w:rPr>
          <w:lang w:val="nl-NL"/>
        </w:rPr>
      </w:pPr>
      <w:r w:rsidRPr="006234AA">
        <w:rPr>
          <w:lang w:val="nl-NL"/>
        </w:rPr>
        <w:t>3</w:t>
      </w:r>
      <w:r w:rsidR="009C78CA" w:rsidRPr="006234AA">
        <w:rPr>
          <w:lang w:val="nl-NL"/>
        </w:rPr>
        <w:t xml:space="preserve">. </w:t>
      </w:r>
      <w:r w:rsidR="00817EBA" w:rsidRPr="006234AA">
        <w:rPr>
          <w:lang w:val="nl-NL"/>
        </w:rPr>
        <w:t>Trực tiếp hoặc gián tiếp cam kết, chia sẻ lợi nhuận</w:t>
      </w:r>
      <w:r w:rsidR="00EB3002" w:rsidRPr="006234AA">
        <w:rPr>
          <w:lang w:val="nl-NL"/>
        </w:rPr>
        <w:t>;</w:t>
      </w:r>
      <w:r w:rsidR="00817EBA" w:rsidRPr="006234AA">
        <w:rPr>
          <w:lang w:val="nl-NL"/>
        </w:rPr>
        <w:t xml:space="preserve"> chia sẻ đền bù thiệt hại cho các giao dịch của khách hàng; hạch toán các khoản thiệt hại của khách hàng vào hoạt động tự doanh của mình. Quy định này không áp dụng trong trường hợp thành viên giao dịch phải bồi thường cho khách hàng </w:t>
      </w:r>
      <w:r w:rsidR="006271C0" w:rsidRPr="006234AA">
        <w:rPr>
          <w:lang w:val="nl-NL"/>
        </w:rPr>
        <w:t xml:space="preserve">do </w:t>
      </w:r>
      <w:r w:rsidR="00817EBA" w:rsidRPr="006234AA">
        <w:rPr>
          <w:lang w:val="nl-NL"/>
        </w:rPr>
        <w:t>lỗi hoặc sự cẩu thả của thành viên giao dịch, nhân viên của thành viên giao dịch.</w:t>
      </w:r>
    </w:p>
    <w:p w:rsidR="00985401" w:rsidRPr="006234AA" w:rsidRDefault="00985401" w:rsidP="003C0546">
      <w:pPr>
        <w:spacing w:after="120"/>
        <w:rPr>
          <w:lang w:val="nl-NL"/>
        </w:rPr>
      </w:pPr>
      <w:r w:rsidRPr="006234AA">
        <w:rPr>
          <w:lang w:val="nl-NL"/>
        </w:rPr>
        <w:t>4. Khuyến cáo giao dịch hoặc tư vấn, đưa ra các nhận định khiến khách hàng hiểu là đầu tư vào chứng khoán phái sinh luôn tạo lợi nhuận; khuyến khích, tư vấn thực hiện các giao dịch không hợp lý hoặc không cần thiết, hoặc không phù hợp với mục tiêu đầu tư của khách hàng.</w:t>
      </w:r>
    </w:p>
    <w:p w:rsidR="0037296F" w:rsidRPr="006234AA" w:rsidRDefault="009C78CA" w:rsidP="003C0546">
      <w:pPr>
        <w:spacing w:after="120"/>
        <w:rPr>
          <w:lang w:val="nl-NL"/>
        </w:rPr>
      </w:pPr>
      <w:r w:rsidRPr="006234AA">
        <w:rPr>
          <w:lang w:val="nl-NL"/>
        </w:rPr>
        <w:t xml:space="preserve">5. Thông đồng để thực hiện việc mua, bán chứng khoán nhằm tạo ra cung, cầu giả tạo; giao dịch chứng khoán bằng hình thức cấu kết, lôi kéo người khác liên tục mua, bán để thao túng giá chứng khoán; </w:t>
      </w:r>
      <w:r w:rsidR="0037296F" w:rsidRPr="006234AA">
        <w:rPr>
          <w:lang w:val="nl-NL"/>
        </w:rPr>
        <w:t xml:space="preserve">hoặc có các giao dịch, hành vi kiến tạo các giao dịch khác </w:t>
      </w:r>
      <w:r w:rsidRPr="006234AA">
        <w:rPr>
          <w:lang w:val="nl-NL"/>
        </w:rPr>
        <w:t>để thao túng giá chứng khoán</w:t>
      </w:r>
      <w:r w:rsidR="0037296F" w:rsidRPr="006234AA">
        <w:rPr>
          <w:lang w:val="nl-NL"/>
        </w:rPr>
        <w:t>, làm thay đổi giá của chứng khoán.</w:t>
      </w:r>
    </w:p>
    <w:p w:rsidR="00903337" w:rsidRPr="006234AA" w:rsidRDefault="009C78CA" w:rsidP="003C0546">
      <w:pPr>
        <w:spacing w:after="120"/>
        <w:rPr>
          <w:lang w:val="nl-NL"/>
        </w:rPr>
      </w:pPr>
      <w:r w:rsidRPr="006234AA">
        <w:rPr>
          <w:lang w:val="nl-NL"/>
        </w:rPr>
        <w:t xml:space="preserve">6. Thực hiện các giao dịch vừa mua, vừa bán cùng một </w:t>
      </w:r>
      <w:r w:rsidR="003F5562" w:rsidRPr="006234AA">
        <w:rPr>
          <w:lang w:val="nl-NL"/>
        </w:rPr>
        <w:t>chứng khoán</w:t>
      </w:r>
      <w:r w:rsidR="00EB3002" w:rsidRPr="006234AA">
        <w:rPr>
          <w:lang w:val="nl-NL"/>
        </w:rPr>
        <w:t>, trừ giao dịch trên tài khoản tạo lập thị trường.</w:t>
      </w:r>
      <w:r w:rsidRPr="006234AA">
        <w:rPr>
          <w:lang w:val="nl-NL"/>
        </w:rPr>
        <w:t xml:space="preserve"> </w:t>
      </w:r>
      <w:r w:rsidR="00EB3002" w:rsidRPr="006234AA">
        <w:rPr>
          <w:lang w:val="nl-NL"/>
        </w:rPr>
        <w:t>Đ</w:t>
      </w:r>
      <w:r w:rsidRPr="006234AA">
        <w:rPr>
          <w:lang w:val="nl-NL"/>
        </w:rPr>
        <w:t>ồng thời đặt lệnh mua và lệnh bán một chứng khoán phái sinh với cùng một mức giá và cho cùng một khách hàng</w:t>
      </w:r>
      <w:r w:rsidR="00903337" w:rsidRPr="006234AA">
        <w:rPr>
          <w:lang w:val="nl-NL"/>
        </w:rPr>
        <w:t xml:space="preserve">, kể cả trong trường hợp giao dịch </w:t>
      </w:r>
      <w:r w:rsidR="00EB3002" w:rsidRPr="006234AA">
        <w:rPr>
          <w:lang w:val="nl-NL"/>
        </w:rPr>
        <w:t xml:space="preserve">được thực hiện </w:t>
      </w:r>
      <w:r w:rsidR="00903337" w:rsidRPr="006234AA">
        <w:rPr>
          <w:lang w:val="nl-NL"/>
        </w:rPr>
        <w:t>trên các tài khoản giao dịch khác nhau</w:t>
      </w:r>
      <w:r w:rsidR="00EB3002" w:rsidRPr="006234AA">
        <w:rPr>
          <w:lang w:val="nl-NL"/>
        </w:rPr>
        <w:t xml:space="preserve"> của cùng khách hàng và thực hiện bởi những tổ chức, cá nhân khác nhau</w:t>
      </w:r>
      <w:r w:rsidR="00223A15" w:rsidRPr="006234AA">
        <w:rPr>
          <w:lang w:val="nl-NL"/>
        </w:rPr>
        <w:t>.</w:t>
      </w:r>
      <w:r w:rsidRPr="006234AA">
        <w:rPr>
          <w:lang w:val="nl-NL"/>
        </w:rPr>
        <w:t xml:space="preserve"> </w:t>
      </w:r>
    </w:p>
    <w:p w:rsidR="009C78CA" w:rsidRPr="006234AA" w:rsidRDefault="009C78CA" w:rsidP="003C0546">
      <w:pPr>
        <w:spacing w:after="120"/>
        <w:rPr>
          <w:lang w:val="nl-NL"/>
        </w:rPr>
      </w:pPr>
      <w:r w:rsidRPr="006234AA">
        <w:rPr>
          <w:lang w:val="nl-NL"/>
        </w:rPr>
        <w:t xml:space="preserve">Quy định </w:t>
      </w:r>
      <w:r w:rsidR="00903337" w:rsidRPr="006234AA">
        <w:rPr>
          <w:lang w:val="nl-NL"/>
        </w:rPr>
        <w:t xml:space="preserve">nêu trên </w:t>
      </w:r>
      <w:r w:rsidRPr="006234AA">
        <w:rPr>
          <w:lang w:val="nl-NL"/>
        </w:rPr>
        <w:t xml:space="preserve">không áp dụng trong trường hợp thực hiện theo yêu cầu của Sở giao dịch chứng khoán, </w:t>
      </w:r>
      <w:r w:rsidR="008573AD" w:rsidRPr="006234AA">
        <w:rPr>
          <w:lang w:val="nl-NL"/>
        </w:rPr>
        <w:t>Trung tâm lưu ký chứng khoán</w:t>
      </w:r>
      <w:r w:rsidRPr="006234AA">
        <w:rPr>
          <w:lang w:val="nl-NL"/>
        </w:rPr>
        <w:t>, Ủy ban Chứng khoán nhà nước.</w:t>
      </w:r>
    </w:p>
    <w:p w:rsidR="009C78CA" w:rsidRPr="006234AA" w:rsidRDefault="009C78CA" w:rsidP="003C0546">
      <w:pPr>
        <w:spacing w:after="120"/>
        <w:rPr>
          <w:lang w:val="nl-NL"/>
        </w:rPr>
      </w:pPr>
      <w:r w:rsidRPr="006234AA">
        <w:rPr>
          <w:lang w:val="nl-NL"/>
        </w:rPr>
        <w:t xml:space="preserve">7. Thực hiện </w:t>
      </w:r>
      <w:r w:rsidR="002230ED" w:rsidRPr="006234AA">
        <w:rPr>
          <w:lang w:val="nl-NL"/>
        </w:rPr>
        <w:t xml:space="preserve">hoặc tổ chức, dàn xếp để thực hiện </w:t>
      </w:r>
      <w:r w:rsidRPr="006234AA">
        <w:rPr>
          <w:lang w:val="nl-NL"/>
        </w:rPr>
        <w:t xml:space="preserve">các giao dịch có sự thỏa thuận, thông đồng từ trước, theo đó lệnh giao dịch của một người mua đã xác định sẽ được khớp với lệnh giao dịch của một người bán đã xác định trên hệ thống của Sở giao dịch chứng khoán, </w:t>
      </w:r>
      <w:r w:rsidR="002230ED" w:rsidRPr="006234AA">
        <w:rPr>
          <w:lang w:val="nl-NL"/>
        </w:rPr>
        <w:t>trừ trường hợp là các lệnh giao dịch thực hiện theo phương thức thỏa thuận trên hệ thống giao dịch của Sở giao dịch chứng khoán</w:t>
      </w:r>
      <w:r w:rsidRPr="006234AA">
        <w:rPr>
          <w:lang w:val="nl-NL"/>
        </w:rPr>
        <w:t>.</w:t>
      </w:r>
      <w:r w:rsidR="002230ED" w:rsidRPr="006234AA">
        <w:rPr>
          <w:lang w:val="nl-NL"/>
        </w:rPr>
        <w:t xml:space="preserve"> </w:t>
      </w:r>
    </w:p>
    <w:p w:rsidR="009C78CA" w:rsidRPr="006234AA" w:rsidRDefault="00EB3002" w:rsidP="003C0546">
      <w:pPr>
        <w:spacing w:after="120"/>
        <w:rPr>
          <w:lang w:val="nl-NL"/>
        </w:rPr>
      </w:pPr>
      <w:r w:rsidRPr="006234AA">
        <w:rPr>
          <w:lang w:val="nl-NL"/>
        </w:rPr>
        <w:t>8</w:t>
      </w:r>
      <w:r w:rsidR="009C78CA" w:rsidRPr="006234AA">
        <w:rPr>
          <w:lang w:val="nl-NL"/>
        </w:rPr>
        <w:t xml:space="preserve">. Ký hợp đồng mở tài khoản giao dịch, tiếp nhận lệnh giao dịch của khách hàng ngoài </w:t>
      </w:r>
      <w:r w:rsidR="00D808BA" w:rsidRPr="006234AA">
        <w:rPr>
          <w:lang w:val="nl-NL"/>
        </w:rPr>
        <w:t xml:space="preserve">các địa điểm </w:t>
      </w:r>
      <w:r w:rsidR="009C78CA" w:rsidRPr="006234AA">
        <w:rPr>
          <w:lang w:val="nl-NL"/>
        </w:rPr>
        <w:t>kinh doanh</w:t>
      </w:r>
      <w:r w:rsidR="00683666" w:rsidRPr="006234AA">
        <w:rPr>
          <w:lang w:val="nl-NL"/>
        </w:rPr>
        <w:t xml:space="preserve"> </w:t>
      </w:r>
      <w:r w:rsidR="009C78CA" w:rsidRPr="006234AA">
        <w:rPr>
          <w:lang w:val="nl-NL"/>
        </w:rPr>
        <w:t>của thành viên giao dịch, dưới bất kỳ hình thức nào.</w:t>
      </w:r>
    </w:p>
    <w:p w:rsidR="009C78CA" w:rsidRPr="006234AA" w:rsidRDefault="00F00CAA" w:rsidP="003C0546">
      <w:pPr>
        <w:spacing w:after="120"/>
        <w:rPr>
          <w:lang w:val="nl-NL"/>
        </w:rPr>
      </w:pPr>
      <w:r w:rsidRPr="006234AA">
        <w:rPr>
          <w:lang w:val="nl-NL"/>
        </w:rPr>
        <w:t>9</w:t>
      </w:r>
      <w:r w:rsidR="009C78CA" w:rsidRPr="006234AA">
        <w:rPr>
          <w:lang w:val="nl-NL"/>
        </w:rPr>
        <w:t xml:space="preserve">. </w:t>
      </w:r>
      <w:r w:rsidR="00EB3002" w:rsidRPr="006234AA">
        <w:rPr>
          <w:lang w:val="nl-NL"/>
        </w:rPr>
        <w:t>T</w:t>
      </w:r>
      <w:r w:rsidR="00D808BA" w:rsidRPr="006234AA">
        <w:rPr>
          <w:lang w:val="nl-NL"/>
        </w:rPr>
        <w:t xml:space="preserve">hành viên giao dịch </w:t>
      </w:r>
      <w:r w:rsidRPr="006234AA">
        <w:rPr>
          <w:lang w:val="nl-NL"/>
        </w:rPr>
        <w:t>là</w:t>
      </w:r>
      <w:r w:rsidR="00EA5FD1" w:rsidRPr="006234AA">
        <w:rPr>
          <w:lang w:val="nl-NL"/>
        </w:rPr>
        <w:t xml:space="preserve"> thành viên </w:t>
      </w:r>
      <w:r w:rsidR="00D808BA" w:rsidRPr="006234AA">
        <w:rPr>
          <w:lang w:val="nl-NL"/>
        </w:rPr>
        <w:t>không bù trừ</w:t>
      </w:r>
      <w:r w:rsidR="00EA5FD1" w:rsidRPr="006234AA">
        <w:rPr>
          <w:lang w:val="nl-NL"/>
        </w:rPr>
        <w:t xml:space="preserve"> không được chiếm </w:t>
      </w:r>
      <w:r w:rsidRPr="006234AA">
        <w:rPr>
          <w:lang w:val="nl-NL"/>
        </w:rPr>
        <w:t xml:space="preserve">dụng, lạm dụng, sử dụng </w:t>
      </w:r>
      <w:r w:rsidR="009C78CA" w:rsidRPr="006234AA">
        <w:rPr>
          <w:lang w:val="nl-NL"/>
        </w:rPr>
        <w:t xml:space="preserve">tiền, tài sản của khách hàng; cố ý cho phép hoặc không thể kiểm soát dẫn tới tình trạng tiền, tài sản của khách hàng bị chiếm dụng, lạm </w:t>
      </w:r>
      <w:r w:rsidR="009C78CA" w:rsidRPr="006234AA">
        <w:rPr>
          <w:lang w:val="nl-NL"/>
        </w:rPr>
        <w:lastRenderedPageBreak/>
        <w:t>dụng</w:t>
      </w:r>
      <w:r w:rsidRPr="006234AA">
        <w:rPr>
          <w:lang w:val="nl-NL"/>
        </w:rPr>
        <w:t>, sử dụng</w:t>
      </w:r>
      <w:r w:rsidR="009C78CA" w:rsidRPr="006234AA">
        <w:rPr>
          <w:lang w:val="nl-NL"/>
        </w:rPr>
        <w:t>; không quản lý tách biệt tiền, tài sản của từng khách hàng; không tách biệt tài sản của khách hàng với tài sản của mình.</w:t>
      </w:r>
    </w:p>
    <w:p w:rsidR="009C78CA" w:rsidRPr="006234AA" w:rsidRDefault="009C78CA" w:rsidP="003C0546">
      <w:pPr>
        <w:spacing w:after="120"/>
        <w:rPr>
          <w:lang w:val="nl-NL"/>
        </w:rPr>
      </w:pPr>
      <w:r w:rsidRPr="006234AA">
        <w:rPr>
          <w:lang w:val="nl-NL"/>
        </w:rPr>
        <w:t>1</w:t>
      </w:r>
      <w:r w:rsidR="00F00CAA" w:rsidRPr="006234AA">
        <w:rPr>
          <w:lang w:val="nl-NL"/>
        </w:rPr>
        <w:t>0</w:t>
      </w:r>
      <w:r w:rsidRPr="006234AA">
        <w:rPr>
          <w:lang w:val="nl-NL"/>
        </w:rPr>
        <w:t xml:space="preserve">. Không phối hợp, hợp tác với Sở giao dịch chứng khoán, </w:t>
      </w:r>
      <w:r w:rsidR="008573AD" w:rsidRPr="006234AA">
        <w:rPr>
          <w:lang w:val="nl-NL"/>
        </w:rPr>
        <w:t>Trung tâm lưu ký chứng khoán</w:t>
      </w:r>
      <w:r w:rsidRPr="006234AA">
        <w:rPr>
          <w:lang w:val="nl-NL"/>
        </w:rPr>
        <w:t xml:space="preserve">, Ủy ban Chứng khoán Nhà nước; từ chối, không cung cấp tài liệu liên quan tới </w:t>
      </w:r>
      <w:r w:rsidR="00002D5D" w:rsidRPr="006234AA">
        <w:rPr>
          <w:lang w:val="nl-NL"/>
        </w:rPr>
        <w:t>hoạt động</w:t>
      </w:r>
      <w:r w:rsidRPr="006234AA">
        <w:rPr>
          <w:lang w:val="nl-NL"/>
        </w:rPr>
        <w:t xml:space="preserve"> </w:t>
      </w:r>
      <w:r w:rsidR="00F00CAA" w:rsidRPr="006234AA">
        <w:rPr>
          <w:lang w:val="nl-NL"/>
        </w:rPr>
        <w:t xml:space="preserve">kinh doanh </w:t>
      </w:r>
      <w:r w:rsidRPr="006234AA">
        <w:rPr>
          <w:lang w:val="nl-NL"/>
        </w:rPr>
        <w:t xml:space="preserve">chứng khoán theo yêu cầu của Sở giao dịch chứng khoán, </w:t>
      </w:r>
      <w:r w:rsidR="008573AD" w:rsidRPr="006234AA">
        <w:rPr>
          <w:lang w:val="nl-NL"/>
        </w:rPr>
        <w:t>Trung tâm lưu ký chứng khoán</w:t>
      </w:r>
      <w:r w:rsidRPr="006234AA">
        <w:rPr>
          <w:lang w:val="nl-NL"/>
        </w:rPr>
        <w:t>, Ủy ban Chứng khoán Nhà nước; không thực hiện đầy đủ các chế tài xử lý trong thời hạn theo quy định đối với các hành vi vi phạm hành chính trong lĩnh vực chứng khoán và thị trường chứng khoán.</w:t>
      </w:r>
    </w:p>
    <w:p w:rsidR="009C78CA" w:rsidRPr="006234AA" w:rsidRDefault="009C78CA" w:rsidP="003C0546">
      <w:pPr>
        <w:spacing w:after="120"/>
        <w:rPr>
          <w:lang w:val="nl-NL"/>
        </w:rPr>
      </w:pPr>
      <w:r w:rsidRPr="006234AA">
        <w:rPr>
          <w:lang w:val="nl-NL"/>
        </w:rPr>
        <w:t>1</w:t>
      </w:r>
      <w:r w:rsidR="00F00CAA" w:rsidRPr="006234AA">
        <w:rPr>
          <w:lang w:val="nl-NL"/>
        </w:rPr>
        <w:t>1</w:t>
      </w:r>
      <w:r w:rsidRPr="006234AA">
        <w:rPr>
          <w:lang w:val="nl-NL"/>
        </w:rPr>
        <w:t>. Cho phép cá nhân</w:t>
      </w:r>
      <w:r w:rsidR="00F00CAA" w:rsidRPr="006234AA">
        <w:rPr>
          <w:lang w:val="nl-NL"/>
        </w:rPr>
        <w:t xml:space="preserve"> không có thẩm quyền</w:t>
      </w:r>
      <w:r w:rsidRPr="006234AA">
        <w:rPr>
          <w:lang w:val="nl-NL"/>
        </w:rPr>
        <w:t xml:space="preserve">, tổ chức khác sử dụng </w:t>
      </w:r>
      <w:r w:rsidR="00F00CAA" w:rsidRPr="006234AA">
        <w:rPr>
          <w:lang w:val="nl-NL"/>
        </w:rPr>
        <w:t xml:space="preserve">hạ tầng công nghệ thông tin </w:t>
      </w:r>
      <w:r w:rsidRPr="006234AA">
        <w:rPr>
          <w:lang w:val="nl-NL"/>
        </w:rPr>
        <w:t xml:space="preserve">kết nối với Sở giao dịch chứng khoán, </w:t>
      </w:r>
      <w:r w:rsidR="008573AD" w:rsidRPr="006234AA">
        <w:rPr>
          <w:lang w:val="nl-NL"/>
        </w:rPr>
        <w:t>Trung tâm lưu ký chứng khoán</w:t>
      </w:r>
      <w:r w:rsidR="00F00CAA" w:rsidRPr="006234AA">
        <w:rPr>
          <w:lang w:val="nl-NL"/>
        </w:rPr>
        <w:t xml:space="preserve">, Ủy ban chứng khoán Nhà nước hoặc </w:t>
      </w:r>
      <w:r w:rsidRPr="006234AA">
        <w:rPr>
          <w:lang w:val="nl-NL"/>
        </w:rPr>
        <w:t xml:space="preserve">sử dụng </w:t>
      </w:r>
      <w:r w:rsidR="006D462C" w:rsidRPr="006234AA">
        <w:rPr>
          <w:lang w:val="nl-NL"/>
        </w:rPr>
        <w:t xml:space="preserve">các địa điểm </w:t>
      </w:r>
      <w:r w:rsidRPr="006234AA">
        <w:rPr>
          <w:lang w:val="nl-NL"/>
        </w:rPr>
        <w:t xml:space="preserve">kinh doanh </w:t>
      </w:r>
      <w:r w:rsidR="006D462C" w:rsidRPr="006234AA">
        <w:rPr>
          <w:lang w:val="nl-NL"/>
        </w:rPr>
        <w:t xml:space="preserve">của mình để </w:t>
      </w:r>
      <w:r w:rsidRPr="006234AA">
        <w:rPr>
          <w:lang w:val="nl-NL"/>
        </w:rPr>
        <w:t>thực hiện các hành vi, giao dịch bị cấm theo quy định tại Điều 9 Luật Chứng khoán</w:t>
      </w:r>
      <w:r w:rsidR="00F00CAA" w:rsidRPr="006234AA">
        <w:rPr>
          <w:lang w:val="nl-NL"/>
        </w:rPr>
        <w:t xml:space="preserve"> và các quy định của pháp luật liên quan</w:t>
      </w:r>
      <w:r w:rsidRPr="006234AA">
        <w:rPr>
          <w:lang w:val="nl-NL"/>
        </w:rPr>
        <w:t>.</w:t>
      </w:r>
    </w:p>
    <w:p w:rsidR="009C78CA" w:rsidRPr="006234AA" w:rsidRDefault="009C78CA" w:rsidP="003C0546">
      <w:pPr>
        <w:spacing w:after="120"/>
        <w:rPr>
          <w:lang w:val="nl-NL"/>
        </w:rPr>
      </w:pPr>
      <w:r w:rsidRPr="006234AA">
        <w:rPr>
          <w:lang w:val="nl-NL"/>
        </w:rPr>
        <w:t>1</w:t>
      </w:r>
      <w:r w:rsidR="00590A40" w:rsidRPr="006234AA">
        <w:rPr>
          <w:lang w:val="nl-NL"/>
        </w:rPr>
        <w:t>2</w:t>
      </w:r>
      <w:r w:rsidRPr="006234AA">
        <w:rPr>
          <w:lang w:val="nl-NL"/>
        </w:rPr>
        <w:t>. Mở tài khoản giao dịch, thực hiện các giao dịch chứng khoán phái sinh dưới tên của người khác</w:t>
      </w:r>
      <w:r w:rsidR="00590A40" w:rsidRPr="006234AA">
        <w:rPr>
          <w:lang w:val="nl-NL"/>
        </w:rPr>
        <w:t>, trừ trường hợp quản lý tài khoản giao dịch của khách hàng theo ủy quyền bằng văn bản và phù hợp với quy định của pháp luật</w:t>
      </w:r>
      <w:r w:rsidR="006D462C" w:rsidRPr="006234AA">
        <w:rPr>
          <w:lang w:val="nl-NL"/>
        </w:rPr>
        <w:t>. Sử dụng tài khoản của khách hàng để th</w:t>
      </w:r>
      <w:r w:rsidR="00590A40" w:rsidRPr="006234AA">
        <w:rPr>
          <w:lang w:val="nl-NL"/>
        </w:rPr>
        <w:t>ực hiện</w:t>
      </w:r>
      <w:r w:rsidR="006D462C" w:rsidRPr="006234AA">
        <w:rPr>
          <w:lang w:val="nl-NL"/>
        </w:rPr>
        <w:t xml:space="preserve"> các giao dịch chứng khoán phái sinh.</w:t>
      </w:r>
      <w:r w:rsidRPr="006234AA">
        <w:rPr>
          <w:lang w:val="nl-NL"/>
        </w:rPr>
        <w:t xml:space="preserve"> </w:t>
      </w:r>
      <w:r w:rsidR="006D462C" w:rsidRPr="006234AA">
        <w:rPr>
          <w:lang w:val="nl-NL"/>
        </w:rPr>
        <w:t>N</w:t>
      </w:r>
      <w:r w:rsidRPr="006234AA">
        <w:rPr>
          <w:lang w:val="nl-NL"/>
        </w:rPr>
        <w:t>hận lệnh, thanh toán giao dịch với người không phải là người đứng tên tài khoản giao dịch mà không có ủy quyền của người đứng tên tài khoản bằng văn bản.</w:t>
      </w:r>
    </w:p>
    <w:p w:rsidR="009C78CA" w:rsidRPr="006234AA" w:rsidRDefault="009C78CA" w:rsidP="003C0546">
      <w:pPr>
        <w:spacing w:after="120"/>
        <w:rPr>
          <w:lang w:val="nl-NL"/>
        </w:rPr>
      </w:pPr>
      <w:r w:rsidRPr="006234AA">
        <w:rPr>
          <w:lang w:val="nl-NL"/>
        </w:rPr>
        <w:t>1</w:t>
      </w:r>
      <w:r w:rsidR="00590A40" w:rsidRPr="006234AA">
        <w:rPr>
          <w:lang w:val="nl-NL"/>
        </w:rPr>
        <w:t>3</w:t>
      </w:r>
      <w:r w:rsidRPr="006234AA">
        <w:rPr>
          <w:lang w:val="nl-NL"/>
        </w:rPr>
        <w:t xml:space="preserve">. </w:t>
      </w:r>
      <w:r w:rsidR="002230ED" w:rsidRPr="006234AA">
        <w:rPr>
          <w:lang w:val="nl-NL"/>
        </w:rPr>
        <w:t>Tiếp nhận lệnh và t</w:t>
      </w:r>
      <w:r w:rsidRPr="006234AA">
        <w:rPr>
          <w:lang w:val="nl-NL"/>
        </w:rPr>
        <w:t>hực hiện giao dịch cho khách hàng với khối lượng</w:t>
      </w:r>
      <w:r w:rsidR="00590A40" w:rsidRPr="006234AA">
        <w:rPr>
          <w:lang w:val="nl-NL"/>
        </w:rPr>
        <w:t>,</w:t>
      </w:r>
      <w:r w:rsidRPr="006234AA">
        <w:rPr>
          <w:lang w:val="nl-NL"/>
        </w:rPr>
        <w:t xml:space="preserve"> vị thế vượt quá </w:t>
      </w:r>
      <w:r w:rsidR="00590A40" w:rsidRPr="006234AA">
        <w:rPr>
          <w:lang w:val="nl-NL"/>
        </w:rPr>
        <w:t>các giới hạn theo quy chế của Sở giao dịch chứng khoán, Trung tâm Lưu ký chứng khoán</w:t>
      </w:r>
      <w:r w:rsidRPr="006234AA">
        <w:rPr>
          <w:lang w:val="nl-NL"/>
        </w:rPr>
        <w:t>.</w:t>
      </w:r>
    </w:p>
    <w:p w:rsidR="009C78CA" w:rsidRPr="006234AA" w:rsidRDefault="009C78CA" w:rsidP="003C0546">
      <w:pPr>
        <w:spacing w:after="120"/>
        <w:rPr>
          <w:lang w:val="nl-NL"/>
        </w:rPr>
      </w:pPr>
      <w:r w:rsidRPr="006234AA">
        <w:rPr>
          <w:lang w:val="nl-NL"/>
        </w:rPr>
        <w:t>1</w:t>
      </w:r>
      <w:r w:rsidR="00CF1F3A" w:rsidRPr="006234AA">
        <w:rPr>
          <w:lang w:val="nl-NL"/>
        </w:rPr>
        <w:t>4</w:t>
      </w:r>
      <w:r w:rsidRPr="006234AA">
        <w:rPr>
          <w:lang w:val="nl-NL"/>
        </w:rPr>
        <w:t xml:space="preserve">. Mời chào, môi giới thực hiện giao dịch các loại chứng khoán phái sinh khi chưa có </w:t>
      </w:r>
      <w:r w:rsidR="00683666" w:rsidRPr="006234AA">
        <w:rPr>
          <w:lang w:val="nl-NL"/>
        </w:rPr>
        <w:t>văn bản pháp luật</w:t>
      </w:r>
      <w:r w:rsidRPr="006234AA">
        <w:rPr>
          <w:lang w:val="nl-NL"/>
        </w:rPr>
        <w:t xml:space="preserve"> hướng dẫn.</w:t>
      </w:r>
    </w:p>
    <w:p w:rsidR="009C78CA" w:rsidRPr="006234AA" w:rsidRDefault="006D462C" w:rsidP="003C0546">
      <w:pPr>
        <w:spacing w:after="120"/>
        <w:rPr>
          <w:lang w:val="nl-NL"/>
        </w:rPr>
      </w:pPr>
      <w:r w:rsidRPr="006234AA">
        <w:rPr>
          <w:lang w:val="nl-NL"/>
        </w:rPr>
        <w:t>1</w:t>
      </w:r>
      <w:r w:rsidR="00CF1F3A" w:rsidRPr="006234AA">
        <w:rPr>
          <w:lang w:val="nl-NL"/>
        </w:rPr>
        <w:t>5</w:t>
      </w:r>
      <w:r w:rsidR="009C78CA" w:rsidRPr="006234AA">
        <w:rPr>
          <w:lang w:val="nl-NL"/>
        </w:rPr>
        <w:t xml:space="preserve">. </w:t>
      </w:r>
      <w:r w:rsidR="00683666" w:rsidRPr="006234AA">
        <w:rPr>
          <w:lang w:val="nl-NL"/>
        </w:rPr>
        <w:t>Giả chữ ký, g</w:t>
      </w:r>
      <w:r w:rsidR="009C78CA" w:rsidRPr="006234AA">
        <w:rPr>
          <w:lang w:val="nl-NL"/>
        </w:rPr>
        <w:t xml:space="preserve">ian lận, ép buộc hoặc thực hiện các </w:t>
      </w:r>
      <w:r w:rsidR="004C2994" w:rsidRPr="006234AA">
        <w:rPr>
          <w:lang w:val="nl-NL"/>
        </w:rPr>
        <w:t>hành vi</w:t>
      </w:r>
      <w:r w:rsidR="009C78CA" w:rsidRPr="006234AA">
        <w:rPr>
          <w:lang w:val="nl-NL"/>
        </w:rPr>
        <w:t xml:space="preserve"> không phù hợp khác để mở tài khoản giao dịch hoặc </w:t>
      </w:r>
      <w:r w:rsidR="00683666" w:rsidRPr="006234AA">
        <w:rPr>
          <w:lang w:val="nl-NL"/>
        </w:rPr>
        <w:t xml:space="preserve">đặt lệnh, </w:t>
      </w:r>
      <w:r w:rsidR="009C78CA" w:rsidRPr="006234AA">
        <w:rPr>
          <w:lang w:val="nl-NL"/>
        </w:rPr>
        <w:t>thực hiện các giao dịch chứng khoán phái sinh.</w:t>
      </w:r>
    </w:p>
    <w:p w:rsidR="009C78CA" w:rsidRPr="006234AA" w:rsidRDefault="009C78CA" w:rsidP="003C0546">
      <w:pPr>
        <w:spacing w:after="120"/>
        <w:rPr>
          <w:lang w:val="nl-NL"/>
        </w:rPr>
      </w:pPr>
      <w:r w:rsidRPr="006234AA">
        <w:rPr>
          <w:lang w:val="nl-NL"/>
        </w:rPr>
        <w:t>1</w:t>
      </w:r>
      <w:r w:rsidR="00985401" w:rsidRPr="006234AA">
        <w:rPr>
          <w:lang w:val="nl-NL"/>
        </w:rPr>
        <w:t>6</w:t>
      </w:r>
      <w:r w:rsidRPr="006234AA">
        <w:rPr>
          <w:lang w:val="nl-NL"/>
        </w:rPr>
        <w:t>. Không xử lý, giải quyết khiếu kiện hợp pháp, trả lời các đơn thư của khách hàng trong thẩm quyền giải quyết của mình</w:t>
      </w:r>
      <w:r w:rsidR="00711CE9" w:rsidRPr="006234AA">
        <w:rPr>
          <w:lang w:val="nl-NL"/>
        </w:rPr>
        <w:t xml:space="preserve"> phù hợp với quy định của pháp luật có liên quan</w:t>
      </w:r>
      <w:r w:rsidRPr="006234AA">
        <w:rPr>
          <w:lang w:val="nl-NL"/>
        </w:rPr>
        <w:t>.</w:t>
      </w:r>
    </w:p>
    <w:p w:rsidR="009C78CA" w:rsidRPr="006234AA" w:rsidRDefault="006D462C" w:rsidP="003C0546">
      <w:pPr>
        <w:spacing w:after="120"/>
        <w:rPr>
          <w:lang w:val="nl-NL"/>
        </w:rPr>
      </w:pPr>
      <w:r w:rsidRPr="006234AA">
        <w:rPr>
          <w:lang w:val="nl-NL"/>
        </w:rPr>
        <w:t>1</w:t>
      </w:r>
      <w:r w:rsidR="0037296F" w:rsidRPr="006234AA">
        <w:rPr>
          <w:lang w:val="nl-NL"/>
        </w:rPr>
        <w:t>7</w:t>
      </w:r>
      <w:r w:rsidR="009C78CA" w:rsidRPr="006234AA">
        <w:rPr>
          <w:lang w:val="nl-NL"/>
        </w:rPr>
        <w:t xml:space="preserve">. Không tuân thủ hoặc tạo điều kiện cho tổ chức, cá nhân khác không tuân </w:t>
      </w:r>
      <w:r w:rsidR="005718B7" w:rsidRPr="006234AA">
        <w:rPr>
          <w:lang w:val="nl-NL"/>
        </w:rPr>
        <w:t xml:space="preserve">thủ </w:t>
      </w:r>
      <w:r w:rsidR="009C78CA" w:rsidRPr="006234AA">
        <w:rPr>
          <w:lang w:val="nl-NL"/>
        </w:rPr>
        <w:t xml:space="preserve">các quy định về nghĩa vụ báo cáo, </w:t>
      </w:r>
      <w:r w:rsidR="00287492" w:rsidRPr="006234AA">
        <w:rPr>
          <w:lang w:val="nl-NL"/>
        </w:rPr>
        <w:t>công bố thông tin</w:t>
      </w:r>
      <w:r w:rsidR="009C78CA" w:rsidRPr="006234AA">
        <w:rPr>
          <w:lang w:val="nl-NL"/>
        </w:rPr>
        <w:t xml:space="preserve">, báo cáo không trung thực cho Ủy ban Chứng khoán Nhà nước, Sở giao dịch chứng khoán, </w:t>
      </w:r>
      <w:r w:rsidR="008573AD" w:rsidRPr="006234AA">
        <w:rPr>
          <w:lang w:val="nl-NL"/>
        </w:rPr>
        <w:t>Trung tâm lưu ký chứng khoán</w:t>
      </w:r>
      <w:r w:rsidRPr="006234AA">
        <w:rPr>
          <w:lang w:val="nl-NL"/>
        </w:rPr>
        <w:t xml:space="preserve"> và </w:t>
      </w:r>
      <w:r w:rsidR="009C78CA" w:rsidRPr="006234AA">
        <w:rPr>
          <w:lang w:val="nl-NL"/>
        </w:rPr>
        <w:t xml:space="preserve">các quy định </w:t>
      </w:r>
      <w:r w:rsidRPr="006234AA">
        <w:rPr>
          <w:lang w:val="nl-NL"/>
        </w:rPr>
        <w:t xml:space="preserve">khác </w:t>
      </w:r>
      <w:r w:rsidR="009C78CA" w:rsidRPr="006234AA">
        <w:rPr>
          <w:lang w:val="nl-NL"/>
        </w:rPr>
        <w:t>của pháp luật về chứng khoán và thị trường chứng khoán.</w:t>
      </w:r>
    </w:p>
    <w:p w:rsidR="00CB73FD" w:rsidRPr="006234AA" w:rsidRDefault="0037296F" w:rsidP="003C0546">
      <w:pPr>
        <w:spacing w:after="120"/>
        <w:rPr>
          <w:lang w:val="nl-NL"/>
        </w:rPr>
      </w:pPr>
      <w:r w:rsidRPr="006234AA">
        <w:rPr>
          <w:lang w:val="nl-NL"/>
        </w:rPr>
        <w:t>18</w:t>
      </w:r>
      <w:r w:rsidR="00F07B12" w:rsidRPr="006234AA">
        <w:rPr>
          <w:lang w:val="nl-NL"/>
        </w:rPr>
        <w:t>. Th</w:t>
      </w:r>
      <w:r w:rsidR="004616F8" w:rsidRPr="006234AA">
        <w:rPr>
          <w:lang w:val="nl-NL"/>
        </w:rPr>
        <w:t xml:space="preserve">ực hiện hoặc phối hợp với các tổ chức, cá nhân khác </w:t>
      </w:r>
      <w:r w:rsidR="00F07B12" w:rsidRPr="006234AA">
        <w:rPr>
          <w:lang w:val="nl-NL"/>
        </w:rPr>
        <w:t>thực hiện các giao dịch chứng khoán phái sinh nhằm mục đích thâu tóm, hợp nhất hoặc sáp nhập doanh nghiệp cho mình hoặc theo chỉ định của tổ chức, cá nhân khác.</w:t>
      </w:r>
    </w:p>
    <w:p w:rsidR="00627372" w:rsidRPr="006234AA" w:rsidRDefault="00627372" w:rsidP="003C0546">
      <w:pPr>
        <w:pStyle w:val="Heading4"/>
        <w:spacing w:after="120"/>
        <w:ind w:hanging="502"/>
      </w:pPr>
      <w:bookmarkStart w:id="119" w:name="_Toc397003356"/>
      <w:bookmarkStart w:id="120" w:name="_Toc422671979"/>
      <w:r w:rsidRPr="006234AA">
        <w:lastRenderedPageBreak/>
        <w:t>Đình chỉ</w:t>
      </w:r>
      <w:r w:rsidR="00DD1C74" w:rsidRPr="006234AA">
        <w:t>, chấm dứt</w:t>
      </w:r>
      <w:r w:rsidRPr="006234AA">
        <w:t xml:space="preserve"> </w:t>
      </w:r>
      <w:r w:rsidR="008A1853" w:rsidRPr="006234AA">
        <w:t>tư cách</w:t>
      </w:r>
      <w:r w:rsidRPr="006234AA">
        <w:t xml:space="preserve"> thành viên giao dịch</w:t>
      </w:r>
      <w:bookmarkEnd w:id="119"/>
      <w:bookmarkEnd w:id="120"/>
    </w:p>
    <w:p w:rsidR="00CB73FD" w:rsidRPr="006234AA" w:rsidRDefault="00CB73FD" w:rsidP="003C0546">
      <w:pPr>
        <w:spacing w:after="120"/>
        <w:rPr>
          <w:lang w:val="nl-NL"/>
        </w:rPr>
      </w:pPr>
      <w:r w:rsidRPr="006234AA">
        <w:rPr>
          <w:lang w:val="nl-NL"/>
        </w:rPr>
        <w:t xml:space="preserve">1. Sở giao dịch chứng khoán đình chỉ </w:t>
      </w:r>
      <w:r w:rsidR="008A1853" w:rsidRPr="006234AA">
        <w:rPr>
          <w:lang w:val="nl-NL"/>
        </w:rPr>
        <w:t xml:space="preserve">tư cách thành viên giao dịch </w:t>
      </w:r>
      <w:r w:rsidRPr="006234AA">
        <w:rPr>
          <w:lang w:val="nl-NL"/>
        </w:rPr>
        <w:t xml:space="preserve">trong các trường hợp sau: </w:t>
      </w:r>
    </w:p>
    <w:p w:rsidR="000D1839" w:rsidRPr="006234AA" w:rsidRDefault="00731789" w:rsidP="003C0546">
      <w:pPr>
        <w:spacing w:after="120"/>
        <w:rPr>
          <w:lang w:val="nl-NL"/>
        </w:rPr>
      </w:pPr>
      <w:r w:rsidRPr="006234AA">
        <w:rPr>
          <w:lang w:val="nl-NL"/>
        </w:rPr>
        <w:t>a</w:t>
      </w:r>
      <w:r w:rsidR="00CB73FD" w:rsidRPr="006234AA">
        <w:rPr>
          <w:lang w:val="nl-NL"/>
        </w:rPr>
        <w:t xml:space="preserve">) </w:t>
      </w:r>
      <w:r w:rsidR="000423A1" w:rsidRPr="006234AA">
        <w:rPr>
          <w:lang w:val="nl-NL"/>
        </w:rPr>
        <w:t>Là công ty chứng khoán</w:t>
      </w:r>
      <w:r w:rsidR="000D1839" w:rsidRPr="006234AA">
        <w:rPr>
          <w:lang w:val="nl-NL"/>
        </w:rPr>
        <w:t xml:space="preserve"> </w:t>
      </w:r>
      <w:r w:rsidR="008A1853" w:rsidRPr="006234AA">
        <w:rPr>
          <w:lang w:val="nl-NL"/>
        </w:rPr>
        <w:t xml:space="preserve">bị </w:t>
      </w:r>
      <w:r w:rsidR="000D1839" w:rsidRPr="006234AA">
        <w:rPr>
          <w:lang w:val="nl-NL"/>
        </w:rPr>
        <w:t>đình chỉ</w:t>
      </w:r>
      <w:r w:rsidR="008A1853" w:rsidRPr="006234AA">
        <w:rPr>
          <w:lang w:val="nl-NL"/>
        </w:rPr>
        <w:t xml:space="preserve">, </w:t>
      </w:r>
      <w:r w:rsidR="000423A1" w:rsidRPr="006234AA">
        <w:rPr>
          <w:lang w:val="nl-NL"/>
        </w:rPr>
        <w:t xml:space="preserve">chấm dứt </w:t>
      </w:r>
      <w:r w:rsidR="008A1853" w:rsidRPr="006234AA">
        <w:rPr>
          <w:lang w:val="nl-NL"/>
        </w:rPr>
        <w:t>hoạt động</w:t>
      </w:r>
      <w:r w:rsidR="000D1839" w:rsidRPr="006234AA">
        <w:rPr>
          <w:lang w:val="nl-NL"/>
        </w:rPr>
        <w:t xml:space="preserve"> kinh doanh chứng khoán</w:t>
      </w:r>
      <w:r w:rsidR="008A1853" w:rsidRPr="006234AA">
        <w:rPr>
          <w:lang w:val="nl-NL"/>
        </w:rPr>
        <w:t xml:space="preserve"> </w:t>
      </w:r>
      <w:r w:rsidR="000423A1" w:rsidRPr="006234AA">
        <w:rPr>
          <w:lang w:val="nl-NL"/>
        </w:rPr>
        <w:t>phái sinh theo quy định tại Điều 29 Thông tư này, hoặc bị đình chỉ, tạm dừng hoạt động kinh doanh chứng khoán theo quy định của pháp luật chứng khoán</w:t>
      </w:r>
      <w:r w:rsidR="000D1839" w:rsidRPr="006234AA">
        <w:rPr>
          <w:lang w:val="nl-NL"/>
        </w:rPr>
        <w:t>;</w:t>
      </w:r>
    </w:p>
    <w:p w:rsidR="00BB53D5" w:rsidRPr="006234AA" w:rsidRDefault="008A1853" w:rsidP="003C0546">
      <w:pPr>
        <w:spacing w:after="120"/>
        <w:rPr>
          <w:lang w:val="nl-NL"/>
        </w:rPr>
      </w:pPr>
      <w:r w:rsidRPr="006234AA">
        <w:rPr>
          <w:lang w:val="nl-NL"/>
        </w:rPr>
        <w:t>b</w:t>
      </w:r>
      <w:r w:rsidR="00CB73FD" w:rsidRPr="006234AA">
        <w:rPr>
          <w:lang w:val="nl-NL"/>
        </w:rPr>
        <w:t xml:space="preserve">) </w:t>
      </w:r>
      <w:r w:rsidR="00BB53D5" w:rsidRPr="006234AA">
        <w:rPr>
          <w:lang w:val="nl-NL"/>
        </w:rPr>
        <w:t>Thành viên giao dịch là thành viên bù trừ hoặc có thành viên bù trừ được chỉ định bị Trung tâm Lưu ký chứng khoán đình chỉ hoạt động bù trừ, thanh toán chứng khoán phái sinh, chấm dứt tư cách thành viên thành viên bù trừ;</w:t>
      </w:r>
    </w:p>
    <w:p w:rsidR="00CB73FD" w:rsidRPr="006234AA" w:rsidRDefault="00BB53D5" w:rsidP="003C0546">
      <w:pPr>
        <w:spacing w:after="120"/>
        <w:rPr>
          <w:lang w:val="nl-NL"/>
        </w:rPr>
      </w:pPr>
      <w:r w:rsidRPr="006234AA">
        <w:rPr>
          <w:lang w:val="nl-NL"/>
        </w:rPr>
        <w:t xml:space="preserve">c) </w:t>
      </w:r>
      <w:r w:rsidR="00CB73FD" w:rsidRPr="006234AA">
        <w:rPr>
          <w:lang w:val="nl-NL"/>
        </w:rPr>
        <w:t xml:space="preserve">Các trường hợp khác </w:t>
      </w:r>
      <w:r w:rsidR="00731789" w:rsidRPr="006234AA">
        <w:rPr>
          <w:lang w:val="nl-NL"/>
        </w:rPr>
        <w:t xml:space="preserve">theo Quy chế thành viên của </w:t>
      </w:r>
      <w:r w:rsidR="00CB73FD" w:rsidRPr="006234AA">
        <w:rPr>
          <w:lang w:val="nl-NL"/>
        </w:rPr>
        <w:t>Sở giao dịch chứng khoán.</w:t>
      </w:r>
    </w:p>
    <w:p w:rsidR="00CB73FD" w:rsidRPr="006234AA" w:rsidRDefault="00CB73FD" w:rsidP="003C0546">
      <w:pPr>
        <w:spacing w:after="120"/>
        <w:rPr>
          <w:lang w:val="nl-NL"/>
        </w:rPr>
      </w:pPr>
      <w:r w:rsidRPr="006234AA">
        <w:rPr>
          <w:lang w:val="nl-NL"/>
        </w:rPr>
        <w:t xml:space="preserve">2. </w:t>
      </w:r>
      <w:r w:rsidR="00871AC8" w:rsidRPr="006234AA">
        <w:rPr>
          <w:lang w:val="nl-NL"/>
        </w:rPr>
        <w:t xml:space="preserve">Tư cách thành viên giao dịch của Sở giao dịch chứng khoán chỉ được khôi phục sau khi nguyên nhân đình chỉ hoạt động đã được khắc phục. </w:t>
      </w:r>
      <w:r w:rsidRPr="006234AA">
        <w:rPr>
          <w:lang w:val="nl-NL"/>
        </w:rPr>
        <w:t>Thời gian đình chỉ hoạt động do Sở giao dịch chứng khoán quyết định</w:t>
      </w:r>
      <w:r w:rsidR="00871AC8" w:rsidRPr="006234AA">
        <w:rPr>
          <w:lang w:val="nl-NL"/>
        </w:rPr>
        <w:t xml:space="preserve"> nhưng </w:t>
      </w:r>
      <w:r w:rsidRPr="006234AA">
        <w:rPr>
          <w:lang w:val="nl-NL"/>
        </w:rPr>
        <w:t>bảo đảm:</w:t>
      </w:r>
    </w:p>
    <w:p w:rsidR="006665F2" w:rsidRPr="006234AA" w:rsidRDefault="00175FED" w:rsidP="003C0546">
      <w:pPr>
        <w:spacing w:after="120"/>
        <w:rPr>
          <w:lang w:val="nl-NL"/>
        </w:rPr>
      </w:pPr>
      <w:r w:rsidRPr="006234AA">
        <w:rPr>
          <w:lang w:val="nl-NL"/>
        </w:rPr>
        <w:t>a</w:t>
      </w:r>
      <w:r w:rsidR="00CB73FD" w:rsidRPr="006234AA">
        <w:rPr>
          <w:lang w:val="nl-NL"/>
        </w:rPr>
        <w:t xml:space="preserve">) Trường hợp quy định tại </w:t>
      </w:r>
      <w:r w:rsidR="008A1853" w:rsidRPr="006234AA">
        <w:rPr>
          <w:lang w:val="nl-NL"/>
        </w:rPr>
        <w:t>Đ</w:t>
      </w:r>
      <w:r w:rsidR="00CB73FD" w:rsidRPr="006234AA">
        <w:rPr>
          <w:lang w:val="nl-NL"/>
        </w:rPr>
        <w:t xml:space="preserve">iểm </w:t>
      </w:r>
      <w:r w:rsidR="00731789" w:rsidRPr="006234AA">
        <w:rPr>
          <w:lang w:val="nl-NL"/>
        </w:rPr>
        <w:t xml:space="preserve">a </w:t>
      </w:r>
      <w:r w:rsidR="008A1853" w:rsidRPr="006234AA">
        <w:rPr>
          <w:lang w:val="nl-NL"/>
        </w:rPr>
        <w:t>K</w:t>
      </w:r>
      <w:r w:rsidR="00CB73FD" w:rsidRPr="006234AA">
        <w:rPr>
          <w:lang w:val="nl-NL"/>
        </w:rPr>
        <w:t>hoản 1 Điều này: thời hạn đình chỉ hoạt động tối đa không quá 2 năm</w:t>
      </w:r>
      <w:r w:rsidRPr="006234AA">
        <w:rPr>
          <w:lang w:val="nl-NL"/>
        </w:rPr>
        <w:t>;</w:t>
      </w:r>
    </w:p>
    <w:p w:rsidR="00175FED" w:rsidRPr="006234AA" w:rsidDel="00731789" w:rsidRDefault="00175FED" w:rsidP="003C0546">
      <w:pPr>
        <w:spacing w:after="120"/>
        <w:rPr>
          <w:lang w:val="nl-NL"/>
        </w:rPr>
      </w:pPr>
      <w:r w:rsidRPr="006234AA">
        <w:rPr>
          <w:lang w:val="nl-NL"/>
        </w:rPr>
        <w:t>b</w:t>
      </w:r>
      <w:r w:rsidRPr="006234AA" w:rsidDel="00731789">
        <w:rPr>
          <w:lang w:val="nl-NL"/>
        </w:rPr>
        <w:t xml:space="preserve">) Trường hợp quy định tại </w:t>
      </w:r>
      <w:r w:rsidR="008A1853" w:rsidRPr="006234AA">
        <w:rPr>
          <w:lang w:val="nl-NL"/>
        </w:rPr>
        <w:t>Đ</w:t>
      </w:r>
      <w:r w:rsidRPr="006234AA" w:rsidDel="00731789">
        <w:rPr>
          <w:lang w:val="nl-NL"/>
        </w:rPr>
        <w:t xml:space="preserve">iểm </w:t>
      </w:r>
      <w:r w:rsidR="008A1853" w:rsidRPr="006234AA">
        <w:rPr>
          <w:lang w:val="nl-NL"/>
        </w:rPr>
        <w:t>b</w:t>
      </w:r>
      <w:r w:rsidR="00BB53D5" w:rsidRPr="006234AA">
        <w:rPr>
          <w:lang w:val="nl-NL"/>
        </w:rPr>
        <w:t>, c</w:t>
      </w:r>
      <w:r w:rsidRPr="006234AA">
        <w:rPr>
          <w:lang w:val="nl-NL"/>
        </w:rPr>
        <w:t xml:space="preserve"> </w:t>
      </w:r>
      <w:r w:rsidR="008A1853" w:rsidRPr="006234AA">
        <w:rPr>
          <w:lang w:val="nl-NL"/>
        </w:rPr>
        <w:t>K</w:t>
      </w:r>
      <w:r w:rsidRPr="006234AA" w:rsidDel="00731789">
        <w:rPr>
          <w:lang w:val="nl-NL"/>
        </w:rPr>
        <w:t xml:space="preserve">hoản 1 Điều này: </w:t>
      </w:r>
      <w:r w:rsidR="00BB53D5" w:rsidRPr="006234AA">
        <w:rPr>
          <w:lang w:val="nl-NL"/>
        </w:rPr>
        <w:t xml:space="preserve">thời hạn đình chỉ </w:t>
      </w:r>
      <w:r w:rsidRPr="006234AA" w:rsidDel="00731789">
        <w:rPr>
          <w:lang w:val="nl-NL"/>
        </w:rPr>
        <w:t>tối đa không quá 6 tháng</w:t>
      </w:r>
      <w:r w:rsidRPr="006234AA">
        <w:rPr>
          <w:lang w:val="nl-NL"/>
        </w:rPr>
        <w:t>.</w:t>
      </w:r>
      <w:r w:rsidRPr="006234AA" w:rsidDel="00731789">
        <w:rPr>
          <w:lang w:val="nl-NL"/>
        </w:rPr>
        <w:t xml:space="preserve"> </w:t>
      </w:r>
    </w:p>
    <w:p w:rsidR="00DD1C74" w:rsidRPr="006234AA" w:rsidRDefault="00DD1C74" w:rsidP="003C0546">
      <w:pPr>
        <w:spacing w:after="120"/>
        <w:rPr>
          <w:lang w:val="nl-NL"/>
        </w:rPr>
      </w:pPr>
      <w:r w:rsidRPr="006234AA">
        <w:rPr>
          <w:lang w:val="nl-NL"/>
        </w:rPr>
        <w:t>3. Thành viên giao dịch bị chấm dứt tư cách thành viên trong các trường hợp sau:</w:t>
      </w:r>
    </w:p>
    <w:p w:rsidR="00DD1C74" w:rsidRPr="006234AA" w:rsidRDefault="00DD1C74" w:rsidP="003C0546">
      <w:pPr>
        <w:spacing w:after="120"/>
        <w:rPr>
          <w:lang w:val="nl-NL"/>
        </w:rPr>
      </w:pPr>
      <w:r w:rsidRPr="006234AA">
        <w:rPr>
          <w:lang w:val="nl-NL"/>
        </w:rPr>
        <w:t xml:space="preserve">a) Tự nguyện chấm dứt tư cách thành viên do tự nguyện chấm dứt hoạt động kinh doanh chứng khoán, hoặc tự nguyện chấm dứt hoạt động môi giới chứng khoán phái sinh; </w:t>
      </w:r>
    </w:p>
    <w:p w:rsidR="00DD1C74" w:rsidRPr="006234AA" w:rsidRDefault="00DD1C74" w:rsidP="003C0546">
      <w:pPr>
        <w:spacing w:after="120"/>
        <w:rPr>
          <w:lang w:val="nl-NL"/>
        </w:rPr>
      </w:pPr>
      <w:r w:rsidRPr="006234AA">
        <w:rPr>
          <w:lang w:val="nl-NL"/>
        </w:rPr>
        <w:t>b) Buộc phải chấm dứt tư cách thành viên do:</w:t>
      </w:r>
    </w:p>
    <w:p w:rsidR="00DD1C74" w:rsidRPr="006234AA" w:rsidRDefault="00DD1C74" w:rsidP="003C0546">
      <w:pPr>
        <w:spacing w:after="120"/>
        <w:rPr>
          <w:lang w:val="nl-NL"/>
        </w:rPr>
      </w:pPr>
      <w:r w:rsidRPr="006234AA">
        <w:rPr>
          <w:lang w:val="nl-NL"/>
        </w:rPr>
        <w:t>- Không khắc phục được tình trạng bị đình chỉ hoạt động theo quy định tại Khoản 1, Khoản 2 Điều này;</w:t>
      </w:r>
    </w:p>
    <w:p w:rsidR="00DD1C74" w:rsidRPr="006234AA" w:rsidRDefault="00DD1C74" w:rsidP="003C0546">
      <w:pPr>
        <w:spacing w:after="120"/>
        <w:rPr>
          <w:lang w:val="nl-NL"/>
        </w:rPr>
      </w:pPr>
      <w:r w:rsidRPr="006234AA">
        <w:rPr>
          <w:lang w:val="nl-NL"/>
        </w:rPr>
        <w:t>- Buộc phải chấm dứt hoạt động kinh doanh chứng khoán hoặc chấm dứt hoạt động kinh doanh chứng khoán phái sinh; hoặc bị giải thể, phá sản, bị hợp nhất, bị sáp nhập;</w:t>
      </w:r>
    </w:p>
    <w:p w:rsidR="00DD1C74" w:rsidRPr="006234AA" w:rsidRDefault="00DD1C74" w:rsidP="003C0546">
      <w:pPr>
        <w:spacing w:after="120"/>
        <w:rPr>
          <w:lang w:val="nl-NL"/>
        </w:rPr>
      </w:pPr>
      <w:r w:rsidRPr="006234AA">
        <w:rPr>
          <w:lang w:val="nl-NL"/>
        </w:rPr>
        <w:t xml:space="preserve">- Không duy trì được các điều kiện quy định tại khoản 1 Điều 30 Thông tư này; </w:t>
      </w:r>
    </w:p>
    <w:p w:rsidR="00DD1C74" w:rsidRPr="006234AA" w:rsidRDefault="00DD1C74" w:rsidP="003C0546">
      <w:pPr>
        <w:spacing w:after="120"/>
        <w:rPr>
          <w:lang w:val="nl-NL"/>
        </w:rPr>
      </w:pPr>
      <w:r w:rsidRPr="006234AA">
        <w:rPr>
          <w:lang w:val="nl-NL"/>
        </w:rPr>
        <w:t>- Các trường hợp khác theo quy chế của Sở giao dịch chứng khoán.</w:t>
      </w:r>
    </w:p>
    <w:p w:rsidR="00DD1C74" w:rsidRPr="006234AA" w:rsidRDefault="001F67ED" w:rsidP="003C0546">
      <w:pPr>
        <w:spacing w:after="120"/>
        <w:rPr>
          <w:lang w:val="nl-NL"/>
        </w:rPr>
      </w:pPr>
      <w:r w:rsidRPr="006234AA">
        <w:rPr>
          <w:lang w:val="nl-NL"/>
        </w:rPr>
        <w:t>4</w:t>
      </w:r>
      <w:r w:rsidR="00DD1C74" w:rsidRPr="006234AA">
        <w:rPr>
          <w:lang w:val="nl-NL"/>
        </w:rPr>
        <w:t>. Thành viên giao dịch bị đình chỉ hoặc chấm dứt tư cách thành viên có nghĩa vụ thỏa thuận, xác lập thành viên giao dịch thay thế. Tr</w:t>
      </w:r>
      <w:r w:rsidR="00DD1C74" w:rsidRPr="006234AA">
        <w:rPr>
          <w:rFonts w:cs="Arial"/>
          <w:lang w:val="nl-NL"/>
        </w:rPr>
        <w:t>ư</w:t>
      </w:r>
      <w:r w:rsidR="00DD1C74" w:rsidRPr="006234AA">
        <w:rPr>
          <w:lang w:val="nl-NL"/>
        </w:rPr>
        <w:t xml:space="preserve">ờng hợp không thể thực hiện được, Sở giao dịch chứng khoán có quyền chỉ định thành viên giao dịch thay thế để tiếp nhận các quyền, nghĩa vụ của thành viên giao dịch bị đình chỉ hoặc chấm dứt tư cách thành viên. Thành viên giao dịch bị đình chỉ hoặc </w:t>
      </w:r>
      <w:r w:rsidR="00DD1C74" w:rsidRPr="006234AA">
        <w:rPr>
          <w:lang w:val="nl-NL"/>
        </w:rPr>
        <w:lastRenderedPageBreak/>
        <w:t>chấm dứt tư cách thành viên có nghĩa vụ cung cấp mọi thông tin cần thiết về nhà đầu tư cho thành viên giao dịch thay thế và tiếp tục thực hiện mọi nghĩa vụ của mình cho tới khi hoàn tất việc bàn giao quyền, nghĩa vụ cho thành viên giao dịch thay thế.</w:t>
      </w:r>
    </w:p>
    <w:p w:rsidR="00DD1C74" w:rsidRPr="006234AA" w:rsidRDefault="001F67ED" w:rsidP="003C0546">
      <w:pPr>
        <w:spacing w:after="120"/>
        <w:rPr>
          <w:lang w:val="nl-NL"/>
        </w:rPr>
      </w:pPr>
      <w:r w:rsidRPr="006234AA">
        <w:rPr>
          <w:lang w:val="nl-NL"/>
        </w:rPr>
        <w:t>5</w:t>
      </w:r>
      <w:r w:rsidR="00DD1C74" w:rsidRPr="006234AA">
        <w:rPr>
          <w:lang w:val="nl-NL"/>
        </w:rPr>
        <w:t xml:space="preserve">. Sau khi có văn bản </w:t>
      </w:r>
      <w:r w:rsidRPr="006234AA">
        <w:rPr>
          <w:lang w:val="nl-NL"/>
        </w:rPr>
        <w:t xml:space="preserve">của Sở giao dịch chứng khoán </w:t>
      </w:r>
      <w:r w:rsidR="00DD1C74" w:rsidRPr="006234AA">
        <w:rPr>
          <w:lang w:val="nl-NL"/>
        </w:rPr>
        <w:t>chấp thuận nguyên tắc hoặc yêu cầu chấm dứt tư cách thành viên giao dịch, thành viên giao dịch có trách nhiệm:</w:t>
      </w:r>
    </w:p>
    <w:p w:rsidR="00DD1C74" w:rsidRPr="006234AA" w:rsidRDefault="00DD1C74" w:rsidP="003C0546">
      <w:pPr>
        <w:spacing w:after="120"/>
        <w:rPr>
          <w:lang w:val="nl-NL"/>
        </w:rPr>
      </w:pPr>
      <w:r w:rsidRPr="006234AA">
        <w:rPr>
          <w:lang w:val="nl-NL"/>
        </w:rPr>
        <w:t xml:space="preserve">a) </w:t>
      </w:r>
      <w:r w:rsidR="001F67ED" w:rsidRPr="006234AA">
        <w:rPr>
          <w:lang w:val="nl-NL"/>
        </w:rPr>
        <w:t>Trong vòng 24 giờ, c</w:t>
      </w:r>
      <w:r w:rsidRPr="006234AA">
        <w:rPr>
          <w:lang w:val="nl-NL"/>
        </w:rPr>
        <w:t xml:space="preserve">ông bố thông tin về </w:t>
      </w:r>
      <w:r w:rsidR="001F67ED" w:rsidRPr="006234AA">
        <w:rPr>
          <w:lang w:val="nl-NL"/>
        </w:rPr>
        <w:t xml:space="preserve">việc </w:t>
      </w:r>
      <w:r w:rsidRPr="006234AA">
        <w:rPr>
          <w:lang w:val="nl-NL"/>
        </w:rPr>
        <w:t xml:space="preserve">chấm dứt tư cách thành viên, thời điểm </w:t>
      </w:r>
      <w:r w:rsidR="001F67ED" w:rsidRPr="006234AA">
        <w:rPr>
          <w:lang w:val="nl-NL"/>
        </w:rPr>
        <w:t>và kế hoạch thực hiện trên trang thông tin điện tử của thành viên giao dịch, Sở giao dịch chứng khoán, Ủy ban Chứng khoán Nhà nước</w:t>
      </w:r>
      <w:r w:rsidRPr="006234AA">
        <w:rPr>
          <w:lang w:val="nl-NL"/>
        </w:rPr>
        <w:t xml:space="preserve">; </w:t>
      </w:r>
    </w:p>
    <w:p w:rsidR="00DD1C74" w:rsidRPr="006234AA" w:rsidRDefault="00DD1C74" w:rsidP="003C0546">
      <w:pPr>
        <w:spacing w:after="120"/>
        <w:rPr>
          <w:lang w:val="nl-NL"/>
        </w:rPr>
      </w:pPr>
      <w:r w:rsidRPr="006234AA">
        <w:rPr>
          <w:lang w:val="nl-NL"/>
        </w:rPr>
        <w:t xml:space="preserve">b) </w:t>
      </w:r>
      <w:r w:rsidR="001F67ED" w:rsidRPr="006234AA">
        <w:rPr>
          <w:lang w:val="nl-NL"/>
        </w:rPr>
        <w:t>N</w:t>
      </w:r>
      <w:r w:rsidRPr="006234AA">
        <w:rPr>
          <w:lang w:val="nl-NL"/>
        </w:rPr>
        <w:t xml:space="preserve">gừng ký mới hợp đồng </w:t>
      </w:r>
      <w:r w:rsidR="001F67ED" w:rsidRPr="006234AA">
        <w:rPr>
          <w:lang w:val="nl-NL"/>
        </w:rPr>
        <w:t xml:space="preserve">mở tài khoản giao dịch </w:t>
      </w:r>
      <w:r w:rsidRPr="006234AA">
        <w:rPr>
          <w:lang w:val="nl-NL"/>
        </w:rPr>
        <w:t>chứng khoán phái sinh</w:t>
      </w:r>
      <w:r w:rsidR="001F67ED" w:rsidRPr="006234AA">
        <w:rPr>
          <w:lang w:val="nl-NL"/>
        </w:rPr>
        <w:t xml:space="preserve"> và các hợp đồng liên quan tới hoạt động môi giới chứng khoán phái sinh</w:t>
      </w:r>
      <w:r w:rsidRPr="006234AA">
        <w:rPr>
          <w:lang w:val="nl-NL"/>
        </w:rPr>
        <w:t>;</w:t>
      </w:r>
      <w:r w:rsidR="001F67ED" w:rsidRPr="006234AA">
        <w:rPr>
          <w:lang w:val="nl-NL"/>
        </w:rPr>
        <w:t xml:space="preserve"> thỏa thuận, xác lập thành viên giao dịch thay thế để tiếp nhận quyền, nghĩa vụ đối với khách hàng;</w:t>
      </w:r>
    </w:p>
    <w:p w:rsidR="00DD1C74" w:rsidRPr="006234AA" w:rsidRDefault="00DD1C74" w:rsidP="003C0546">
      <w:pPr>
        <w:spacing w:after="120"/>
        <w:rPr>
          <w:lang w:val="nl-NL"/>
        </w:rPr>
      </w:pPr>
      <w:r w:rsidRPr="006234AA">
        <w:rPr>
          <w:lang w:val="nl-NL"/>
        </w:rPr>
        <w:t>c) Lập phương án xử lý các tài khoản giao dịch của khách hàng</w:t>
      </w:r>
      <w:r w:rsidR="001F67ED" w:rsidRPr="006234AA">
        <w:rPr>
          <w:lang w:val="nl-NL"/>
        </w:rPr>
        <w:t xml:space="preserve"> với các nội dung phù hợp với quy định tại </w:t>
      </w:r>
      <w:r w:rsidR="00EF4520" w:rsidRPr="006234AA">
        <w:rPr>
          <w:lang w:val="nl-NL"/>
        </w:rPr>
        <w:t>Điểm b Khoản 9 Điều 29 Thông tư này;</w:t>
      </w:r>
    </w:p>
    <w:p w:rsidR="00EF4520" w:rsidRPr="006234AA" w:rsidRDefault="00DD1C74" w:rsidP="003C0546">
      <w:pPr>
        <w:spacing w:after="120"/>
        <w:rPr>
          <w:lang w:val="nl-NL"/>
        </w:rPr>
      </w:pPr>
      <w:r w:rsidRPr="006234AA">
        <w:rPr>
          <w:lang w:val="nl-NL"/>
        </w:rPr>
        <w:t xml:space="preserve">d) </w:t>
      </w:r>
      <w:r w:rsidR="00EF4520" w:rsidRPr="006234AA">
        <w:rPr>
          <w:lang w:val="nl-NL"/>
        </w:rPr>
        <w:t>Thực hiện các hoạt động có liên quan theo quy định tại Điểm b, c, d Khoản 10 Điều 29 Thông tư này.</w:t>
      </w:r>
    </w:p>
    <w:p w:rsidR="00DD1C74" w:rsidRPr="006234AA" w:rsidRDefault="00EF4520" w:rsidP="003C0546">
      <w:pPr>
        <w:spacing w:after="120"/>
        <w:rPr>
          <w:lang w:val="nl-NL"/>
        </w:rPr>
      </w:pPr>
      <w:r w:rsidRPr="006234AA">
        <w:rPr>
          <w:lang w:val="nl-NL"/>
        </w:rPr>
        <w:t>6</w:t>
      </w:r>
      <w:r w:rsidR="00DD1C74" w:rsidRPr="006234AA">
        <w:rPr>
          <w:lang w:val="nl-NL"/>
        </w:rPr>
        <w:t xml:space="preserve">. Trình tự, thủ tục, hồ sơ chấm dứt tư cách thành viên thực hiện theo </w:t>
      </w:r>
      <w:r w:rsidRPr="006234AA">
        <w:rPr>
          <w:lang w:val="nl-NL"/>
        </w:rPr>
        <w:t>q</w:t>
      </w:r>
      <w:r w:rsidR="00DD1C74" w:rsidRPr="006234AA">
        <w:rPr>
          <w:lang w:val="nl-NL"/>
        </w:rPr>
        <w:t>uy chế của Sở giao dịch chứng khoán.</w:t>
      </w:r>
    </w:p>
    <w:p w:rsidR="00DD1C74" w:rsidRPr="006234AA" w:rsidRDefault="00DD1C74" w:rsidP="003C0546">
      <w:pPr>
        <w:spacing w:after="120"/>
        <w:rPr>
          <w:lang w:val="nl-NL"/>
        </w:rPr>
      </w:pPr>
      <w:r w:rsidRPr="006234AA">
        <w:rPr>
          <w:lang w:val="nl-NL"/>
        </w:rPr>
        <w:t>5. Sở giao dịch chứng khoán, Trung tâm lưu ký chứng khoán có trách nhiệm phối hợp để xử lý các vị thế mở của thành viên bị chấm dứt tư cách và vị thế mở của khách hàng của thành viên đó</w:t>
      </w:r>
      <w:r w:rsidR="00EF4520" w:rsidRPr="006234AA">
        <w:rPr>
          <w:lang w:val="nl-NL"/>
        </w:rPr>
        <w:t>, bảo đảm thị trường hoạt động an toàn, ổn định và thông suốt</w:t>
      </w:r>
      <w:r w:rsidRPr="006234AA">
        <w:rPr>
          <w:lang w:val="nl-NL"/>
        </w:rPr>
        <w:t xml:space="preserve">. </w:t>
      </w:r>
    </w:p>
    <w:p w:rsidR="005C088F" w:rsidRPr="006234AA" w:rsidRDefault="005C088F" w:rsidP="003C0546">
      <w:pPr>
        <w:pStyle w:val="Heading4"/>
        <w:spacing w:after="120"/>
      </w:pPr>
      <w:bookmarkStart w:id="121" w:name="_Toc397003350"/>
      <w:bookmarkStart w:id="122" w:name="_Toc422671980"/>
      <w:bookmarkStart w:id="123" w:name="_Toc383551219"/>
      <w:bookmarkStart w:id="124" w:name="_Toc383932735"/>
      <w:bookmarkStart w:id="125" w:name="_Toc382297568"/>
      <w:r w:rsidRPr="006234AA">
        <w:t>Mở và quản lý tài khoản giao dịch của khách hàng</w:t>
      </w:r>
      <w:bookmarkEnd w:id="121"/>
      <w:bookmarkEnd w:id="122"/>
    </w:p>
    <w:p w:rsidR="00EF727E" w:rsidRPr="006234AA" w:rsidRDefault="00EF727E" w:rsidP="003C0546">
      <w:pPr>
        <w:spacing w:after="120"/>
        <w:rPr>
          <w:lang w:val="nl-NL"/>
        </w:rPr>
      </w:pPr>
      <w:r w:rsidRPr="006234AA">
        <w:rPr>
          <w:lang w:val="nl-NL"/>
        </w:rPr>
        <w:t xml:space="preserve">1. Đối với nhà đầu tư lần đầu giao dịch chứng khoán phái sinh, thành viên giao dịch phải tổng hợp thông tin </w:t>
      </w:r>
      <w:r w:rsidR="00FB44D1" w:rsidRPr="006234AA">
        <w:rPr>
          <w:lang w:val="nl-NL"/>
        </w:rPr>
        <w:t>và</w:t>
      </w:r>
      <w:r w:rsidRPr="006234AA">
        <w:rPr>
          <w:lang w:val="nl-NL"/>
        </w:rPr>
        <w:t xml:space="preserve"> ký Hợp đồng mở tài khoản giao dịch chứng khoán phái sinh với nhà đầu tư trên cơ sở giấy đề nghị mở tài khoản giao dịch chứng khoán phái sinh theo mẫu quy định tại Phụ lục số 23 ban hành kèm theo Thông tư này.</w:t>
      </w:r>
    </w:p>
    <w:p w:rsidR="00EF727E" w:rsidRPr="006234AA" w:rsidRDefault="00EF727E" w:rsidP="003C0546">
      <w:pPr>
        <w:spacing w:after="120"/>
        <w:rPr>
          <w:lang w:val="nl-NL"/>
        </w:rPr>
      </w:pPr>
      <w:r w:rsidRPr="006234AA">
        <w:rPr>
          <w:lang w:val="nl-NL"/>
        </w:rPr>
        <w:t>2. Thành viên giao dịch phải tổng hợp, thường xuyên cập nhật và lưu trữ đầy đủ các thông tin sau đây về nhà đầu tư bao gồm:</w:t>
      </w:r>
    </w:p>
    <w:p w:rsidR="00EF727E" w:rsidRPr="006234AA" w:rsidRDefault="00EF727E" w:rsidP="003C0546">
      <w:pPr>
        <w:spacing w:after="120"/>
        <w:rPr>
          <w:lang w:val="nl-NL"/>
        </w:rPr>
      </w:pPr>
      <w:r w:rsidRPr="006234AA">
        <w:rPr>
          <w:lang w:val="nl-NL"/>
        </w:rPr>
        <w:t>a) Thông tin nhận diện nhà đầu tư</w:t>
      </w:r>
    </w:p>
    <w:p w:rsidR="00EF727E" w:rsidRPr="006234AA" w:rsidRDefault="00EF727E" w:rsidP="003C0546">
      <w:pPr>
        <w:spacing w:after="120"/>
        <w:rPr>
          <w:lang w:val="nl-NL"/>
        </w:rPr>
      </w:pPr>
      <w:r w:rsidRPr="006234AA">
        <w:rPr>
          <w:lang w:val="nl-NL"/>
        </w:rPr>
        <w:t xml:space="preserve">- Đối với cá nhân: họ và tên nhà đầu tư; </w:t>
      </w:r>
      <w:r w:rsidR="00FB44D1" w:rsidRPr="006234AA">
        <w:rPr>
          <w:lang w:val="pt-BR"/>
        </w:rPr>
        <w:t>số chứng minh nhân dân hoặc số thẻ công dân hoặc số hộ chiếu còn hiệu lực; nơi thường trú, địa chỉ liên lạc, số điện thoại liên lạc, địa chỉ email (nếu có);</w:t>
      </w:r>
      <w:r w:rsidRPr="006234AA">
        <w:rPr>
          <w:lang w:val="nl-NL"/>
        </w:rPr>
        <w:t xml:space="preserve"> mã số thuế thu nhập cá nhân; mã số giao dịch chứng khoán và quốc tịch (đối với nhà đầu tư nước ngoài)</w:t>
      </w:r>
      <w:r w:rsidR="00FB44D1" w:rsidRPr="006234AA">
        <w:rPr>
          <w:lang w:val="nl-NL"/>
        </w:rPr>
        <w:t xml:space="preserve">; </w:t>
      </w:r>
    </w:p>
    <w:p w:rsidR="00EF727E" w:rsidRPr="006234AA" w:rsidRDefault="00EF727E" w:rsidP="003C0546">
      <w:pPr>
        <w:spacing w:after="120"/>
        <w:rPr>
          <w:lang w:val="nl-NL"/>
        </w:rPr>
      </w:pPr>
      <w:r w:rsidRPr="006234AA">
        <w:rPr>
          <w:lang w:val="nl-NL"/>
        </w:rPr>
        <w:lastRenderedPageBreak/>
        <w:t xml:space="preserve">- Đối với tổ chức: tên đầy đủ, tên viết tắt, tên giao dịch, địa chỉ trụ sở chính, số Giấy giấy phép thành lập và hoạt động/giấy chứng nhận đăng ký kinh doanh; mã số thuế thu nhập doanh nghiệp; mã số giao dịch chứng khoán và quốc tịch (đối với nhà đầu tư nước ngoài); </w:t>
      </w:r>
      <w:r w:rsidR="00FB44D1" w:rsidRPr="006234AA">
        <w:rPr>
          <w:lang w:val="nl-NL"/>
        </w:rPr>
        <w:t xml:space="preserve">thông tin nhận diện của cá nhân được ủy quyền giao dịch, ủy quyền thanh toán, bao gồm </w:t>
      </w:r>
      <w:r w:rsidRPr="006234AA">
        <w:rPr>
          <w:lang w:val="nl-NL"/>
        </w:rPr>
        <w:t>họ và tên, số chứng minh nhân dân hoặc số hộ chiếu còn hiệu lực</w:t>
      </w:r>
      <w:r w:rsidR="00FB44D1" w:rsidRPr="006234AA">
        <w:rPr>
          <w:lang w:val="nl-NL"/>
        </w:rPr>
        <w:t xml:space="preserve"> hoặc số thẻ công dân</w:t>
      </w:r>
      <w:r w:rsidRPr="006234AA">
        <w:rPr>
          <w:lang w:val="nl-NL"/>
        </w:rPr>
        <w:t>,</w:t>
      </w:r>
      <w:r w:rsidR="00FB44D1" w:rsidRPr="006234AA">
        <w:rPr>
          <w:lang w:val="nl-NL"/>
        </w:rPr>
        <w:t xml:space="preserve"> </w:t>
      </w:r>
      <w:r w:rsidR="00FB44D1" w:rsidRPr="006234AA">
        <w:rPr>
          <w:lang w:val="pt-BR"/>
        </w:rPr>
        <w:t>nơi thường trú, địa chỉ liên lạc, số điện thoại liên lạc, địa chỉ email (nếu có);</w:t>
      </w:r>
      <w:r w:rsidRPr="006234AA">
        <w:rPr>
          <w:lang w:val="nl-NL"/>
        </w:rPr>
        <w:t xml:space="preserve"> </w:t>
      </w:r>
    </w:p>
    <w:p w:rsidR="00EF727E" w:rsidRPr="006234AA" w:rsidRDefault="00EF727E" w:rsidP="003C0546">
      <w:pPr>
        <w:spacing w:after="120"/>
        <w:rPr>
          <w:lang w:val="nl-NL"/>
        </w:rPr>
      </w:pPr>
      <w:r w:rsidRPr="006234AA">
        <w:rPr>
          <w:lang w:val="nl-NL"/>
        </w:rPr>
        <w:t>b) Thông tin về năng lực tài chính và kinh nghiệm đầu tư của nhà đầu tư:</w:t>
      </w:r>
    </w:p>
    <w:p w:rsidR="00EF727E" w:rsidRPr="006234AA" w:rsidRDefault="00EF727E" w:rsidP="003C0546">
      <w:pPr>
        <w:spacing w:after="120"/>
        <w:rPr>
          <w:lang w:val="nl-NL"/>
        </w:rPr>
      </w:pPr>
      <w:r w:rsidRPr="006234AA">
        <w:rPr>
          <w:lang w:val="nl-NL"/>
        </w:rPr>
        <w:t>- Loại hình nhà đầu tư (cá nhân; tổ chức; nhà đầu tư chuyên nghiệp (các quỹ đầu tư, doanh nghiệp bảo hiểm, tổ chức kinh doanh chứng khoán);</w:t>
      </w:r>
    </w:p>
    <w:p w:rsidR="00EF727E" w:rsidRPr="006234AA" w:rsidRDefault="00EF727E" w:rsidP="003C0546">
      <w:pPr>
        <w:spacing w:after="120"/>
        <w:rPr>
          <w:lang w:val="nl-NL"/>
        </w:rPr>
      </w:pPr>
      <w:r w:rsidRPr="006234AA">
        <w:rPr>
          <w:lang w:val="nl-NL"/>
        </w:rPr>
        <w:t>- Mục đích đầu tư (phòng ngừa rủi ro; đầu tư chênh lệch giá; đầu tư sinh lợi, hoặc không hạn chế mục đích);</w:t>
      </w:r>
    </w:p>
    <w:p w:rsidR="00EF727E" w:rsidRPr="006234AA" w:rsidRDefault="00EF727E" w:rsidP="003C0546">
      <w:pPr>
        <w:spacing w:after="120"/>
        <w:rPr>
          <w:lang w:val="nl-NL"/>
        </w:rPr>
      </w:pPr>
      <w:r w:rsidRPr="006234AA">
        <w:rPr>
          <w:lang w:val="nl-NL"/>
        </w:rPr>
        <w:t>- Kinh nghiệm đầu tư;</w:t>
      </w:r>
      <w:r w:rsidR="00FB44D1" w:rsidRPr="006234AA">
        <w:rPr>
          <w:lang w:val="nl-NL"/>
        </w:rPr>
        <w:t xml:space="preserve"> thời hạn đầu tư, mức độ rủi ro có thể chấp nhận được; các hạn chế đầu tư và các yêu cầu khác (nếu có) của khách hàng</w:t>
      </w:r>
    </w:p>
    <w:p w:rsidR="00EF727E" w:rsidRPr="006234AA" w:rsidRDefault="00EF727E" w:rsidP="003C0546">
      <w:pPr>
        <w:spacing w:after="120"/>
        <w:rPr>
          <w:lang w:val="nl-NL"/>
        </w:rPr>
      </w:pPr>
      <w:r w:rsidRPr="006234AA">
        <w:rPr>
          <w:lang w:val="nl-NL"/>
        </w:rPr>
        <w:t xml:space="preserve">- </w:t>
      </w:r>
      <w:r w:rsidR="00FB44D1" w:rsidRPr="006234AA">
        <w:rPr>
          <w:lang w:val="nl-NL"/>
        </w:rPr>
        <w:t>Khả năng tài chính, như tổng t</w:t>
      </w:r>
      <w:r w:rsidRPr="006234AA">
        <w:rPr>
          <w:lang w:val="nl-NL"/>
        </w:rPr>
        <w:t xml:space="preserve">ài sản; </w:t>
      </w:r>
      <w:r w:rsidR="00FB44D1" w:rsidRPr="006234AA">
        <w:rPr>
          <w:lang w:val="nl-NL"/>
        </w:rPr>
        <w:t xml:space="preserve">doanh thu, </w:t>
      </w:r>
      <w:r w:rsidRPr="006234AA">
        <w:rPr>
          <w:lang w:val="nl-NL"/>
        </w:rPr>
        <w:t>thu nhập hàng năm;</w:t>
      </w:r>
    </w:p>
    <w:p w:rsidR="00EF727E" w:rsidRPr="006234AA" w:rsidRDefault="00EF727E" w:rsidP="003C0546">
      <w:pPr>
        <w:spacing w:after="120"/>
        <w:rPr>
          <w:lang w:val="nl-NL"/>
        </w:rPr>
      </w:pPr>
      <w:r w:rsidRPr="006234AA">
        <w:rPr>
          <w:lang w:val="nl-NL"/>
        </w:rPr>
        <w:t xml:space="preserve">- Các thông tin khác nếu xét thấy cần thiết. </w:t>
      </w:r>
    </w:p>
    <w:p w:rsidR="003E7902" w:rsidRPr="006234AA" w:rsidRDefault="003E7902" w:rsidP="003C0546">
      <w:pPr>
        <w:spacing w:after="120"/>
        <w:rPr>
          <w:lang w:val="nl-NL"/>
        </w:rPr>
      </w:pPr>
      <w:r w:rsidRPr="006234AA">
        <w:rPr>
          <w:lang w:val="nl-NL"/>
        </w:rPr>
        <w:t>3</w:t>
      </w:r>
      <w:r w:rsidR="00EF727E" w:rsidRPr="006234AA">
        <w:rPr>
          <w:lang w:val="nl-NL"/>
        </w:rPr>
        <w:t>.</w:t>
      </w:r>
      <w:r w:rsidRPr="006234AA">
        <w:rPr>
          <w:lang w:val="nl-NL"/>
        </w:rPr>
        <w:t xml:space="preserve"> Hợp đồng mở tài khoản giao dịch chứng khoán phái sinh bao gồm những nội dung cơ bản theo quy định tại Phụ lục số 5 ban hành kèm theo Thông tư này và phải bảo đảm: </w:t>
      </w:r>
    </w:p>
    <w:p w:rsidR="003E7902" w:rsidRPr="006234AA" w:rsidRDefault="003E7902" w:rsidP="003C0546">
      <w:pPr>
        <w:spacing w:after="120"/>
        <w:rPr>
          <w:lang w:val="nl-NL"/>
        </w:rPr>
      </w:pPr>
      <w:r w:rsidRPr="006234AA">
        <w:rPr>
          <w:lang w:val="nl-NL"/>
        </w:rPr>
        <w:t>a) Không có các điều khoản nhằm tạo điều kiện cho thành viên giao dịch, nhân viên của thành viên giao dịch trốn tránh nghĩa vụ bồi thường cho khách hàng, trong trường hợp thiệt hại phát sinh do lỗi của thành viên, nhân viên của thành viên giao dịch; sự cẩu thả, lừa đảo của nhân viên hoặc do hành vi sai phạm có chủ ý của thành viên và nhân viên;</w:t>
      </w:r>
    </w:p>
    <w:p w:rsidR="003E7902" w:rsidRPr="006234AA" w:rsidRDefault="003E7902" w:rsidP="003C0546">
      <w:pPr>
        <w:spacing w:after="120"/>
        <w:rPr>
          <w:lang w:val="nl-NL"/>
        </w:rPr>
      </w:pPr>
      <w:r w:rsidRPr="006234AA">
        <w:rPr>
          <w:lang w:val="nl-NL"/>
        </w:rPr>
        <w:t xml:space="preserve">b) Không có các điều khoản nhằm hạn chế phạm vi bồi thường, trách nhiệm tài chính của thành viên đối với khách hàng mà không có lý do chính đáng; hoặc chuyển rủi ro cho khách hàng trong trường hợp do lỗi của thành viên, nhân viên của thành viên hoặc do hành vi sai phạm có chủ ý của thành viên; </w:t>
      </w:r>
    </w:p>
    <w:p w:rsidR="003E7902" w:rsidRPr="006234AA" w:rsidRDefault="003E7902" w:rsidP="003C0546">
      <w:pPr>
        <w:spacing w:after="120"/>
        <w:rPr>
          <w:lang w:val="nl-NL"/>
        </w:rPr>
      </w:pPr>
      <w:r w:rsidRPr="006234AA">
        <w:rPr>
          <w:lang w:val="nl-NL"/>
        </w:rPr>
        <w:t>c) Không có các điều khoản đối xử không công bằng đối với khách hàng;</w:t>
      </w:r>
    </w:p>
    <w:p w:rsidR="003E7902" w:rsidRPr="006234AA" w:rsidRDefault="003E7902" w:rsidP="003C0546">
      <w:pPr>
        <w:spacing w:after="120"/>
        <w:rPr>
          <w:lang w:val="nl-NL"/>
        </w:rPr>
      </w:pPr>
      <w:r w:rsidRPr="006234AA">
        <w:rPr>
          <w:lang w:val="nl-NL"/>
        </w:rPr>
        <w:t xml:space="preserve">d) Hướng dẫn chi tiết về hoạt động ký quỹ, thanh toán giao dịch bao gồm mức ký quỹ ban đầu, mức ký quỹ duy trì; lệnh gọi ký quỹ; chứng khoán được chấp nhận ký quỹ; hướng dẫn bổ sung ký quỹ, rút, </w:t>
      </w:r>
      <w:r w:rsidR="00CD3A25" w:rsidRPr="006234AA">
        <w:rPr>
          <w:lang w:val="nl-NL"/>
        </w:rPr>
        <w:t>chấm dứt phong tỏa</w:t>
      </w:r>
      <w:r w:rsidRPr="006234AA">
        <w:rPr>
          <w:lang w:val="nl-NL"/>
        </w:rPr>
        <w:t xml:space="preserve"> tài sản ký quỹ; các trường hợp giải chấp khi nhà đầu tư không ký quỹ kịp thời, đầy đủ; điều kiện thanh toán, xác định lại giá thanh toán cuối cùng; hạch toán lãi lỗ vị thế;</w:t>
      </w:r>
      <w:r w:rsidR="00CE23A1" w:rsidRPr="006234AA">
        <w:rPr>
          <w:lang w:val="nl-NL"/>
        </w:rPr>
        <w:t xml:space="preserve"> việc từ chối hoặc chấp nhận giao dịch; nghĩa vụ thanh toán, chuyển giao tài sản cơ sở và các nghĩa vụ khác từ các vị thế chứng khoán phái sinh;</w:t>
      </w:r>
    </w:p>
    <w:p w:rsidR="003E7902" w:rsidRPr="006234AA" w:rsidRDefault="003E7902" w:rsidP="003C0546">
      <w:pPr>
        <w:spacing w:after="120"/>
        <w:rPr>
          <w:lang w:val="nl-NL"/>
        </w:rPr>
      </w:pPr>
      <w:r w:rsidRPr="006234AA">
        <w:rPr>
          <w:lang w:val="nl-NL"/>
        </w:rPr>
        <w:t>đ) Cảnh báo đầy đủ các rủi ro trong hoạt động đầu tư vào chứng khoán phái sinh</w:t>
      </w:r>
      <w:r w:rsidR="00CE23A1" w:rsidRPr="006234AA">
        <w:rPr>
          <w:lang w:val="nl-NL"/>
        </w:rPr>
        <w:t xml:space="preserve">; </w:t>
      </w:r>
    </w:p>
    <w:p w:rsidR="003E7902" w:rsidRPr="006234AA" w:rsidRDefault="003E7902" w:rsidP="003C0546">
      <w:pPr>
        <w:spacing w:after="120"/>
        <w:rPr>
          <w:lang w:val="nl-NL"/>
        </w:rPr>
      </w:pPr>
      <w:r w:rsidRPr="006234AA">
        <w:rPr>
          <w:lang w:val="nl-NL"/>
        </w:rPr>
        <w:lastRenderedPageBreak/>
        <w:t xml:space="preserve">đ) Có điều khoản yêu cầu khách hàng ủy thác cho thành viên bù trừ quản lý và sử dụng tài sản ký quỹ để thực hiện thanh toán và bảo đảm thanh toán giao dịch chứng khoán phái sinh; </w:t>
      </w:r>
      <w:r w:rsidR="00CE23A1" w:rsidRPr="006234AA">
        <w:rPr>
          <w:lang w:val="nl-NL"/>
        </w:rPr>
        <w:t xml:space="preserve">kèm theo thông tin về thành viên bù trừ được chỉ định; </w:t>
      </w:r>
      <w:r w:rsidRPr="006234AA">
        <w:rPr>
          <w:lang w:val="nl-NL"/>
        </w:rPr>
        <w:t>ủy thác cho thành viên bù trừ đóng vị thế trong trường hợp không duy trì tỷ lệ ký quỹ theo quy định và các nội dung khác có liên quan;</w:t>
      </w:r>
    </w:p>
    <w:p w:rsidR="003E7902" w:rsidRPr="006234AA" w:rsidRDefault="003E7902" w:rsidP="003C0546">
      <w:pPr>
        <w:spacing w:after="120"/>
        <w:rPr>
          <w:lang w:val="nl-NL"/>
        </w:rPr>
      </w:pPr>
      <w:r w:rsidRPr="006234AA">
        <w:rPr>
          <w:lang w:val="nl-NL"/>
        </w:rPr>
        <w:t>e) Có điều khoản yêu cầu khách hàng ủy quyền cho đại diện theo pháp luật của thành viên bù trừ, Trung tâm lưu ký chứng khoán ký các văn bản và thực hiện các thủ tục cần thiết để đóng vị thế, thanh lý vị thế, sử dụng và chuyển giao tài sản ký quỹ, bàn giao quyền, trách nhiệm nghĩa vụ cho thành viên giao dịch, thành viên bù trừ thay thế trong trường hợp thành viên giao dịch, thành viên bù trừ bị đình chỉ, chấm dứt hoạt động;</w:t>
      </w:r>
    </w:p>
    <w:p w:rsidR="003E7902" w:rsidRPr="006234AA" w:rsidRDefault="003E7902" w:rsidP="003C0546">
      <w:pPr>
        <w:spacing w:after="120"/>
        <w:rPr>
          <w:lang w:val="nl-NL"/>
        </w:rPr>
      </w:pPr>
      <w:r w:rsidRPr="006234AA">
        <w:rPr>
          <w:lang w:val="nl-NL"/>
        </w:rPr>
        <w:t>f) Phí, lệ phí, cơ chế giải quyết tranh chấp;</w:t>
      </w:r>
    </w:p>
    <w:p w:rsidR="003E7902" w:rsidRPr="006234AA" w:rsidRDefault="003E7902" w:rsidP="003C0546">
      <w:pPr>
        <w:spacing w:after="120"/>
        <w:rPr>
          <w:lang w:val="nl-NL"/>
        </w:rPr>
      </w:pPr>
      <w:r w:rsidRPr="006234AA">
        <w:rPr>
          <w:lang w:val="nl-NL"/>
        </w:rPr>
        <w:t>4. Trong vòng 24 giờ, kể từ khi mở tài khoản giao dịch cho nhà đầu tư, thành viên giao dịch có trách nhiệm cung cấp cho Trung tâm lưu ký chứng khoán và thành viên bù trừ thông tin nhận diện nhà đầu tư</w:t>
      </w:r>
      <w:r w:rsidR="00CE23A1" w:rsidRPr="006234AA">
        <w:rPr>
          <w:lang w:val="nl-NL"/>
        </w:rPr>
        <w:t>.</w:t>
      </w:r>
      <w:r w:rsidRPr="006234AA">
        <w:rPr>
          <w:lang w:val="nl-NL"/>
        </w:rPr>
        <w:t xml:space="preserve"> số tài khoản giao dịch chứng khoán </w:t>
      </w:r>
      <w:r w:rsidR="00CE23A1" w:rsidRPr="006234AA">
        <w:rPr>
          <w:lang w:val="nl-NL"/>
        </w:rPr>
        <w:t>phái sinh mới mở cho nhà đầu tư để Trung tâm Lưu ký chứng khoán cấp mã số định danh và cập nhật tài khoản giao dịch, tài khoản ký quỹ của khách hàng trên hệ thống tài khoản bù trừ, thanh toán.</w:t>
      </w:r>
    </w:p>
    <w:p w:rsidR="00EF727E" w:rsidRPr="006234AA" w:rsidRDefault="003E7902" w:rsidP="003C0546">
      <w:pPr>
        <w:spacing w:after="120"/>
        <w:rPr>
          <w:lang w:val="nl-NL"/>
        </w:rPr>
      </w:pPr>
      <w:r w:rsidRPr="006234AA">
        <w:rPr>
          <w:lang w:val="nl-NL"/>
        </w:rPr>
        <w:t>5</w:t>
      </w:r>
      <w:r w:rsidR="00EF727E" w:rsidRPr="006234AA">
        <w:rPr>
          <w:lang w:val="nl-NL"/>
        </w:rPr>
        <w:t>. Nhà đầu tư có trách nhiệm cập nhật đầy đủ, chính xác và kịp thời thông tin nhận diện quy định tại điểm a khoản 2 Điều này</w:t>
      </w:r>
      <w:r w:rsidR="00CE23A1" w:rsidRPr="006234AA">
        <w:rPr>
          <w:lang w:val="nl-NL"/>
        </w:rPr>
        <w:t>, đặc biệt hình thức liên lạc, bảo đảm duy trì kênh liên lạc thông suốt giữa thành viên giao dịch và khách hàng</w:t>
      </w:r>
      <w:r w:rsidR="00EF727E" w:rsidRPr="006234AA">
        <w:rPr>
          <w:lang w:val="nl-NL"/>
        </w:rPr>
        <w:t>. Trường hợp nhà đầu tư từ chối không cung cấp đầy đủ thông tin, thành viên giao dịch, thành viên bù trừ có quyền từ chối không mở tài khoản giao dịch, không mở tài khoản ký quỹ và không cung cấp dịch vụ chứng khoán phái sinh.</w:t>
      </w:r>
    </w:p>
    <w:p w:rsidR="00874F78" w:rsidRPr="006234AA" w:rsidRDefault="00874F78" w:rsidP="003C0546">
      <w:pPr>
        <w:spacing w:after="120"/>
        <w:rPr>
          <w:lang w:val="nl-NL"/>
        </w:rPr>
      </w:pPr>
      <w:r w:rsidRPr="006234AA">
        <w:rPr>
          <w:lang w:val="nl-NL"/>
        </w:rPr>
        <w:t xml:space="preserve">Trường hợp có sự thay đổi liên quan tới thông tin nhận diện nhà đầu tư và tài khoản giao dịch cho nhà đầu tư, thành viên giao dịch có trách nhiệm thông báo ngay trong ngày giao dịch cho thành viên bù trừ và ngân hàng quản lý tài khoản để cập nhật, bổ sung vào tài khoản ký quỹ của nhà đầu tư. </w:t>
      </w:r>
    </w:p>
    <w:p w:rsidR="005C088F" w:rsidRPr="006234AA" w:rsidRDefault="00CE23A1" w:rsidP="003C0546">
      <w:pPr>
        <w:spacing w:after="120"/>
        <w:rPr>
          <w:lang w:val="nl-NL"/>
        </w:rPr>
      </w:pPr>
      <w:r w:rsidRPr="006234AA">
        <w:rPr>
          <w:lang w:val="nl-NL"/>
        </w:rPr>
        <w:t>6</w:t>
      </w:r>
      <w:r w:rsidR="005C088F" w:rsidRPr="006234AA">
        <w:rPr>
          <w:lang w:val="nl-NL"/>
        </w:rPr>
        <w:t xml:space="preserve">. </w:t>
      </w:r>
      <w:r w:rsidRPr="006234AA">
        <w:rPr>
          <w:lang w:val="nl-NL"/>
        </w:rPr>
        <w:t>Thành viên giao dịch có trách nhiệm yêu cầu nhà đầu tư k</w:t>
      </w:r>
      <w:r w:rsidR="005C088F" w:rsidRPr="006234AA">
        <w:rPr>
          <w:lang w:val="nl-NL"/>
        </w:rPr>
        <w:t xml:space="preserve">ý xác nhận về việc đã </w:t>
      </w:r>
      <w:r w:rsidR="0004467A" w:rsidRPr="006234AA">
        <w:rPr>
          <w:lang w:val="nl-NL"/>
        </w:rPr>
        <w:t>đọc</w:t>
      </w:r>
      <w:r w:rsidR="005C088F" w:rsidRPr="006234AA">
        <w:rPr>
          <w:lang w:val="nl-NL"/>
        </w:rPr>
        <w:t xml:space="preserve">, được giải thích đầy đủ và hiểu </w:t>
      </w:r>
      <w:r w:rsidR="0004467A" w:rsidRPr="006234AA">
        <w:rPr>
          <w:lang w:val="nl-NL"/>
        </w:rPr>
        <w:t xml:space="preserve">rõ </w:t>
      </w:r>
      <w:r w:rsidR="005C088F" w:rsidRPr="006234AA">
        <w:rPr>
          <w:lang w:val="nl-NL"/>
        </w:rPr>
        <w:t xml:space="preserve">nội dung hợp đồng, </w:t>
      </w:r>
      <w:r w:rsidR="0004467A" w:rsidRPr="006234AA">
        <w:rPr>
          <w:lang w:val="nl-NL"/>
        </w:rPr>
        <w:t xml:space="preserve">bao gồm thông tin về các </w:t>
      </w:r>
      <w:r w:rsidR="005C088F" w:rsidRPr="006234AA">
        <w:rPr>
          <w:lang w:val="nl-NL"/>
        </w:rPr>
        <w:t xml:space="preserve">rủi ro đã được khuyến cáo; </w:t>
      </w:r>
      <w:r w:rsidR="0004467A" w:rsidRPr="006234AA">
        <w:rPr>
          <w:lang w:val="nl-NL"/>
        </w:rPr>
        <w:t xml:space="preserve">ký xác nhận việc </w:t>
      </w:r>
      <w:r w:rsidR="005C088F" w:rsidRPr="006234AA">
        <w:rPr>
          <w:lang w:val="nl-NL"/>
        </w:rPr>
        <w:t xml:space="preserve">chấp </w:t>
      </w:r>
      <w:r w:rsidR="0004467A" w:rsidRPr="006234AA">
        <w:rPr>
          <w:lang w:val="nl-NL"/>
        </w:rPr>
        <w:t>thuận</w:t>
      </w:r>
      <w:r w:rsidR="005C088F" w:rsidRPr="006234AA">
        <w:rPr>
          <w:lang w:val="nl-NL"/>
        </w:rPr>
        <w:t xml:space="preserve"> cho phép thành viên bù trừ</w:t>
      </w:r>
      <w:r w:rsidR="0004467A" w:rsidRPr="006234AA">
        <w:rPr>
          <w:lang w:val="nl-NL"/>
        </w:rPr>
        <w:t>, Trung tâm lưu ký chứng khoán</w:t>
      </w:r>
      <w:r w:rsidR="005C088F" w:rsidRPr="006234AA">
        <w:rPr>
          <w:lang w:val="nl-NL"/>
        </w:rPr>
        <w:t xml:space="preserve"> sử dụng tài sản ký quỹ</w:t>
      </w:r>
      <w:r w:rsidR="0004467A" w:rsidRPr="006234AA">
        <w:rPr>
          <w:lang w:val="nl-NL"/>
        </w:rPr>
        <w:t xml:space="preserve"> để thực hiện thanh toán và bảo đảm thanh toán chứng khoán phái sinh.</w:t>
      </w:r>
    </w:p>
    <w:p w:rsidR="005C088F" w:rsidRPr="006234AA" w:rsidRDefault="00CE23A1" w:rsidP="003C0546">
      <w:pPr>
        <w:spacing w:after="120"/>
        <w:rPr>
          <w:lang w:val="nl-NL"/>
        </w:rPr>
      </w:pPr>
      <w:r w:rsidRPr="006234AA">
        <w:rPr>
          <w:lang w:val="nl-NL"/>
        </w:rPr>
        <w:t>7</w:t>
      </w:r>
      <w:r w:rsidR="005C088F" w:rsidRPr="006234AA">
        <w:rPr>
          <w:lang w:val="nl-NL"/>
        </w:rPr>
        <w:t>. Thành viên giao dịch không được mở tài khoản giao dịch cho các khách hàng dưới đây:</w:t>
      </w:r>
    </w:p>
    <w:p w:rsidR="005C088F" w:rsidRPr="006234AA" w:rsidRDefault="005C088F" w:rsidP="003C0546">
      <w:pPr>
        <w:spacing w:after="120"/>
        <w:rPr>
          <w:lang w:val="nl-NL"/>
        </w:rPr>
      </w:pPr>
      <w:r w:rsidRPr="006234AA">
        <w:rPr>
          <w:lang w:val="nl-NL"/>
        </w:rPr>
        <w:t xml:space="preserve">a) Cá nhân dưới 18 tuổi; </w:t>
      </w:r>
    </w:p>
    <w:p w:rsidR="005C088F" w:rsidRPr="006234AA" w:rsidRDefault="005C088F" w:rsidP="003C0546">
      <w:pPr>
        <w:spacing w:after="120"/>
        <w:rPr>
          <w:lang w:val="nl-NL"/>
        </w:rPr>
      </w:pPr>
      <w:r w:rsidRPr="006234AA">
        <w:rPr>
          <w:lang w:val="nl-NL"/>
        </w:rPr>
        <w:t>b) Cá nhân không có năng lực hành vi dân sự và pháp luật đầy đủ, đang chấp hành hình phạt tù, hoặc bị tòa án cấm hành nghề kinh doanh;</w:t>
      </w:r>
    </w:p>
    <w:p w:rsidR="005C088F" w:rsidRPr="006234AA" w:rsidRDefault="005C088F" w:rsidP="003C0546">
      <w:pPr>
        <w:spacing w:after="120"/>
        <w:rPr>
          <w:lang w:val="nl-NL"/>
        </w:rPr>
      </w:pPr>
      <w:r w:rsidRPr="006234AA">
        <w:rPr>
          <w:lang w:val="nl-NL"/>
        </w:rPr>
        <w:t>c) Giám đốc (Tổng Giám đốc</w:t>
      </w:r>
      <w:r w:rsidR="00593591" w:rsidRPr="006234AA">
        <w:rPr>
          <w:lang w:val="nl-NL"/>
        </w:rPr>
        <w:t>)</w:t>
      </w:r>
      <w:r w:rsidRPr="006234AA">
        <w:rPr>
          <w:lang w:val="nl-NL"/>
        </w:rPr>
        <w:t xml:space="preserve">, Phó Giám đốc (Phó Tổng Giám đốc), các trưởng bộ phận, nhân viên của thành viên giao dịch khác; </w:t>
      </w:r>
    </w:p>
    <w:p w:rsidR="005C088F" w:rsidRPr="006234AA" w:rsidRDefault="005C088F" w:rsidP="003C0546">
      <w:pPr>
        <w:spacing w:after="120"/>
        <w:rPr>
          <w:lang w:val="nl-NL"/>
        </w:rPr>
      </w:pPr>
      <w:r w:rsidRPr="006234AA">
        <w:rPr>
          <w:lang w:val="nl-NL"/>
        </w:rPr>
        <w:lastRenderedPageBreak/>
        <w:t>d) Các trường hợp khác theo hướng dẫn của Sở giao dịch chứng khoán.</w:t>
      </w:r>
    </w:p>
    <w:p w:rsidR="005C088F" w:rsidRPr="006234AA" w:rsidRDefault="00CE23A1" w:rsidP="003C0546">
      <w:pPr>
        <w:spacing w:after="120"/>
        <w:rPr>
          <w:lang w:val="nl-NL"/>
        </w:rPr>
      </w:pPr>
      <w:r w:rsidRPr="006234AA">
        <w:rPr>
          <w:lang w:val="nl-NL"/>
        </w:rPr>
        <w:t>8</w:t>
      </w:r>
      <w:r w:rsidR="005C088F" w:rsidRPr="006234AA">
        <w:rPr>
          <w:lang w:val="nl-NL"/>
        </w:rPr>
        <w:t xml:space="preserve">. Khi phát hiện khách hàng đã mở tài khoản giao dịch thuộc một trong các trường hợp quy định tại khoản </w:t>
      </w:r>
      <w:r w:rsidRPr="006234AA">
        <w:rPr>
          <w:lang w:val="nl-NL"/>
        </w:rPr>
        <w:t>7</w:t>
      </w:r>
      <w:r w:rsidR="005C088F" w:rsidRPr="006234AA">
        <w:rPr>
          <w:lang w:val="nl-NL"/>
        </w:rPr>
        <w:t xml:space="preserve"> Điều này, thành viên giao dịch phải ngay lập tức dừng nhận lệnh giao dịch từ khách hàng, ngoại trừ các lệnh giao dịch đối ứng nhằm đóng vị thế. Thành viên giao dịch phải đóng tài khoản của khách hàng ngay sau khi đóng vị thế </w:t>
      </w:r>
      <w:r w:rsidR="00593591" w:rsidRPr="006234AA">
        <w:rPr>
          <w:lang w:val="nl-NL"/>
        </w:rPr>
        <w:t>của khách hàng đó</w:t>
      </w:r>
      <w:r w:rsidR="005C088F" w:rsidRPr="006234AA">
        <w:rPr>
          <w:lang w:val="nl-NL"/>
        </w:rPr>
        <w:t>.</w:t>
      </w:r>
    </w:p>
    <w:p w:rsidR="005C088F" w:rsidRPr="006234AA" w:rsidRDefault="00CE23A1" w:rsidP="003C0546">
      <w:pPr>
        <w:spacing w:after="120"/>
        <w:rPr>
          <w:lang w:val="nl-NL"/>
        </w:rPr>
      </w:pPr>
      <w:r w:rsidRPr="006234AA">
        <w:rPr>
          <w:lang w:val="nl-NL"/>
        </w:rPr>
        <w:t>9</w:t>
      </w:r>
      <w:r w:rsidR="005C088F" w:rsidRPr="006234AA">
        <w:rPr>
          <w:lang w:val="nl-NL"/>
        </w:rPr>
        <w:t xml:space="preserve">. </w:t>
      </w:r>
      <w:r w:rsidR="00A6337E" w:rsidRPr="006234AA">
        <w:rPr>
          <w:lang w:val="nl-NL"/>
        </w:rPr>
        <w:t>Trong các trường hợp dưới đây, k</w:t>
      </w:r>
      <w:r w:rsidR="005C088F" w:rsidRPr="006234AA">
        <w:rPr>
          <w:lang w:val="nl-NL"/>
        </w:rPr>
        <w:t xml:space="preserve">hách hàng được mở tài khoản </w:t>
      </w:r>
      <w:r w:rsidR="00A6337E" w:rsidRPr="006234AA">
        <w:rPr>
          <w:lang w:val="nl-NL"/>
        </w:rPr>
        <w:t>kết nối:</w:t>
      </w:r>
      <w:r w:rsidR="005C088F" w:rsidRPr="006234AA">
        <w:rPr>
          <w:lang w:val="nl-NL"/>
        </w:rPr>
        <w:t xml:space="preserve"> </w:t>
      </w:r>
    </w:p>
    <w:p w:rsidR="005C088F" w:rsidRPr="006234AA" w:rsidRDefault="005C088F" w:rsidP="003C0546">
      <w:pPr>
        <w:spacing w:after="120"/>
        <w:rPr>
          <w:lang w:val="nl-NL"/>
        </w:rPr>
      </w:pPr>
      <w:r w:rsidRPr="006234AA">
        <w:rPr>
          <w:lang w:val="nl-NL"/>
        </w:rPr>
        <w:t>a) Khách hàng có tài khoản giao dịch chứng khoán phái sinh và tài khoản giao dịch chứng khoán mở tại cùng một thành viên giao dịch đồng thời là thành viên bù trừ;</w:t>
      </w:r>
      <w:r w:rsidR="00242BC8" w:rsidRPr="006234AA">
        <w:rPr>
          <w:lang w:val="nl-NL"/>
        </w:rPr>
        <w:t xml:space="preserve"> hoặc</w:t>
      </w:r>
    </w:p>
    <w:p w:rsidR="005C088F" w:rsidRPr="006234AA" w:rsidRDefault="005C088F" w:rsidP="003C0546">
      <w:pPr>
        <w:spacing w:after="120"/>
        <w:rPr>
          <w:lang w:val="nl-NL"/>
        </w:rPr>
      </w:pPr>
      <w:r w:rsidRPr="006234AA">
        <w:rPr>
          <w:lang w:val="nl-NL"/>
        </w:rPr>
        <w:t xml:space="preserve">b) Khách hàng lưu ký chứng khoán tại ngân hàng lưu ký </w:t>
      </w:r>
      <w:r w:rsidR="00242BC8" w:rsidRPr="006234AA">
        <w:rPr>
          <w:lang w:val="nl-NL"/>
        </w:rPr>
        <w:t>đồng thời</w:t>
      </w:r>
      <w:r w:rsidRPr="006234AA">
        <w:rPr>
          <w:lang w:val="nl-NL"/>
        </w:rPr>
        <w:t xml:space="preserve"> là thành viên bù trừ.</w:t>
      </w:r>
    </w:p>
    <w:p w:rsidR="005C088F" w:rsidRPr="006234AA" w:rsidRDefault="00CE23A1" w:rsidP="003C0546">
      <w:pPr>
        <w:spacing w:after="120"/>
        <w:rPr>
          <w:lang w:val="id-ID"/>
        </w:rPr>
      </w:pPr>
      <w:r w:rsidRPr="006234AA">
        <w:rPr>
          <w:lang w:val="nl-NL"/>
        </w:rPr>
        <w:t>10</w:t>
      </w:r>
      <w:r w:rsidR="005C088F" w:rsidRPr="006234AA">
        <w:rPr>
          <w:lang w:val="id-ID"/>
        </w:rPr>
        <w:t xml:space="preserve">. </w:t>
      </w:r>
      <w:r w:rsidR="00596DCA" w:rsidRPr="006234AA">
        <w:rPr>
          <w:lang w:val="nl-NL"/>
        </w:rPr>
        <w:t xml:space="preserve"> </w:t>
      </w:r>
      <w:r w:rsidR="005C088F" w:rsidRPr="006234AA">
        <w:rPr>
          <w:lang w:val="id-ID"/>
        </w:rPr>
        <w:t>Việc mở và quản lý tài khoản giao dịch chứng khoán phái sinh của khách hàng phải bảo đảm nguyên tắc sau:</w:t>
      </w:r>
    </w:p>
    <w:p w:rsidR="00596DCA" w:rsidRPr="006234AA" w:rsidRDefault="005C088F" w:rsidP="003C0546">
      <w:pPr>
        <w:spacing w:after="120"/>
        <w:ind w:firstLine="720"/>
        <w:rPr>
          <w:lang w:val="nl-NL"/>
        </w:rPr>
      </w:pPr>
      <w:r w:rsidRPr="006234AA">
        <w:rPr>
          <w:lang w:val="id-ID"/>
        </w:rPr>
        <w:t xml:space="preserve">a) </w:t>
      </w:r>
      <w:r w:rsidR="00596DCA" w:rsidRPr="006234AA">
        <w:rPr>
          <w:lang w:val="nl-NL"/>
        </w:rPr>
        <w:t xml:space="preserve">Trên cơ sở mã số định danh do Trung tâm Lưu ký chứng khoán cấp, mỗi khách hàng được mở nhiều tài khoản giao dịch theo nguyên tắc: </w:t>
      </w:r>
    </w:p>
    <w:p w:rsidR="00596DCA" w:rsidRPr="006234AA" w:rsidRDefault="00596DCA" w:rsidP="003C0546">
      <w:pPr>
        <w:spacing w:after="120"/>
        <w:ind w:firstLine="720"/>
        <w:rPr>
          <w:lang w:val="nl-NL"/>
        </w:rPr>
      </w:pPr>
      <w:r w:rsidRPr="006234AA">
        <w:rPr>
          <w:lang w:val="nl-NL"/>
        </w:rPr>
        <w:t xml:space="preserve">- Tại một thành viên giao dịch chỉ được mở một tài khoản giao dịch; </w:t>
      </w:r>
    </w:p>
    <w:p w:rsidR="00596DCA" w:rsidRPr="006234AA" w:rsidRDefault="00596DCA" w:rsidP="003C0546">
      <w:pPr>
        <w:spacing w:after="120"/>
        <w:ind w:firstLine="720"/>
        <w:rPr>
          <w:lang w:val="nl-NL"/>
        </w:rPr>
      </w:pPr>
      <w:r w:rsidRPr="006234AA">
        <w:rPr>
          <w:lang w:val="nl-NL"/>
        </w:rPr>
        <w:t>- Ứng với mỗi tài khoản giao dịch chỉ có một tài khoản ký quỹ mở tại một thành viên bù trừ;</w:t>
      </w:r>
    </w:p>
    <w:p w:rsidR="00596DCA" w:rsidRPr="006234AA" w:rsidRDefault="00596DCA" w:rsidP="003C0546">
      <w:pPr>
        <w:spacing w:after="120"/>
        <w:rPr>
          <w:lang w:val="id-ID"/>
        </w:rPr>
      </w:pPr>
      <w:r w:rsidRPr="006234AA">
        <w:rPr>
          <w:lang w:val="nl-NL"/>
        </w:rPr>
        <w:t xml:space="preserve">b) </w:t>
      </w:r>
      <w:r w:rsidR="005C088F" w:rsidRPr="006234AA">
        <w:rPr>
          <w:lang w:val="id-ID"/>
        </w:rPr>
        <w:t xml:space="preserve">Tài khoản </w:t>
      </w:r>
      <w:r w:rsidRPr="006234AA">
        <w:rPr>
          <w:lang w:val="nl-NL"/>
        </w:rPr>
        <w:t xml:space="preserve">giao dịch </w:t>
      </w:r>
      <w:r w:rsidR="005C088F" w:rsidRPr="006234AA">
        <w:rPr>
          <w:lang w:val="id-ID"/>
        </w:rPr>
        <w:t>phải được mở, quản lý độc lập, tách biệt tới từng khách hàng</w:t>
      </w:r>
      <w:r w:rsidRPr="006234AA">
        <w:rPr>
          <w:lang w:val="id-ID"/>
        </w:rPr>
        <w:t>.</w:t>
      </w:r>
      <w:r w:rsidR="005C088F" w:rsidRPr="006234AA">
        <w:rPr>
          <w:lang w:val="nl-NL"/>
        </w:rPr>
        <w:t xml:space="preserve"> </w:t>
      </w:r>
      <w:r w:rsidRPr="006234AA">
        <w:rPr>
          <w:lang w:val="id-ID"/>
        </w:rPr>
        <w:t>Tài khoản</w:t>
      </w:r>
      <w:r w:rsidRPr="006234AA">
        <w:rPr>
          <w:lang w:val="nl-NL"/>
        </w:rPr>
        <w:t xml:space="preserve"> phải </w:t>
      </w:r>
      <w:r w:rsidRPr="006234AA">
        <w:rPr>
          <w:lang w:val="id-ID"/>
        </w:rPr>
        <w:t xml:space="preserve">bao gồm </w:t>
      </w:r>
      <w:r w:rsidRPr="006234AA">
        <w:rPr>
          <w:lang w:val="nl-NL"/>
        </w:rPr>
        <w:t xml:space="preserve">tối thiểu </w:t>
      </w:r>
      <w:r w:rsidRPr="006234AA">
        <w:rPr>
          <w:lang w:val="id-ID"/>
        </w:rPr>
        <w:t>các nội dung sau đây:</w:t>
      </w:r>
    </w:p>
    <w:p w:rsidR="00596DCA" w:rsidRPr="006234AA" w:rsidRDefault="00596DCA" w:rsidP="003C0546">
      <w:pPr>
        <w:spacing w:after="120"/>
        <w:rPr>
          <w:lang w:val="id-ID"/>
        </w:rPr>
      </w:pPr>
      <w:r w:rsidRPr="006234AA">
        <w:rPr>
          <w:lang w:val="id-ID"/>
        </w:rPr>
        <w:t>- Mã số định danh khách hàng do Trung tâm Lưu ký chứng khoán cấp, số tài khoản giao dịch chứng khoán phái sinh, số tài khoản lưu ký chứng khoán cơ sở và thông tin nhận biết khách hàng quy định tại điểm a khoản 1 Điều này;</w:t>
      </w:r>
    </w:p>
    <w:p w:rsidR="00596DCA" w:rsidRPr="006234AA" w:rsidRDefault="00596DCA" w:rsidP="003C0546">
      <w:pPr>
        <w:spacing w:after="120"/>
        <w:rPr>
          <w:lang w:val="id-ID"/>
        </w:rPr>
      </w:pPr>
      <w:r w:rsidRPr="006234AA">
        <w:rPr>
          <w:lang w:val="id-ID"/>
        </w:rPr>
        <w:t xml:space="preserve">- Loại, mã chứng khoán phái sinh; số lượng chứng khoán phái sinh từng loại, mã; vị thế giao dịch từng loại, mã được cập nhật tới thời điểm gần nhất; </w:t>
      </w:r>
    </w:p>
    <w:p w:rsidR="00596DCA" w:rsidRPr="006234AA" w:rsidRDefault="00596DCA" w:rsidP="003C0546">
      <w:pPr>
        <w:spacing w:after="120"/>
        <w:rPr>
          <w:lang w:val="id-ID"/>
        </w:rPr>
      </w:pPr>
      <w:r w:rsidRPr="006234AA">
        <w:rPr>
          <w:lang w:val="id-ID"/>
        </w:rPr>
        <w:t>- Lịch sử giao dịch từng loại, mã, trong đó nêu rõ thời điểm, ngày giao dịch, mức giá đặt và mức giá thực hiện.</w:t>
      </w:r>
    </w:p>
    <w:p w:rsidR="005C088F" w:rsidRPr="006234AA" w:rsidRDefault="00596DCA" w:rsidP="003C0546">
      <w:pPr>
        <w:spacing w:after="120"/>
        <w:ind w:firstLine="720"/>
        <w:rPr>
          <w:lang w:val="id-ID"/>
        </w:rPr>
      </w:pPr>
      <w:r w:rsidRPr="006234AA">
        <w:rPr>
          <w:lang w:val="nl-NL"/>
        </w:rPr>
        <w:t>c</w:t>
      </w:r>
      <w:r w:rsidR="005C088F" w:rsidRPr="006234AA">
        <w:rPr>
          <w:lang w:val="id-ID"/>
        </w:rPr>
        <w:t>)</w:t>
      </w:r>
      <w:r w:rsidR="005C088F" w:rsidRPr="006234AA">
        <w:rPr>
          <w:lang w:val="nl-NL"/>
        </w:rPr>
        <w:t xml:space="preserve"> Dữ liệu về tài khoản giao dịch phải được quản lý tập trung và phải lưu trữ dự phòng tại địa điểm khác;</w:t>
      </w:r>
    </w:p>
    <w:p w:rsidR="005C088F" w:rsidRPr="006234AA" w:rsidRDefault="002B77D4" w:rsidP="003C0546">
      <w:pPr>
        <w:spacing w:after="120"/>
        <w:ind w:firstLine="720"/>
        <w:rPr>
          <w:lang w:val="nl-NL"/>
        </w:rPr>
      </w:pPr>
      <w:r w:rsidRPr="006234AA">
        <w:rPr>
          <w:lang w:val="nl-NL"/>
        </w:rPr>
        <w:t>d</w:t>
      </w:r>
      <w:r w:rsidR="005C088F" w:rsidRPr="006234AA">
        <w:rPr>
          <w:lang w:val="nl-NL"/>
        </w:rPr>
        <w:t>) Thành viên giao dịch, thành viên bù trừ được chỉ định (nếu có), ngân hàng quản lý tài khoản phải phối hợp xây dựng, thiết lập và vận hành hệ thống để theo dõi được các vị thế mở trên tài khoản giao dịch chứng khoán phái sinh</w:t>
      </w:r>
      <w:r w:rsidR="009576A0" w:rsidRPr="006234AA">
        <w:rPr>
          <w:lang w:val="nl-NL"/>
        </w:rPr>
        <w:t>, danh mục</w:t>
      </w:r>
      <w:r w:rsidR="005C088F" w:rsidRPr="006234AA">
        <w:rPr>
          <w:lang w:val="nl-NL"/>
        </w:rPr>
        <w:t xml:space="preserve"> </w:t>
      </w:r>
      <w:r w:rsidR="009576A0" w:rsidRPr="006234AA">
        <w:rPr>
          <w:lang w:val="nl-NL"/>
        </w:rPr>
        <w:t>tài sản trên</w:t>
      </w:r>
      <w:r w:rsidR="005C088F" w:rsidRPr="006234AA">
        <w:rPr>
          <w:lang w:val="nl-NL"/>
        </w:rPr>
        <w:t xml:space="preserve"> tài khoản ký quỹ của từng khách hàng;</w:t>
      </w:r>
    </w:p>
    <w:p w:rsidR="002B77D4" w:rsidRPr="006234AA" w:rsidRDefault="002B77D4" w:rsidP="003C0546">
      <w:pPr>
        <w:spacing w:after="120"/>
        <w:ind w:firstLine="720"/>
        <w:rPr>
          <w:lang w:val="nl-NL"/>
        </w:rPr>
      </w:pPr>
      <w:r w:rsidRPr="006234AA">
        <w:rPr>
          <w:lang w:val="nl-NL"/>
        </w:rPr>
        <w:t>đ)</w:t>
      </w:r>
      <w:r w:rsidRPr="006234AA">
        <w:rPr>
          <w:lang w:val="id-ID"/>
        </w:rPr>
        <w:t xml:space="preserve"> Thành viên giao dịch có trách nhiệm thường xuyên đối chiếu, soát xét,</w:t>
      </w:r>
      <w:r w:rsidRPr="006234AA">
        <w:rPr>
          <w:lang w:val="nl-NL"/>
        </w:rPr>
        <w:t xml:space="preserve"> cập nhật,</w:t>
      </w:r>
      <w:r w:rsidRPr="006234AA">
        <w:rPr>
          <w:lang w:val="id-ID"/>
        </w:rPr>
        <w:t xml:space="preserve"> cung cấp đầy đủ và kịp thời thông tin về giao dịch, vị thế mở và các thông tin khác cho thành viên bù trừ; bảo đảm dữ liệu có trên tài khoản giao dịch </w:t>
      </w:r>
      <w:r w:rsidRPr="006234AA">
        <w:rPr>
          <w:lang w:val="id-ID"/>
        </w:rPr>
        <w:lastRenderedPageBreak/>
        <w:t>của khách hàng phù hợp với dữ liệu có trên tài khoản ký quỹ của khách hàng được quản lý bởi thành viên bù trừ;</w:t>
      </w:r>
    </w:p>
    <w:p w:rsidR="002B77D4" w:rsidRPr="006234AA" w:rsidRDefault="002B77D4" w:rsidP="003C0546">
      <w:pPr>
        <w:spacing w:after="120"/>
        <w:ind w:firstLine="720"/>
        <w:rPr>
          <w:lang w:val="nl-NL"/>
        </w:rPr>
      </w:pPr>
      <w:r w:rsidRPr="006234AA">
        <w:rPr>
          <w:lang w:val="nl-NL"/>
        </w:rPr>
        <w:t>e) Trung tâm Lưu ký chứng khoán có quyền thiết lập hệ thống để theo dõi, giám sát thông tin tới từng tài khoản khách hàng. Thông tin trên tài khoản giao dịch</w:t>
      </w:r>
      <w:r w:rsidRPr="006234AA">
        <w:rPr>
          <w:lang w:val="id-ID"/>
        </w:rPr>
        <w:t xml:space="preserve"> </w:t>
      </w:r>
      <w:r w:rsidRPr="006234AA">
        <w:rPr>
          <w:lang w:val="nl-NL"/>
        </w:rPr>
        <w:t>của khách hàng phải khớp thông tin trên hệ thống tài khoản khách hàng do</w:t>
      </w:r>
      <w:r w:rsidRPr="006234AA">
        <w:rPr>
          <w:lang w:val="id-ID"/>
        </w:rPr>
        <w:t xml:space="preserve"> Trung tâm lưu ký chứng khoán</w:t>
      </w:r>
      <w:r w:rsidRPr="006234AA">
        <w:rPr>
          <w:lang w:val="nl-NL"/>
        </w:rPr>
        <w:t xml:space="preserve"> quản lý;</w:t>
      </w:r>
    </w:p>
    <w:p w:rsidR="005C088F" w:rsidRPr="006234AA" w:rsidRDefault="002B77D4" w:rsidP="003C0546">
      <w:pPr>
        <w:spacing w:after="120"/>
        <w:ind w:firstLine="720"/>
        <w:rPr>
          <w:lang w:val="nl-NL"/>
        </w:rPr>
      </w:pPr>
      <w:r w:rsidRPr="006234AA">
        <w:rPr>
          <w:lang w:val="nl-NL"/>
        </w:rPr>
        <w:t>g)</w:t>
      </w:r>
      <w:r w:rsidRPr="006234AA">
        <w:rPr>
          <w:lang w:val="id-ID"/>
        </w:rPr>
        <w:t xml:space="preserve"> Thành viên giao dịch có trách nhiệm cung cấp đầy đủ và kịp thời mọi thông tin về khách hàng cho </w:t>
      </w:r>
      <w:r w:rsidRPr="006234AA">
        <w:rPr>
          <w:lang w:val="nl-NL"/>
        </w:rPr>
        <w:t xml:space="preserve">thành viên bù trừ được chỉ định, </w:t>
      </w:r>
      <w:r w:rsidRPr="006234AA">
        <w:rPr>
          <w:lang w:val="id-ID"/>
        </w:rPr>
        <w:t>Trung tâm lưu ký chứng khoán, Sở giao dịch Chứng khoán và Ủy ban Chứng khoán Nhà nước khi có yêu cầu bằng văn bản</w:t>
      </w:r>
      <w:r w:rsidRPr="006234AA">
        <w:rPr>
          <w:lang w:val="nl-NL"/>
        </w:rPr>
        <w:t>.</w:t>
      </w:r>
      <w:r w:rsidRPr="006234AA">
        <w:rPr>
          <w:lang w:val="id-ID"/>
        </w:rPr>
        <w:t xml:space="preserve"> </w:t>
      </w:r>
    </w:p>
    <w:p w:rsidR="005C088F" w:rsidRPr="006234AA" w:rsidRDefault="00CE23A1" w:rsidP="003C0546">
      <w:pPr>
        <w:tabs>
          <w:tab w:val="left" w:pos="1134"/>
        </w:tabs>
        <w:spacing w:after="120"/>
        <w:ind w:firstLine="709"/>
        <w:rPr>
          <w:lang w:val="nl-NL"/>
        </w:rPr>
      </w:pPr>
      <w:r w:rsidRPr="006234AA">
        <w:rPr>
          <w:lang w:val="pt-BR"/>
        </w:rPr>
        <w:t>11</w:t>
      </w:r>
      <w:r w:rsidR="005C088F" w:rsidRPr="006234AA">
        <w:rPr>
          <w:lang w:val="pt-BR"/>
        </w:rPr>
        <w:t xml:space="preserve">. </w:t>
      </w:r>
      <w:r w:rsidR="005C088F" w:rsidRPr="006234AA">
        <w:rPr>
          <w:lang w:val="nl-NL"/>
        </w:rPr>
        <w:t>Việc mở và quản lý tài khoản giao dịch chứng khoán phái sinh cho khách hàng nước ngoài bảo đảm nguyên tắc sau:</w:t>
      </w:r>
    </w:p>
    <w:p w:rsidR="002B77D4" w:rsidRPr="006234AA" w:rsidRDefault="005C088F" w:rsidP="003C0546">
      <w:pPr>
        <w:tabs>
          <w:tab w:val="left" w:pos="1134"/>
        </w:tabs>
        <w:spacing w:after="120"/>
        <w:ind w:firstLine="709"/>
        <w:rPr>
          <w:lang w:val="nl-NL"/>
        </w:rPr>
      </w:pPr>
      <w:r w:rsidRPr="006234AA">
        <w:rPr>
          <w:lang w:val="nl-NL"/>
        </w:rPr>
        <w:t>a) Trước khi mở tài khoản giao dịch chứng khoán, khách hàng nước ngoài phải đăng ký mã số giao dịch chứng khoán  theo quy định về hoạt động của nhà đầu tư nước ngoài trên thị trường chứng khoán do Bộ Tài chính ban hành</w:t>
      </w:r>
      <w:r w:rsidR="002B77D4" w:rsidRPr="006234AA">
        <w:rPr>
          <w:lang w:val="nl-NL"/>
        </w:rPr>
        <w:t>, trừ trường hợp nhà đầu tư ở nước ngoài giao dịch thông qua tài khoản môi giới ký danh của công ty chứng khoán nước ngoài;</w:t>
      </w:r>
    </w:p>
    <w:p w:rsidR="00A6337E" w:rsidRPr="006234AA" w:rsidRDefault="002B77D4" w:rsidP="003C0546">
      <w:pPr>
        <w:tabs>
          <w:tab w:val="left" w:pos="1134"/>
        </w:tabs>
        <w:spacing w:after="120"/>
        <w:ind w:firstLine="709"/>
        <w:rPr>
          <w:lang w:val="nl-NL"/>
        </w:rPr>
      </w:pPr>
      <w:r w:rsidRPr="006234AA">
        <w:rPr>
          <w:lang w:val="nl-NL"/>
        </w:rPr>
        <w:t>b) Việc mở tài khoản giao dịch cho nhà đầu tư nước ngoài tuân thủ quy định tại Khoản 8 Điều này</w:t>
      </w:r>
      <w:r w:rsidR="004D1573" w:rsidRPr="006234AA">
        <w:rPr>
          <w:lang w:val="nl-NL"/>
        </w:rPr>
        <w:t>. Nhà đầu tư nước ngoài đáp ứng quy định tại Khoản 6 Điều này được mở tài khoản kết nối.</w:t>
      </w:r>
      <w:r w:rsidR="00A6337E" w:rsidRPr="006234AA">
        <w:rPr>
          <w:lang w:val="nl-NL"/>
        </w:rPr>
        <w:t xml:space="preserve"> </w:t>
      </w:r>
    </w:p>
    <w:p w:rsidR="00A6337E" w:rsidRPr="006234AA" w:rsidRDefault="00A6337E" w:rsidP="003C0546">
      <w:pPr>
        <w:tabs>
          <w:tab w:val="left" w:pos="1134"/>
        </w:tabs>
        <w:spacing w:after="120"/>
        <w:ind w:firstLine="709"/>
        <w:rPr>
          <w:lang w:val="nl-NL"/>
        </w:rPr>
      </w:pPr>
      <w:r w:rsidRPr="006234AA">
        <w:rPr>
          <w:lang w:val="nl-NL"/>
        </w:rPr>
        <w:t>1</w:t>
      </w:r>
      <w:r w:rsidR="00CE23A1" w:rsidRPr="006234AA">
        <w:rPr>
          <w:lang w:val="nl-NL"/>
        </w:rPr>
        <w:t>2</w:t>
      </w:r>
      <w:r w:rsidRPr="006234AA">
        <w:rPr>
          <w:lang w:val="nl-NL"/>
        </w:rPr>
        <w:t>. Việc mở và quản lý tài khoản môi giới ký danh cho công ty chứng khoán nước ngoài:</w:t>
      </w:r>
    </w:p>
    <w:p w:rsidR="00A6337E" w:rsidRPr="006234AA" w:rsidRDefault="00A6337E" w:rsidP="003C0546">
      <w:pPr>
        <w:tabs>
          <w:tab w:val="left" w:pos="1134"/>
        </w:tabs>
        <w:spacing w:after="120"/>
        <w:ind w:firstLine="709"/>
        <w:rPr>
          <w:lang w:val="nl-NL"/>
        </w:rPr>
      </w:pPr>
      <w:r w:rsidRPr="006234AA">
        <w:rPr>
          <w:lang w:val="nl-NL"/>
        </w:rPr>
        <w:t>a</w:t>
      </w:r>
      <w:r w:rsidR="005C088F" w:rsidRPr="006234AA">
        <w:rPr>
          <w:lang w:val="nl-NL"/>
        </w:rPr>
        <w:t>) Công ty chứng khoán nước ngoài phải đăng ký mã số giao dịch chứng khoán theo quy định về hoạt động của nhà đầu tư nước ngoài trên thị trường chứng khoán do Bộ Tài chính ban hành và phải đăng ký mã số định danh cho tài khoản môi giới ký danh;</w:t>
      </w:r>
    </w:p>
    <w:p w:rsidR="005C088F" w:rsidRPr="006234AA" w:rsidRDefault="00A6337E" w:rsidP="003C0546">
      <w:pPr>
        <w:tabs>
          <w:tab w:val="left" w:pos="1134"/>
        </w:tabs>
        <w:spacing w:after="120"/>
        <w:ind w:firstLine="709"/>
        <w:rPr>
          <w:lang w:val="nl-NL"/>
        </w:rPr>
      </w:pPr>
      <w:r w:rsidRPr="006234AA">
        <w:rPr>
          <w:lang w:val="nl-NL"/>
        </w:rPr>
        <w:t>b) Công ty chứng khoán nước ngoài có trách nhiệm mở cho mỗi nhà đầu tư nước ngoài một tài khoản ký quỹ tại thành viên bù trừ. Tài khoản ký quỹ phải được quản lý tách biệt tới từng nhà đầu tư theo quy định tại Thông tư này;</w:t>
      </w:r>
      <w:r w:rsidR="005C088F" w:rsidRPr="006234AA">
        <w:rPr>
          <w:lang w:val="nl-NL"/>
        </w:rPr>
        <w:t xml:space="preserve"> </w:t>
      </w:r>
    </w:p>
    <w:p w:rsidR="005C088F" w:rsidRPr="006234AA" w:rsidRDefault="005C088F" w:rsidP="003C0546">
      <w:pPr>
        <w:spacing w:after="120"/>
        <w:rPr>
          <w:lang w:val="nl-NL"/>
        </w:rPr>
      </w:pPr>
      <w:r w:rsidRPr="006234AA">
        <w:rPr>
          <w:lang w:val="nl-NL"/>
        </w:rPr>
        <w:t xml:space="preserve">  </w:t>
      </w:r>
      <w:r w:rsidR="00A6337E" w:rsidRPr="006234AA">
        <w:rPr>
          <w:lang w:val="nl-NL"/>
        </w:rPr>
        <w:t>c</w:t>
      </w:r>
      <w:r w:rsidRPr="006234AA">
        <w:rPr>
          <w:lang w:val="nl-NL"/>
        </w:rPr>
        <w:t xml:space="preserve">) Công ty chứng khoán nước ngoài phải cập nhật đầy đủ, kịp thời, chính xác thông tin và vị thế giao dịch của từng nhà đầu tư nước ngoài trên tài khoản môi giới ký danh. Trường hợp có yêu cầu bằng văn bản, công ty chứng khoán nước ngoài phải cung cấp kịp thời và đầy đủ </w:t>
      </w:r>
      <w:r w:rsidR="004D1573" w:rsidRPr="006234AA">
        <w:rPr>
          <w:lang w:val="nl-NL"/>
        </w:rPr>
        <w:t xml:space="preserve">thông tin về hoạt động trên tài khoản môi giới ký danh chi tiết tới từng khách hàng </w:t>
      </w:r>
      <w:r w:rsidRPr="006234AA">
        <w:rPr>
          <w:lang w:val="nl-NL"/>
        </w:rPr>
        <w:t xml:space="preserve">cho cơ quan quản lý nhà nước có thẩm quyền, thông qua thành viên giao dịch nơi công ty chứng khoán nước ngoài mở tài khoản môi giới ký danh. </w:t>
      </w:r>
    </w:p>
    <w:p w:rsidR="005C088F" w:rsidRPr="006234AA" w:rsidRDefault="005C088F" w:rsidP="003C0546">
      <w:pPr>
        <w:pStyle w:val="Heading4"/>
        <w:spacing w:after="120"/>
      </w:pPr>
      <w:bookmarkStart w:id="126" w:name="_Toc397003353"/>
      <w:bookmarkStart w:id="127" w:name="_Toc422671981"/>
      <w:r w:rsidRPr="006234AA">
        <w:t>Nhận và thực hiện lệnh giao dịch</w:t>
      </w:r>
      <w:bookmarkEnd w:id="126"/>
      <w:bookmarkEnd w:id="127"/>
    </w:p>
    <w:p w:rsidR="00486E29" w:rsidRPr="006234AA" w:rsidRDefault="00486E29" w:rsidP="003C0546">
      <w:pPr>
        <w:pStyle w:val="ListParagraph"/>
        <w:numPr>
          <w:ilvl w:val="3"/>
          <w:numId w:val="2"/>
        </w:numPr>
        <w:tabs>
          <w:tab w:val="left" w:pos="1080"/>
        </w:tabs>
        <w:spacing w:after="120"/>
        <w:ind w:left="0" w:firstLine="720"/>
      </w:pPr>
      <w:r w:rsidRPr="006234AA">
        <w:t xml:space="preserve">Thành viên giao dịch chỉ được phép nhận lệnh giao dịch của nhà đầu tư sau khi đã bảo đảm nhà đầu tư đã có tài khoản giao dịch, tài khoản ký quỹ do </w:t>
      </w:r>
      <w:r w:rsidRPr="006234AA">
        <w:lastRenderedPageBreak/>
        <w:t xml:space="preserve">thành viên bù trừ quản lý và đã nộp đầy đủ mức ký quỹ ban đầu, mức ký quỹ duy trì theo yêu cầu của thành viên bù trừ. </w:t>
      </w:r>
    </w:p>
    <w:p w:rsidR="005C088F" w:rsidRPr="006234AA" w:rsidRDefault="005C088F" w:rsidP="003C0546">
      <w:pPr>
        <w:pStyle w:val="ListParagraph"/>
        <w:numPr>
          <w:ilvl w:val="3"/>
          <w:numId w:val="2"/>
        </w:numPr>
        <w:tabs>
          <w:tab w:val="left" w:pos="1080"/>
        </w:tabs>
        <w:spacing w:after="120"/>
        <w:ind w:left="0" w:firstLine="720"/>
      </w:pPr>
      <w:r w:rsidRPr="006234AA">
        <w:t xml:space="preserve">Thành viên giao dịch không được trực tiếp nhận tiền, tài sản ký quỹ của khách hàng. </w:t>
      </w:r>
      <w:r w:rsidR="00486E29" w:rsidRPr="006234AA">
        <w:t>Trường hợp tài sản ký quỹ là tiền, việc</w:t>
      </w:r>
      <w:r w:rsidRPr="006234AA">
        <w:t xml:space="preserve"> nộp tiền, thanh toán, bổ sung ký quỹ bằng tiền thực hiện dưới hình thức chuyển khoản tới và từ tài khoản ký quỹ của khách hàng. Trường hợp tài sản ký quỹ là chứng khoán, thì </w:t>
      </w:r>
      <w:r w:rsidR="00486E29" w:rsidRPr="006234AA">
        <w:t>việc</w:t>
      </w:r>
      <w:r w:rsidRPr="006234AA">
        <w:t xml:space="preserve"> phong tỏa, </w:t>
      </w:r>
      <w:r w:rsidR="00486E29" w:rsidRPr="006234AA">
        <w:t>chấm dứt phong tỏa</w:t>
      </w:r>
      <w:r w:rsidRPr="006234AA">
        <w:t xml:space="preserve">, chuyển khoản </w:t>
      </w:r>
      <w:r w:rsidR="00486E29" w:rsidRPr="006234AA">
        <w:t xml:space="preserve">thực hiện </w:t>
      </w:r>
      <w:r w:rsidRPr="006234AA">
        <w:t>trên hệ thống tài khoản lưu ký chứng khoán theo hướng dẫn của Trung tâm lưu ký chứng khoán.</w:t>
      </w:r>
    </w:p>
    <w:p w:rsidR="005C088F" w:rsidRPr="006234AA" w:rsidRDefault="00BD430A" w:rsidP="003C0546">
      <w:pPr>
        <w:spacing w:after="120"/>
        <w:rPr>
          <w:lang w:val="nl-NL"/>
        </w:rPr>
      </w:pPr>
      <w:r w:rsidRPr="006234AA">
        <w:rPr>
          <w:lang w:val="nl-NL"/>
        </w:rPr>
        <w:t xml:space="preserve"> </w:t>
      </w:r>
      <w:r w:rsidR="005C088F" w:rsidRPr="006234AA">
        <w:rPr>
          <w:lang w:val="nl-NL"/>
        </w:rPr>
        <w:t>3. Thành viên giao dịch được nhận lệnh giao dịch của khách hàng theo các hình thức sau:</w:t>
      </w:r>
    </w:p>
    <w:p w:rsidR="005C088F" w:rsidRPr="006234AA" w:rsidRDefault="005C088F" w:rsidP="003C0546">
      <w:pPr>
        <w:spacing w:after="120"/>
        <w:rPr>
          <w:lang w:val="nl-NL"/>
        </w:rPr>
      </w:pPr>
      <w:r w:rsidRPr="006234AA">
        <w:rPr>
          <w:lang w:val="nl-NL"/>
        </w:rPr>
        <w:t>a) Nhận phiếu lệnh trực tiếp tại quầy giao dịch;</w:t>
      </w:r>
    </w:p>
    <w:p w:rsidR="005C088F" w:rsidRPr="006234AA" w:rsidRDefault="005C088F" w:rsidP="003C0546">
      <w:pPr>
        <w:spacing w:after="120"/>
        <w:rPr>
          <w:lang w:val="nl-NL"/>
        </w:rPr>
      </w:pPr>
      <w:r w:rsidRPr="006234AA">
        <w:rPr>
          <w:lang w:val="nl-NL"/>
        </w:rPr>
        <w:t>b) Nhận lệnh từ xa qua điện thoại, fax, internet và các đường truyền khác;</w:t>
      </w:r>
    </w:p>
    <w:p w:rsidR="005C088F" w:rsidRPr="006234AA" w:rsidRDefault="005C088F" w:rsidP="003C0546">
      <w:pPr>
        <w:spacing w:after="120"/>
        <w:rPr>
          <w:lang w:val="nl-NL"/>
        </w:rPr>
      </w:pPr>
      <w:r w:rsidRPr="006234AA">
        <w:rPr>
          <w:lang w:val="nl-NL"/>
        </w:rPr>
        <w:t>c) Nhận lệnh qua hệ thống giao dịch trực tuyến của thành viên giao dịch.</w:t>
      </w:r>
    </w:p>
    <w:p w:rsidR="005C088F" w:rsidRPr="006234AA" w:rsidRDefault="005C088F" w:rsidP="003C0546">
      <w:pPr>
        <w:spacing w:after="120"/>
        <w:rPr>
          <w:lang w:val="nl-NL"/>
        </w:rPr>
      </w:pPr>
      <w:r w:rsidRPr="006234AA">
        <w:rPr>
          <w:lang w:val="nl-NL"/>
        </w:rPr>
        <w:t xml:space="preserve">4. Trường hợp nhận lệnh giao dịch trực tuyến, qua điện thoại, qua fax và các đường truyền khác theo quy định tại điểm b, c khoản 3 Điều này, thành viên giao dịch phải tuân thủ các quy định của pháp luật về giao dịch điện tử và bảo đảm: </w:t>
      </w:r>
    </w:p>
    <w:p w:rsidR="005C088F" w:rsidRPr="006234AA" w:rsidRDefault="005C088F" w:rsidP="003C0546">
      <w:pPr>
        <w:spacing w:after="120"/>
        <w:rPr>
          <w:lang w:val="nl-NL"/>
        </w:rPr>
      </w:pPr>
      <w:r w:rsidRPr="006234AA">
        <w:rPr>
          <w:lang w:val="nl-NL"/>
        </w:rPr>
        <w:t>a) Ghi nhận lại đầy đủ thông tin tại thời điểm nhận lệnh, nhân viên nhận lệnh, sửa lệnh, nhập lệnh;</w:t>
      </w:r>
    </w:p>
    <w:p w:rsidR="005C088F" w:rsidRPr="006234AA" w:rsidRDefault="005C088F" w:rsidP="003C0546">
      <w:pPr>
        <w:spacing w:after="120"/>
        <w:rPr>
          <w:lang w:val="nl-NL"/>
        </w:rPr>
      </w:pPr>
      <w:r w:rsidRPr="006234AA">
        <w:rPr>
          <w:lang w:val="nl-NL"/>
        </w:rPr>
        <w:t>b) Lưu giữ bằng chứng chứng minh về việc đặt lệnh của khách hàng;</w:t>
      </w:r>
    </w:p>
    <w:p w:rsidR="005C088F" w:rsidRPr="006234AA" w:rsidRDefault="005C088F" w:rsidP="003C0546">
      <w:pPr>
        <w:spacing w:after="120"/>
        <w:rPr>
          <w:lang w:val="nl-NL"/>
        </w:rPr>
      </w:pPr>
      <w:r w:rsidRPr="006234AA">
        <w:rPr>
          <w:lang w:val="nl-NL"/>
        </w:rPr>
        <w:t>c) Xác nhận với khách hàng trước khi nhập lệnh vào hệ thống giao dịch.</w:t>
      </w:r>
    </w:p>
    <w:p w:rsidR="005C088F" w:rsidRPr="006234AA" w:rsidRDefault="005C088F" w:rsidP="003C0546">
      <w:pPr>
        <w:spacing w:after="120"/>
        <w:rPr>
          <w:lang w:val="nl-NL"/>
        </w:rPr>
      </w:pPr>
      <w:r w:rsidRPr="006234AA">
        <w:rPr>
          <w:lang w:val="nl-NL"/>
        </w:rPr>
        <w:t>5. Thành viên giao dịch chỉ được thực hiện lệnh của khách hàng khi lệnh giao dịch có đầy đủ và chính xác các thông tin về khách hàng, số tài khoản giao dịch, ngày giao dịch, mã chứng khoán, phương thức, loại lệnh, loại giao dịch, số lượng và giá giao dịch. Lệnh giao dịch của khách hàng phải được thành viên giao dịch ghi nhận số thứ tự và thời gian (ngày, giờ, phút) nhận lệnh tại thời điểm nhận lệnh. Trường hợp là giao dịch hạn chế chênh lệch giá, giao dịch phòng ngừa rủi ro, nhà đầu tư phải cung cấp tài liệu bằng chứng xác minh thông tin về danh mục để phòng ngừa rủi ro hoặc để chênh lệch giá (chi tiết mã chứng khoán, khối lượng, tỷ trọng, giá trị).</w:t>
      </w:r>
    </w:p>
    <w:p w:rsidR="005C088F" w:rsidRPr="006234AA" w:rsidRDefault="005C088F" w:rsidP="003C0546">
      <w:pPr>
        <w:spacing w:after="120"/>
        <w:rPr>
          <w:lang w:val="nl-NL"/>
        </w:rPr>
      </w:pPr>
      <w:r w:rsidRPr="006234AA">
        <w:rPr>
          <w:lang w:val="nl-NL"/>
        </w:rPr>
        <w:t xml:space="preserve">6. Thành viên giao dịch phải từ chối nhận lệnh của khách hàng trong các trường hợp sau: </w:t>
      </w:r>
    </w:p>
    <w:p w:rsidR="005C088F" w:rsidRPr="006234AA" w:rsidRDefault="005C088F" w:rsidP="003C0546">
      <w:pPr>
        <w:spacing w:after="120"/>
        <w:rPr>
          <w:lang w:val="nl-NL"/>
        </w:rPr>
      </w:pPr>
      <w:r w:rsidRPr="006234AA">
        <w:rPr>
          <w:lang w:val="nl-NL"/>
        </w:rPr>
        <w:t xml:space="preserve">a)  Khách hàng chưa mở tài khoản ký quỹ, hoặc chưa mở tài khoản giao dịch chứng khoán; </w:t>
      </w:r>
    </w:p>
    <w:p w:rsidR="005C088F" w:rsidRPr="006234AA" w:rsidRDefault="005C088F" w:rsidP="003C0546">
      <w:pPr>
        <w:spacing w:after="120"/>
        <w:rPr>
          <w:lang w:val="nl-NL"/>
        </w:rPr>
      </w:pPr>
      <w:r w:rsidRPr="006234AA">
        <w:rPr>
          <w:lang w:val="nl-NL"/>
        </w:rPr>
        <w:t xml:space="preserve">b) Khách hàng chưa nộp đầy đủ ký quỹ ban đầu; hoặc </w:t>
      </w:r>
      <w:r w:rsidR="00BD430A" w:rsidRPr="006234AA">
        <w:rPr>
          <w:lang w:val="nl-NL"/>
        </w:rPr>
        <w:t xml:space="preserve">chưa bổ sung ký quỹ đối với </w:t>
      </w:r>
      <w:r w:rsidRPr="006234AA">
        <w:rPr>
          <w:lang w:val="nl-NL"/>
        </w:rPr>
        <w:t xml:space="preserve">vị thế mở, trừ trường hợp là lệnh để thực hiện các giao dịch bù trừ nhằm </w:t>
      </w:r>
      <w:r w:rsidR="00BD430A" w:rsidRPr="006234AA">
        <w:rPr>
          <w:lang w:val="nl-NL"/>
        </w:rPr>
        <w:t xml:space="preserve">giảm </w:t>
      </w:r>
      <w:r w:rsidRPr="006234AA">
        <w:rPr>
          <w:lang w:val="nl-NL"/>
        </w:rPr>
        <w:t>bớt vị thế mở;</w:t>
      </w:r>
    </w:p>
    <w:p w:rsidR="00C9272F" w:rsidRPr="006234AA" w:rsidRDefault="005C088F" w:rsidP="003C0546">
      <w:pPr>
        <w:spacing w:after="120"/>
        <w:rPr>
          <w:lang w:val="nl-NL"/>
        </w:rPr>
      </w:pPr>
      <w:r w:rsidRPr="006234AA">
        <w:rPr>
          <w:lang w:val="nl-NL"/>
        </w:rPr>
        <w:lastRenderedPageBreak/>
        <w:t xml:space="preserve">c) Lệnh mà cùng với các lệnh đã nhập vào hệ thống của </w:t>
      </w:r>
      <w:r w:rsidR="00C9272F" w:rsidRPr="006234AA">
        <w:rPr>
          <w:lang w:val="nl-NL"/>
        </w:rPr>
        <w:t>cùng tài khoản giao dịch</w:t>
      </w:r>
      <w:r w:rsidRPr="006234AA">
        <w:rPr>
          <w:lang w:val="nl-NL"/>
        </w:rPr>
        <w:t xml:space="preserve"> đó</w:t>
      </w:r>
      <w:r w:rsidR="00BD430A" w:rsidRPr="006234AA">
        <w:rPr>
          <w:lang w:val="nl-NL"/>
        </w:rPr>
        <w:t xml:space="preserve"> vượt quá giới hạn lệnh</w:t>
      </w:r>
      <w:r w:rsidR="00C9272F" w:rsidRPr="006234AA">
        <w:rPr>
          <w:lang w:val="nl-NL"/>
        </w:rPr>
        <w:t xml:space="preserve"> hoặc giới hạn lệnh</w:t>
      </w:r>
      <w:r w:rsidR="00BD430A" w:rsidRPr="006234AA">
        <w:rPr>
          <w:lang w:val="nl-NL"/>
        </w:rPr>
        <w:t xml:space="preserve"> tích lũy</w:t>
      </w:r>
      <w:r w:rsidRPr="006234AA">
        <w:rPr>
          <w:lang w:val="nl-NL"/>
        </w:rPr>
        <w:t xml:space="preserve">, hoặc lệnh </w:t>
      </w:r>
      <w:r w:rsidR="00BD430A" w:rsidRPr="006234AA">
        <w:rPr>
          <w:lang w:val="nl-NL"/>
        </w:rPr>
        <w:t xml:space="preserve">dẫn tới </w:t>
      </w:r>
      <w:r w:rsidRPr="006234AA">
        <w:rPr>
          <w:lang w:val="nl-NL"/>
        </w:rPr>
        <w:t xml:space="preserve">vị thế mở của khách hàng </w:t>
      </w:r>
      <w:r w:rsidR="00C9272F" w:rsidRPr="006234AA">
        <w:rPr>
          <w:lang w:val="nl-NL"/>
        </w:rPr>
        <w:t xml:space="preserve">trên tài khoản đó </w:t>
      </w:r>
      <w:r w:rsidRPr="006234AA">
        <w:rPr>
          <w:lang w:val="nl-NL"/>
        </w:rPr>
        <w:t xml:space="preserve">vượt quá giới hạn vị thế. </w:t>
      </w:r>
    </w:p>
    <w:p w:rsidR="00C9272F" w:rsidRPr="006234AA" w:rsidRDefault="00C9272F" w:rsidP="003C0546">
      <w:pPr>
        <w:spacing w:after="120"/>
        <w:rPr>
          <w:lang w:val="nl-NL"/>
        </w:rPr>
      </w:pPr>
      <w:r w:rsidRPr="006234AA">
        <w:rPr>
          <w:lang w:val="nl-NL"/>
        </w:rPr>
        <w:t>Sở giao dịch chứng khoán có quyền từ chối khớp l</w:t>
      </w:r>
      <w:r w:rsidR="005C088F" w:rsidRPr="006234AA">
        <w:rPr>
          <w:lang w:val="nl-NL"/>
        </w:rPr>
        <w:t xml:space="preserve">ệnh đã nhập vào hệ thống trong trường hợp </w:t>
      </w:r>
      <w:r w:rsidRPr="006234AA">
        <w:rPr>
          <w:lang w:val="nl-NL"/>
        </w:rPr>
        <w:t xml:space="preserve">nếu lệnh được thực hiện sẽ dẫn tới </w:t>
      </w:r>
      <w:r w:rsidR="005C088F" w:rsidRPr="006234AA">
        <w:rPr>
          <w:lang w:val="nl-NL"/>
        </w:rPr>
        <w:t xml:space="preserve">vị thế mở của khách hàng đó trên các tài khoản giao dịch mở tại các thành viên giao dịch khác nhau vượt quá giới hạn vị thế theo </w:t>
      </w:r>
      <w:r w:rsidRPr="006234AA">
        <w:rPr>
          <w:lang w:val="nl-NL"/>
        </w:rPr>
        <w:t>q</w:t>
      </w:r>
      <w:r w:rsidR="005C088F" w:rsidRPr="006234AA">
        <w:rPr>
          <w:lang w:val="nl-NL"/>
        </w:rPr>
        <w:t>uy chế của Sở giao dịch chứng khoán;</w:t>
      </w:r>
    </w:p>
    <w:p w:rsidR="005C088F" w:rsidRPr="006234AA" w:rsidRDefault="005C088F" w:rsidP="003C0546">
      <w:pPr>
        <w:spacing w:after="120"/>
        <w:rPr>
          <w:lang w:val="nl-NL"/>
        </w:rPr>
      </w:pPr>
      <w:r w:rsidRPr="006234AA">
        <w:rPr>
          <w:lang w:val="nl-NL"/>
        </w:rPr>
        <w:t>d) Lệnh có giá giao dịch vượt quá biên độ giá;</w:t>
      </w:r>
    </w:p>
    <w:p w:rsidR="005C088F" w:rsidRPr="006234AA" w:rsidRDefault="005C088F" w:rsidP="003C0546">
      <w:pPr>
        <w:spacing w:after="120"/>
        <w:rPr>
          <w:lang w:val="nl-NL"/>
        </w:rPr>
      </w:pPr>
      <w:r w:rsidRPr="006234AA">
        <w:rPr>
          <w:lang w:val="nl-NL"/>
        </w:rPr>
        <w:t xml:space="preserve">đ) Lệnh giao dịch hạn chế chênh lệch giá hoặc lệnh phòng ngừa rủi ro nhưng không đáp ứng quy định tại </w:t>
      </w:r>
      <w:r w:rsidRPr="006234AA">
        <w:rPr>
          <w:highlight w:val="yellow"/>
          <w:lang w:val="nl-NL"/>
        </w:rPr>
        <w:t>khoản  Điều  Thông tư này</w:t>
      </w:r>
      <w:r w:rsidRPr="006234AA">
        <w:rPr>
          <w:lang w:val="nl-NL"/>
        </w:rPr>
        <w:t>;</w:t>
      </w:r>
    </w:p>
    <w:p w:rsidR="005C088F" w:rsidRPr="006234AA" w:rsidRDefault="005C088F" w:rsidP="003C0546">
      <w:pPr>
        <w:spacing w:after="120"/>
        <w:rPr>
          <w:lang w:val="nl-NL"/>
        </w:rPr>
      </w:pPr>
      <w:r w:rsidRPr="006234AA">
        <w:rPr>
          <w:lang w:val="nl-NL"/>
        </w:rPr>
        <w:t xml:space="preserve">e) Các trường hợp khác theo </w:t>
      </w:r>
      <w:r w:rsidR="00401883" w:rsidRPr="006234AA">
        <w:rPr>
          <w:lang w:val="nl-NL"/>
        </w:rPr>
        <w:t>quy chế hoặc theo yêu cầu của Sở giao dịch chứng khoán</w:t>
      </w:r>
      <w:r w:rsidRPr="006234AA">
        <w:rPr>
          <w:lang w:val="nl-NL"/>
        </w:rPr>
        <w:t>, Trung tâm lưu ký chứng khoán khi xét thấy là cần thiết để bảo vệ lợi ích công chúng đầu tư.</w:t>
      </w:r>
    </w:p>
    <w:p w:rsidR="005C088F" w:rsidRPr="006234AA" w:rsidRDefault="005C088F" w:rsidP="003C0546">
      <w:pPr>
        <w:pStyle w:val="Heading4"/>
        <w:spacing w:after="120"/>
        <w:ind w:left="0" w:firstLine="720"/>
      </w:pPr>
      <w:bookmarkStart w:id="128" w:name="_Toc397003354"/>
      <w:bookmarkStart w:id="129" w:name="_Toc422671982"/>
      <w:r w:rsidRPr="006234AA">
        <w:t>Cung cấp thông tin giao dịch khách hàng</w:t>
      </w:r>
      <w:bookmarkEnd w:id="128"/>
      <w:bookmarkEnd w:id="129"/>
    </w:p>
    <w:p w:rsidR="005C088F" w:rsidRPr="006234AA" w:rsidRDefault="005C088F" w:rsidP="003C0546">
      <w:pPr>
        <w:spacing w:after="120"/>
        <w:rPr>
          <w:lang w:val="nl-NL"/>
        </w:rPr>
      </w:pPr>
      <w:r w:rsidRPr="006234AA">
        <w:rPr>
          <w:lang w:val="nl-NL"/>
        </w:rPr>
        <w:t xml:space="preserve">1. </w:t>
      </w:r>
      <w:r w:rsidR="000D5443" w:rsidRPr="006234AA">
        <w:rPr>
          <w:lang w:val="nl-NL"/>
        </w:rPr>
        <w:t>Trong vòng 24 giờ s</w:t>
      </w:r>
      <w:r w:rsidRPr="006234AA">
        <w:rPr>
          <w:lang w:val="nl-NL"/>
        </w:rPr>
        <w:t>au khi lệnh đã được thực hiện, thành viên giao dịch có trách nhiệm xác nhận kết quả giao dịch với khách hàng như sau:</w:t>
      </w:r>
    </w:p>
    <w:p w:rsidR="005C088F" w:rsidRPr="006234AA" w:rsidRDefault="005C088F" w:rsidP="003C0546">
      <w:pPr>
        <w:spacing w:after="120"/>
        <w:rPr>
          <w:lang w:val="nl-NL"/>
        </w:rPr>
      </w:pPr>
      <w:r w:rsidRPr="006234AA">
        <w:rPr>
          <w:lang w:val="nl-NL"/>
        </w:rPr>
        <w:t>a) Tên đầy đủ, tên viết tắt của thành viên giao dịch;</w:t>
      </w:r>
    </w:p>
    <w:p w:rsidR="005C088F" w:rsidRPr="006234AA" w:rsidRDefault="005C088F" w:rsidP="003C0546">
      <w:pPr>
        <w:spacing w:after="120"/>
        <w:rPr>
          <w:lang w:val="nl-NL"/>
        </w:rPr>
      </w:pPr>
      <w:r w:rsidRPr="006234AA">
        <w:rPr>
          <w:lang w:val="nl-NL"/>
        </w:rPr>
        <w:t>b) Họ tên, địa chỉ liên lạc của khách hàng, người hưởng lợi (nếu có); số tài khoản giao dịch;</w:t>
      </w:r>
    </w:p>
    <w:p w:rsidR="005C088F" w:rsidRPr="006234AA" w:rsidRDefault="005C088F" w:rsidP="003C0546">
      <w:pPr>
        <w:spacing w:after="120"/>
        <w:rPr>
          <w:lang w:val="nl-NL"/>
        </w:rPr>
      </w:pPr>
      <w:r w:rsidRPr="006234AA">
        <w:rPr>
          <w:lang w:val="nl-NL"/>
        </w:rPr>
        <w:t>c) Thời điểm nhận và thời điểm lệnh giao dịch được thực hiện (ngày/tháng/năm; giờ, phút); địa điểm nhận và thực hiện nhận lệnh giao dịch; nhân viên nhận lệnh giao dịch;</w:t>
      </w:r>
    </w:p>
    <w:p w:rsidR="005C088F" w:rsidRPr="006234AA" w:rsidRDefault="005C088F" w:rsidP="003C0546">
      <w:pPr>
        <w:spacing w:after="120"/>
        <w:rPr>
          <w:lang w:val="nl-NL"/>
        </w:rPr>
      </w:pPr>
      <w:r w:rsidRPr="006234AA">
        <w:rPr>
          <w:lang w:val="nl-NL"/>
        </w:rPr>
        <w:t>d) Thông tin về chứng khoán phái sinh, loại/mã chứng khoán phái sinh, mã tài sản cơ sở, giá giao dịch, giá thực hiện (đối với quyền chọn), chu kỳ đáo hạn; vị thế và khối lượng giao dịch (mua, bán);</w:t>
      </w:r>
    </w:p>
    <w:p w:rsidR="005C088F" w:rsidRPr="006234AA" w:rsidRDefault="005C088F" w:rsidP="003C0546">
      <w:pPr>
        <w:spacing w:after="120"/>
        <w:rPr>
          <w:lang w:val="nl-NL"/>
        </w:rPr>
      </w:pPr>
      <w:r w:rsidRPr="006234AA">
        <w:rPr>
          <w:lang w:val="nl-NL"/>
        </w:rPr>
        <w:t>đ) Loại giao dịch (giao dịch hạn chế chênh lệch giá, giao dịch phòng ngừa rủi ro, giao dịch bù trừ, giao dịch thông thường);</w:t>
      </w:r>
    </w:p>
    <w:p w:rsidR="005C088F" w:rsidRPr="006234AA" w:rsidRDefault="005C088F" w:rsidP="003C0546">
      <w:pPr>
        <w:spacing w:after="120"/>
        <w:rPr>
          <w:lang w:val="nl-NL"/>
        </w:rPr>
      </w:pPr>
      <w:r w:rsidRPr="006234AA">
        <w:rPr>
          <w:lang w:val="nl-NL"/>
        </w:rPr>
        <w:t>e) Phí giao dịch, các loại phí khác theo quy định của pháp luật và các thông tin khác nếu xét thấy là cần thiết;</w:t>
      </w:r>
    </w:p>
    <w:p w:rsidR="005C088F" w:rsidRPr="006234AA" w:rsidRDefault="005C088F" w:rsidP="003C0546">
      <w:pPr>
        <w:spacing w:after="120"/>
        <w:rPr>
          <w:lang w:val="nl-NL"/>
        </w:rPr>
      </w:pPr>
      <w:r w:rsidRPr="006234AA">
        <w:rPr>
          <w:lang w:val="nl-NL"/>
        </w:rPr>
        <w:t xml:space="preserve">f) </w:t>
      </w:r>
      <w:r w:rsidR="00E94515" w:rsidRPr="006234AA">
        <w:rPr>
          <w:lang w:val="nl-NL"/>
        </w:rPr>
        <w:t>L</w:t>
      </w:r>
      <w:r w:rsidRPr="006234AA">
        <w:rPr>
          <w:lang w:val="nl-NL"/>
        </w:rPr>
        <w:t xml:space="preserve">ãi lỗ vị thế do thành viên bù trừ </w:t>
      </w:r>
      <w:r w:rsidR="000D5443" w:rsidRPr="006234AA">
        <w:rPr>
          <w:lang w:val="nl-NL"/>
        </w:rPr>
        <w:t>xác định</w:t>
      </w:r>
      <w:r w:rsidRPr="006234AA">
        <w:rPr>
          <w:lang w:val="nl-NL"/>
        </w:rPr>
        <w:t xml:space="preserve">, </w:t>
      </w:r>
      <w:r w:rsidR="009576A0" w:rsidRPr="006234AA">
        <w:rPr>
          <w:lang w:val="nl-NL"/>
        </w:rPr>
        <w:t>giá trị</w:t>
      </w:r>
      <w:r w:rsidRPr="006234AA">
        <w:rPr>
          <w:lang w:val="nl-NL"/>
        </w:rPr>
        <w:t xml:space="preserve"> ký quỹ, yêu cầu ký quỹ bổ sung  và thời hạn bổ sung ký quỹ (nếu có). </w:t>
      </w:r>
    </w:p>
    <w:p w:rsidR="005C088F" w:rsidRPr="006234AA" w:rsidRDefault="005C088F" w:rsidP="003C0546">
      <w:pPr>
        <w:spacing w:after="120"/>
        <w:rPr>
          <w:lang w:val="nl-NL"/>
        </w:rPr>
      </w:pPr>
      <w:r w:rsidRPr="006234AA">
        <w:rPr>
          <w:lang w:val="nl-NL"/>
        </w:rPr>
        <w:t xml:space="preserve">2. Trong vòng 24 giờ, sau khi có yêu cầu của khách hàng và trong thời hạn </w:t>
      </w:r>
      <w:r w:rsidR="001F5BE5" w:rsidRPr="006234AA">
        <w:rPr>
          <w:lang w:val="nl-NL"/>
        </w:rPr>
        <w:t>ba</w:t>
      </w:r>
      <w:r w:rsidRPr="006234AA">
        <w:rPr>
          <w:lang w:val="nl-NL"/>
        </w:rPr>
        <w:t xml:space="preserve"> (0</w:t>
      </w:r>
      <w:r w:rsidR="001F5BE5" w:rsidRPr="006234AA">
        <w:rPr>
          <w:lang w:val="nl-NL"/>
        </w:rPr>
        <w:t>3</w:t>
      </w:r>
      <w:r w:rsidRPr="006234AA">
        <w:rPr>
          <w:lang w:val="nl-NL"/>
        </w:rPr>
        <w:t>) ngày</w:t>
      </w:r>
      <w:r w:rsidR="001F5BE5" w:rsidRPr="006234AA">
        <w:rPr>
          <w:lang w:val="nl-NL"/>
        </w:rPr>
        <w:t xml:space="preserve"> làm việc</w:t>
      </w:r>
      <w:r w:rsidRPr="006234AA">
        <w:rPr>
          <w:lang w:val="nl-NL"/>
        </w:rPr>
        <w:t xml:space="preserve"> sau khi kết thúc tháng, thành viên giao dịch phải gửi khách hàng sao kê tài khoản giao dịch, báo cáo về tình hình giao dịch trên tài khoản của khách hàng. Nội dung báo cáo phải bao gồm tối thiểu các thông tin sau: </w:t>
      </w:r>
    </w:p>
    <w:p w:rsidR="005C088F" w:rsidRPr="006234AA" w:rsidRDefault="005C088F" w:rsidP="003C0546">
      <w:pPr>
        <w:spacing w:after="120"/>
        <w:rPr>
          <w:lang w:val="nl-NL"/>
        </w:rPr>
      </w:pPr>
      <w:r w:rsidRPr="006234AA">
        <w:rPr>
          <w:lang w:val="nl-NL"/>
        </w:rPr>
        <w:t>a) Thông tin quy định tại điểm a, b khoản 1 Điều này;</w:t>
      </w:r>
    </w:p>
    <w:p w:rsidR="005C088F" w:rsidRPr="006234AA" w:rsidRDefault="005C088F" w:rsidP="003C0546">
      <w:pPr>
        <w:spacing w:after="120"/>
        <w:rPr>
          <w:lang w:val="nl-NL"/>
        </w:rPr>
      </w:pPr>
      <w:r w:rsidRPr="006234AA">
        <w:rPr>
          <w:lang w:val="nl-NL"/>
        </w:rPr>
        <w:lastRenderedPageBreak/>
        <w:t>b) Danh sách thời điểm giao dịch và thông tin về chứng khoán phái sinh đã giao dịch theo quy định tại điểm d khoản 1 Điều này;</w:t>
      </w:r>
    </w:p>
    <w:p w:rsidR="005C088F" w:rsidRPr="006234AA" w:rsidRDefault="005C088F" w:rsidP="003C0546">
      <w:pPr>
        <w:spacing w:after="120"/>
        <w:rPr>
          <w:lang w:val="nl-NL"/>
        </w:rPr>
      </w:pPr>
      <w:r w:rsidRPr="006234AA">
        <w:rPr>
          <w:lang w:val="nl-NL"/>
        </w:rPr>
        <w:t xml:space="preserve">c) Vị thế đầu kỳ, vị thế cuối kỳ; </w:t>
      </w:r>
      <w:r w:rsidR="00D5293A" w:rsidRPr="006234AA">
        <w:rPr>
          <w:lang w:val="nl-NL"/>
        </w:rPr>
        <w:t>thông tin</w:t>
      </w:r>
      <w:r w:rsidRPr="006234AA">
        <w:rPr>
          <w:lang w:val="nl-NL"/>
        </w:rPr>
        <w:t xml:space="preserve"> về </w:t>
      </w:r>
      <w:r w:rsidR="00D5293A" w:rsidRPr="006234AA">
        <w:rPr>
          <w:lang w:val="nl-NL"/>
        </w:rPr>
        <w:t>các</w:t>
      </w:r>
      <w:r w:rsidRPr="006234AA">
        <w:rPr>
          <w:lang w:val="nl-NL"/>
        </w:rPr>
        <w:t xml:space="preserve"> giao dịch </w:t>
      </w:r>
      <w:r w:rsidR="00D5293A" w:rsidRPr="006234AA">
        <w:rPr>
          <w:lang w:val="nl-NL"/>
        </w:rPr>
        <w:t>phát sinh</w:t>
      </w:r>
      <w:r w:rsidRPr="006234AA">
        <w:rPr>
          <w:lang w:val="nl-NL"/>
        </w:rPr>
        <w:t xml:space="preserve"> trong kỳ; lãi</w:t>
      </w:r>
      <w:r w:rsidR="00D5293A" w:rsidRPr="006234AA">
        <w:rPr>
          <w:lang w:val="nl-NL"/>
        </w:rPr>
        <w:t xml:space="preserve"> </w:t>
      </w:r>
      <w:r w:rsidRPr="006234AA">
        <w:rPr>
          <w:lang w:val="nl-NL"/>
        </w:rPr>
        <w:t xml:space="preserve">lỗ của vị thế đầu kỳ, </w:t>
      </w:r>
      <w:r w:rsidR="00D5293A" w:rsidRPr="006234AA">
        <w:rPr>
          <w:lang w:val="nl-NL"/>
        </w:rPr>
        <w:t xml:space="preserve">lãi lỗ </w:t>
      </w:r>
      <w:r w:rsidRPr="006234AA">
        <w:rPr>
          <w:lang w:val="nl-NL"/>
        </w:rPr>
        <w:t xml:space="preserve">vị thế cuối kỳ và </w:t>
      </w:r>
      <w:r w:rsidR="00D5293A" w:rsidRPr="006234AA">
        <w:rPr>
          <w:lang w:val="nl-NL"/>
        </w:rPr>
        <w:t xml:space="preserve">lãi lỗ </w:t>
      </w:r>
      <w:r w:rsidRPr="006234AA">
        <w:rPr>
          <w:lang w:val="nl-NL"/>
        </w:rPr>
        <w:t xml:space="preserve">sau </w:t>
      </w:r>
      <w:r w:rsidR="00D5293A" w:rsidRPr="006234AA">
        <w:rPr>
          <w:lang w:val="nl-NL"/>
        </w:rPr>
        <w:t xml:space="preserve">mỗi </w:t>
      </w:r>
      <w:r w:rsidRPr="006234AA">
        <w:rPr>
          <w:lang w:val="nl-NL"/>
        </w:rPr>
        <w:t xml:space="preserve">ngày </w:t>
      </w:r>
      <w:r w:rsidR="00D5293A" w:rsidRPr="006234AA">
        <w:rPr>
          <w:lang w:val="nl-NL"/>
        </w:rPr>
        <w:t xml:space="preserve">làm việc </w:t>
      </w:r>
      <w:r w:rsidRPr="006234AA">
        <w:rPr>
          <w:lang w:val="nl-NL"/>
        </w:rPr>
        <w:t>trong kỳ; thông tin về các giao dịch đối ứng nhằm đóng vị thế hoặc giao dịch thanh lý vị thế; lãi lỗ đã thực hiện từ các vị thế đã đóng/thanh lý;</w:t>
      </w:r>
    </w:p>
    <w:p w:rsidR="005C088F" w:rsidRPr="006234AA" w:rsidRDefault="005C088F" w:rsidP="003C0546">
      <w:pPr>
        <w:spacing w:after="120"/>
        <w:rPr>
          <w:lang w:val="nl-NL"/>
        </w:rPr>
      </w:pPr>
      <w:r w:rsidRPr="006234AA">
        <w:rPr>
          <w:lang w:val="nl-NL"/>
        </w:rPr>
        <w:t xml:space="preserve">d) </w:t>
      </w:r>
      <w:r w:rsidR="00D5293A" w:rsidRPr="006234AA">
        <w:rPr>
          <w:lang w:val="nl-NL"/>
        </w:rPr>
        <w:t>D</w:t>
      </w:r>
      <w:r w:rsidRPr="006234AA">
        <w:rPr>
          <w:lang w:val="nl-NL"/>
        </w:rPr>
        <w:t xml:space="preserve">anh mục tài sản ký quỹ </w:t>
      </w:r>
      <w:r w:rsidR="00D5293A" w:rsidRPr="006234AA">
        <w:rPr>
          <w:lang w:val="nl-NL"/>
        </w:rPr>
        <w:t xml:space="preserve">đầu kỳ và cuối kỳ, bao gồm </w:t>
      </w:r>
      <w:r w:rsidRPr="006234AA">
        <w:rPr>
          <w:lang w:val="nl-NL"/>
        </w:rPr>
        <w:t xml:space="preserve">số dư tiền, </w:t>
      </w:r>
      <w:r w:rsidR="00D5293A" w:rsidRPr="006234AA">
        <w:rPr>
          <w:lang w:val="nl-NL"/>
        </w:rPr>
        <w:t xml:space="preserve">danh mục chứng khoán, </w:t>
      </w:r>
      <w:r w:rsidRPr="006234AA">
        <w:rPr>
          <w:lang w:val="nl-NL"/>
        </w:rPr>
        <w:t xml:space="preserve">khối lượng, giá trị; </w:t>
      </w:r>
      <w:r w:rsidR="00D5293A" w:rsidRPr="006234AA">
        <w:rPr>
          <w:lang w:val="nl-NL"/>
        </w:rPr>
        <w:t>các</w:t>
      </w:r>
      <w:r w:rsidRPr="006234AA">
        <w:rPr>
          <w:lang w:val="nl-NL"/>
        </w:rPr>
        <w:t xml:space="preserve"> khoản ký quỹ bổ sung</w:t>
      </w:r>
      <w:r w:rsidR="00D5293A" w:rsidRPr="006234AA">
        <w:rPr>
          <w:lang w:val="nl-NL"/>
        </w:rPr>
        <w:t xml:space="preserve"> hoặc </w:t>
      </w:r>
      <w:r w:rsidRPr="006234AA">
        <w:rPr>
          <w:lang w:val="nl-NL"/>
        </w:rPr>
        <w:t>ký quỹ</w:t>
      </w:r>
      <w:r w:rsidR="00D5293A" w:rsidRPr="006234AA">
        <w:rPr>
          <w:lang w:val="nl-NL"/>
        </w:rPr>
        <w:t xml:space="preserve"> đã hoàn trả,</w:t>
      </w:r>
      <w:r w:rsidRPr="006234AA">
        <w:rPr>
          <w:lang w:val="nl-NL"/>
        </w:rPr>
        <w:t xml:space="preserve"> thời điểm </w:t>
      </w:r>
      <w:r w:rsidR="00D5293A" w:rsidRPr="006234AA">
        <w:rPr>
          <w:lang w:val="nl-NL"/>
        </w:rPr>
        <w:t>bổ sung ký quỹ hoặc hoàn trả ký quỹ</w:t>
      </w:r>
      <w:r w:rsidRPr="006234AA">
        <w:rPr>
          <w:lang w:val="nl-NL"/>
        </w:rPr>
        <w:t xml:space="preserve">; </w:t>
      </w:r>
    </w:p>
    <w:p w:rsidR="005C088F" w:rsidRPr="006234AA" w:rsidRDefault="005C088F" w:rsidP="003C0546">
      <w:pPr>
        <w:spacing w:after="120"/>
        <w:rPr>
          <w:lang w:val="nl-NL"/>
        </w:rPr>
      </w:pPr>
      <w:r w:rsidRPr="006234AA">
        <w:rPr>
          <w:lang w:val="nl-NL"/>
        </w:rPr>
        <w:t xml:space="preserve">đ) Các thông tin khác </w:t>
      </w:r>
      <w:r w:rsidR="00D5293A" w:rsidRPr="006234AA">
        <w:rPr>
          <w:lang w:val="nl-NL"/>
        </w:rPr>
        <w:t>có liên quan</w:t>
      </w:r>
      <w:r w:rsidRPr="006234AA">
        <w:rPr>
          <w:lang w:val="nl-NL"/>
        </w:rPr>
        <w:t>.</w:t>
      </w:r>
    </w:p>
    <w:p w:rsidR="00627372" w:rsidRPr="006234AA" w:rsidRDefault="005C088F" w:rsidP="003C0546">
      <w:pPr>
        <w:spacing w:after="120"/>
        <w:rPr>
          <w:lang w:val="nl-NL"/>
        </w:rPr>
      </w:pPr>
      <w:r w:rsidRPr="006234AA">
        <w:rPr>
          <w:lang w:val="nl-NL"/>
        </w:rPr>
        <w:t>3. Thành viên giao dịch phải lưu trữ các báo cáo tài khoản theo quy định tại khoản 1, 2 Điều này trong thời hạn 10 (năm). Việc lưu trữ các báo cáo này có thể thực hiện dưới các hình thức dữ liệu điện tử.</w:t>
      </w:r>
    </w:p>
    <w:p w:rsidR="005B10F8" w:rsidRPr="006234AA" w:rsidRDefault="005B10F8" w:rsidP="003C0546">
      <w:pPr>
        <w:spacing w:after="120"/>
        <w:rPr>
          <w:lang w:val="nl-NL"/>
        </w:rPr>
      </w:pPr>
    </w:p>
    <w:p w:rsidR="00627372" w:rsidRPr="006234AA" w:rsidRDefault="00F80B4E" w:rsidP="003C0546">
      <w:pPr>
        <w:pStyle w:val="Heading2"/>
        <w:spacing w:after="120"/>
      </w:pPr>
      <w:bookmarkStart w:id="130" w:name="_Toc397003358"/>
      <w:bookmarkStart w:id="131" w:name="_Toc422671983"/>
      <w:r w:rsidRPr="006234AA">
        <w:t>Mục 3</w:t>
      </w:r>
      <w:bookmarkEnd w:id="130"/>
      <w:bookmarkEnd w:id="131"/>
    </w:p>
    <w:p w:rsidR="00627372" w:rsidRPr="006234AA" w:rsidRDefault="00627372" w:rsidP="003C0546">
      <w:pPr>
        <w:pStyle w:val="Heading2"/>
        <w:spacing w:after="120"/>
        <w:rPr>
          <w:lang w:val="vi-VN"/>
        </w:rPr>
      </w:pPr>
      <w:bookmarkStart w:id="132" w:name="_Toc385311289"/>
      <w:bookmarkStart w:id="133" w:name="_Toc385602455"/>
      <w:bookmarkStart w:id="134" w:name="_Toc397003359"/>
      <w:bookmarkStart w:id="135" w:name="_Toc422671984"/>
      <w:r w:rsidRPr="006234AA">
        <w:rPr>
          <w:lang w:val="vi-VN"/>
        </w:rPr>
        <w:t>THÀNH VIÊN TẠO LẬP THỊ TRƯỜNG</w:t>
      </w:r>
      <w:bookmarkEnd w:id="123"/>
      <w:bookmarkEnd w:id="124"/>
      <w:bookmarkEnd w:id="125"/>
      <w:bookmarkEnd w:id="132"/>
      <w:bookmarkEnd w:id="133"/>
      <w:bookmarkEnd w:id="134"/>
      <w:bookmarkEnd w:id="135"/>
    </w:p>
    <w:p w:rsidR="00627372" w:rsidRPr="006234AA" w:rsidRDefault="00627372" w:rsidP="003C0546">
      <w:pPr>
        <w:spacing w:after="120"/>
        <w:rPr>
          <w:lang w:val="vi-VN"/>
        </w:rPr>
      </w:pPr>
    </w:p>
    <w:p w:rsidR="00627372" w:rsidRPr="006234AA" w:rsidRDefault="00627372" w:rsidP="003C0546">
      <w:pPr>
        <w:pStyle w:val="Heading4"/>
        <w:spacing w:after="120"/>
      </w:pPr>
      <w:bookmarkStart w:id="136" w:name="_Toc385311290"/>
      <w:bookmarkStart w:id="137" w:name="_Toc385602456"/>
      <w:bookmarkStart w:id="138" w:name="_Toc397003360"/>
      <w:bookmarkStart w:id="139" w:name="_Toc422671985"/>
      <w:r w:rsidRPr="006234AA">
        <w:t xml:space="preserve">Hồ sơ đăng ký </w:t>
      </w:r>
      <w:r w:rsidR="00002D5D" w:rsidRPr="006234AA">
        <w:t>hoạt động</w:t>
      </w:r>
      <w:r w:rsidRPr="006234AA">
        <w:t xml:space="preserve"> tạo lập thị trường</w:t>
      </w:r>
      <w:bookmarkEnd w:id="136"/>
      <w:bookmarkEnd w:id="137"/>
      <w:bookmarkEnd w:id="138"/>
      <w:bookmarkEnd w:id="139"/>
    </w:p>
    <w:p w:rsidR="00CB73FD" w:rsidRPr="006234AA" w:rsidRDefault="00CB73FD" w:rsidP="003C0546">
      <w:pPr>
        <w:spacing w:after="120"/>
        <w:rPr>
          <w:lang w:val="nl-NL"/>
        </w:rPr>
      </w:pPr>
      <w:r w:rsidRPr="006234AA">
        <w:rPr>
          <w:lang w:val="nl-NL"/>
        </w:rPr>
        <w:t>1. Thành viên giao dịch đăng ký làm thành viên tạo lập thị trường tại Sở giao dịch chứng khoán phải đáp ứng đầy đủ các điều kiện sau:</w:t>
      </w:r>
    </w:p>
    <w:p w:rsidR="005E76BC" w:rsidRPr="006234AA" w:rsidRDefault="00CB73FD" w:rsidP="003C0546">
      <w:pPr>
        <w:spacing w:after="120"/>
        <w:rPr>
          <w:lang w:val="nl-NL"/>
        </w:rPr>
      </w:pPr>
      <w:r w:rsidRPr="006234AA">
        <w:rPr>
          <w:lang w:val="nl-NL"/>
        </w:rPr>
        <w:t xml:space="preserve">a) Là thành viên giao dịch </w:t>
      </w:r>
      <w:r w:rsidR="005E76BC" w:rsidRPr="006234AA">
        <w:rPr>
          <w:lang w:val="nl-NL"/>
        </w:rPr>
        <w:t>hoặc thành viên giao dịch đặc biệt của Sở giao dịch chứng khoán;</w:t>
      </w:r>
      <w:r w:rsidRPr="006234AA">
        <w:rPr>
          <w:lang w:val="nl-NL"/>
        </w:rPr>
        <w:t xml:space="preserve"> </w:t>
      </w:r>
    </w:p>
    <w:p w:rsidR="00CB73FD" w:rsidRPr="006234AA" w:rsidRDefault="005E76BC" w:rsidP="003C0546">
      <w:pPr>
        <w:spacing w:after="120"/>
        <w:rPr>
          <w:lang w:val="nl-NL"/>
        </w:rPr>
      </w:pPr>
      <w:r w:rsidRPr="006234AA">
        <w:rPr>
          <w:lang w:val="nl-NL"/>
        </w:rPr>
        <w:t>b) Là t</w:t>
      </w:r>
      <w:r w:rsidR="00CB73FD" w:rsidRPr="006234AA">
        <w:rPr>
          <w:lang w:val="nl-NL"/>
        </w:rPr>
        <w:t xml:space="preserve">hành viên bù trừ của </w:t>
      </w:r>
      <w:r w:rsidR="008573AD" w:rsidRPr="006234AA">
        <w:rPr>
          <w:lang w:val="nl-NL"/>
        </w:rPr>
        <w:t>Trung tâm lưu ký chứng khoán</w:t>
      </w:r>
      <w:r w:rsidRPr="006234AA">
        <w:rPr>
          <w:lang w:val="nl-NL"/>
        </w:rPr>
        <w:t>;</w:t>
      </w:r>
      <w:r w:rsidR="00CB73FD" w:rsidRPr="006234AA">
        <w:rPr>
          <w:lang w:val="nl-NL"/>
        </w:rPr>
        <w:t xml:space="preserve"> </w:t>
      </w:r>
    </w:p>
    <w:p w:rsidR="00CB73FD" w:rsidRPr="006234AA" w:rsidRDefault="005E76BC" w:rsidP="003C0546">
      <w:pPr>
        <w:spacing w:after="120"/>
        <w:rPr>
          <w:lang w:val="nl-NL"/>
        </w:rPr>
      </w:pPr>
      <w:r w:rsidRPr="006234AA">
        <w:rPr>
          <w:lang w:val="nl-NL"/>
        </w:rPr>
        <w:t>c</w:t>
      </w:r>
      <w:r w:rsidR="00CB73FD" w:rsidRPr="006234AA">
        <w:rPr>
          <w:lang w:val="nl-NL"/>
        </w:rPr>
        <w:t xml:space="preserve">) Đáp ứng </w:t>
      </w:r>
      <w:r w:rsidRPr="006234AA">
        <w:rPr>
          <w:lang w:val="nl-NL"/>
        </w:rPr>
        <w:t xml:space="preserve">các điều kiện duy trì tư cách thành viên của Sở giao dịch chứng khoán và Trung tâm Lưu ký chứng khoán à </w:t>
      </w:r>
      <w:r w:rsidR="00CB73FD" w:rsidRPr="006234AA">
        <w:rPr>
          <w:lang w:val="nl-NL"/>
        </w:rPr>
        <w:t xml:space="preserve">các điều kiện khác </w:t>
      </w:r>
      <w:r w:rsidRPr="006234AA">
        <w:rPr>
          <w:lang w:val="nl-NL"/>
        </w:rPr>
        <w:t>theo</w:t>
      </w:r>
      <w:r w:rsidR="00CB73FD" w:rsidRPr="006234AA">
        <w:rPr>
          <w:lang w:val="nl-NL"/>
        </w:rPr>
        <w:t xml:space="preserve"> </w:t>
      </w:r>
      <w:r w:rsidR="00163FD1" w:rsidRPr="006234AA">
        <w:rPr>
          <w:lang w:val="nl-NL"/>
        </w:rPr>
        <w:t>q</w:t>
      </w:r>
      <w:r w:rsidR="00CB73FD" w:rsidRPr="006234AA">
        <w:rPr>
          <w:lang w:val="nl-NL"/>
        </w:rPr>
        <w:t>uy chế do Sở giao dịch chứng khoán ban hành.</w:t>
      </w:r>
    </w:p>
    <w:p w:rsidR="00CB73FD" w:rsidRPr="006234AA" w:rsidRDefault="00CB73FD" w:rsidP="003C0546">
      <w:pPr>
        <w:spacing w:after="120"/>
        <w:rPr>
          <w:lang w:val="nl-NL"/>
        </w:rPr>
      </w:pPr>
      <w:r w:rsidRPr="006234AA">
        <w:rPr>
          <w:lang w:val="nl-NL"/>
        </w:rPr>
        <w:t>2. Hồ sơ đăng ký thành viên tạo lập thị trường với Sở giao dịch chứng khoán bao gồm các tài liệu sau:</w:t>
      </w:r>
    </w:p>
    <w:p w:rsidR="00CB73FD" w:rsidRPr="006234AA" w:rsidRDefault="00CB73FD" w:rsidP="003C0546">
      <w:pPr>
        <w:spacing w:after="120"/>
        <w:rPr>
          <w:lang w:val="nl-NL"/>
        </w:rPr>
      </w:pPr>
      <w:r w:rsidRPr="006234AA">
        <w:rPr>
          <w:lang w:val="nl-NL"/>
        </w:rPr>
        <w:t xml:space="preserve">a) Giấy đề nghị đăng ký </w:t>
      </w:r>
      <w:r w:rsidR="00002D5D" w:rsidRPr="006234AA">
        <w:rPr>
          <w:lang w:val="nl-NL"/>
        </w:rPr>
        <w:t>hoạt động</w:t>
      </w:r>
      <w:r w:rsidRPr="006234AA">
        <w:rPr>
          <w:lang w:val="nl-NL"/>
        </w:rPr>
        <w:t xml:space="preserve"> tạo lập thị trường theo quy định của Sở giao dịch chứng khoán;</w:t>
      </w:r>
    </w:p>
    <w:p w:rsidR="00CB73FD" w:rsidRPr="006234AA" w:rsidRDefault="00CB73FD" w:rsidP="003C0546">
      <w:pPr>
        <w:spacing w:after="120"/>
        <w:rPr>
          <w:lang w:val="nl-NL"/>
        </w:rPr>
      </w:pPr>
      <w:r w:rsidRPr="006234AA">
        <w:rPr>
          <w:lang w:val="nl-NL"/>
        </w:rPr>
        <w:t>b) Biên bản</w:t>
      </w:r>
      <w:r w:rsidR="00687A44" w:rsidRPr="006234AA">
        <w:rPr>
          <w:lang w:val="nl-NL"/>
        </w:rPr>
        <w:t xml:space="preserve"> họp,</w:t>
      </w:r>
      <w:r w:rsidRPr="006234AA">
        <w:rPr>
          <w:lang w:val="nl-NL"/>
        </w:rPr>
        <w:t xml:space="preserve"> nghị quyết đại hội </w:t>
      </w:r>
      <w:r w:rsidR="00BB0578" w:rsidRPr="006234AA">
        <w:rPr>
          <w:lang w:val="nl-NL"/>
        </w:rPr>
        <w:t>đồng</w:t>
      </w:r>
      <w:r w:rsidRPr="006234AA">
        <w:rPr>
          <w:lang w:val="nl-NL"/>
        </w:rPr>
        <w:t xml:space="preserve"> cổ đông</w:t>
      </w:r>
      <w:r w:rsidR="00687A44" w:rsidRPr="006234AA">
        <w:rPr>
          <w:lang w:val="nl-NL"/>
        </w:rPr>
        <w:t xml:space="preserve"> và </w:t>
      </w:r>
      <w:r w:rsidRPr="006234AA">
        <w:rPr>
          <w:lang w:val="nl-NL"/>
        </w:rPr>
        <w:t>hội đồng quản trị</w:t>
      </w:r>
      <w:r w:rsidR="00687A44" w:rsidRPr="006234AA">
        <w:rPr>
          <w:lang w:val="nl-NL"/>
        </w:rPr>
        <w:t xml:space="preserve"> hoặc hội đồng thành viên, quyết định của chủ sở hữu</w:t>
      </w:r>
      <w:r w:rsidRPr="006234AA">
        <w:rPr>
          <w:lang w:val="nl-NL"/>
        </w:rPr>
        <w:t xml:space="preserve"> thông qua về việc đăng ký thành viên tạo lập thị trường và tham gia hoạt động tạo lập thị trường;</w:t>
      </w:r>
    </w:p>
    <w:p w:rsidR="00CB73FD" w:rsidRPr="006234AA" w:rsidRDefault="00CB73FD" w:rsidP="003C0546">
      <w:pPr>
        <w:spacing w:after="120"/>
        <w:rPr>
          <w:lang w:val="nl-NL"/>
        </w:rPr>
      </w:pPr>
      <w:r w:rsidRPr="006234AA">
        <w:rPr>
          <w:lang w:val="nl-NL"/>
        </w:rPr>
        <w:t>c) Bản thuyết minh cơ sở vật chất, trong đó nêu rõ hệ thống máy tính bảo đảm an toàn, bảo mật đ</w:t>
      </w:r>
      <w:r w:rsidR="005E76BC" w:rsidRPr="006234AA">
        <w:rPr>
          <w:lang w:val="nl-NL"/>
        </w:rPr>
        <w:t>áp ứng yêu cầu báo giá tự động và c</w:t>
      </w:r>
      <w:r w:rsidRPr="006234AA">
        <w:rPr>
          <w:lang w:val="nl-NL"/>
        </w:rPr>
        <w:t>ác tài liệu khác theo hướng dẫn của Sở giao dịch chứng khoán.</w:t>
      </w:r>
    </w:p>
    <w:p w:rsidR="00CB73FD" w:rsidRPr="006234AA" w:rsidRDefault="00CB73FD" w:rsidP="003C0546">
      <w:pPr>
        <w:spacing w:after="120"/>
        <w:rPr>
          <w:lang w:val="nl-NL"/>
        </w:rPr>
      </w:pPr>
      <w:r w:rsidRPr="006234AA">
        <w:rPr>
          <w:lang w:val="nl-NL"/>
        </w:rPr>
        <w:lastRenderedPageBreak/>
        <w:t>3. Trình tự, thủ tục đăng ký thành viên tạo lập thị trường thực hiện theo hướng dẫn của Sở giao dịch chứng khoán.</w:t>
      </w:r>
    </w:p>
    <w:p w:rsidR="00CB73FD" w:rsidRPr="006234AA" w:rsidRDefault="00CB73FD" w:rsidP="003C0546">
      <w:pPr>
        <w:spacing w:after="120"/>
        <w:rPr>
          <w:lang w:val="nl-NL"/>
        </w:rPr>
      </w:pPr>
      <w:r w:rsidRPr="006234AA">
        <w:rPr>
          <w:lang w:val="nl-NL"/>
        </w:rPr>
        <w:t xml:space="preserve">4. Thành viên tạo lập thị trường phải ký </w:t>
      </w:r>
      <w:r w:rsidR="00BB0578" w:rsidRPr="006234AA">
        <w:rPr>
          <w:lang w:val="nl-NL"/>
        </w:rPr>
        <w:t>hợp</w:t>
      </w:r>
      <w:r w:rsidRPr="006234AA">
        <w:rPr>
          <w:lang w:val="nl-NL"/>
        </w:rPr>
        <w:t xml:space="preserve"> đồng tạo lập thị trường với Sở giao dịch chứng khoán. Nội dung </w:t>
      </w:r>
      <w:r w:rsidR="009166F9" w:rsidRPr="006234AA">
        <w:rPr>
          <w:lang w:val="nl-NL"/>
        </w:rPr>
        <w:t>h</w:t>
      </w:r>
      <w:r w:rsidRPr="006234AA">
        <w:rPr>
          <w:lang w:val="nl-NL"/>
        </w:rPr>
        <w:t xml:space="preserve">ợp đồng </w:t>
      </w:r>
      <w:r w:rsidR="00687A44" w:rsidRPr="006234AA">
        <w:rPr>
          <w:lang w:val="nl-NL"/>
        </w:rPr>
        <w:t>thực hiện</w:t>
      </w:r>
      <w:r w:rsidRPr="006234AA">
        <w:rPr>
          <w:lang w:val="nl-NL"/>
        </w:rPr>
        <w:t xml:space="preserve"> theo mẫu</w:t>
      </w:r>
      <w:r w:rsidR="000E159B" w:rsidRPr="006234AA">
        <w:rPr>
          <w:lang w:val="nl-NL"/>
        </w:rPr>
        <w:t xml:space="preserve"> </w:t>
      </w:r>
      <w:r w:rsidRPr="006234AA">
        <w:rPr>
          <w:lang w:val="nl-NL"/>
        </w:rPr>
        <w:t xml:space="preserve">quy định tại </w:t>
      </w:r>
      <w:r w:rsidR="004162A5" w:rsidRPr="006234AA">
        <w:rPr>
          <w:lang w:val="nl-NL"/>
        </w:rPr>
        <w:t>P</w:t>
      </w:r>
      <w:r w:rsidR="009061F6" w:rsidRPr="006234AA">
        <w:rPr>
          <w:lang w:val="nl-NL"/>
        </w:rPr>
        <w:t xml:space="preserve">hụ lục số 15 </w:t>
      </w:r>
      <w:r w:rsidRPr="006234AA">
        <w:rPr>
          <w:lang w:val="nl-NL"/>
        </w:rPr>
        <w:t xml:space="preserve">ban hành kèm theo Thông tư này. </w:t>
      </w:r>
    </w:p>
    <w:p w:rsidR="00627372" w:rsidRPr="006234AA" w:rsidRDefault="00627372" w:rsidP="003C0546">
      <w:pPr>
        <w:pStyle w:val="Heading4"/>
        <w:spacing w:after="120"/>
      </w:pPr>
      <w:bookmarkStart w:id="140" w:name="_Toc385311291"/>
      <w:bookmarkStart w:id="141" w:name="_Toc385602457"/>
      <w:bookmarkStart w:id="142" w:name="_Toc397003361"/>
      <w:bookmarkStart w:id="143" w:name="_Toc422671986"/>
      <w:r w:rsidRPr="006234AA">
        <w:t>Nghĩa vụ của thành viên tạo lập thị trường</w:t>
      </w:r>
      <w:bookmarkEnd w:id="140"/>
      <w:bookmarkEnd w:id="141"/>
      <w:bookmarkEnd w:id="142"/>
      <w:bookmarkEnd w:id="143"/>
    </w:p>
    <w:p w:rsidR="00CB73FD" w:rsidRPr="006234AA" w:rsidRDefault="00692323" w:rsidP="003C0546">
      <w:pPr>
        <w:spacing w:after="120"/>
        <w:rPr>
          <w:lang w:val="nl-NL"/>
        </w:rPr>
      </w:pPr>
      <w:r w:rsidRPr="006234AA">
        <w:rPr>
          <w:lang w:val="nl-NL"/>
        </w:rPr>
        <w:t>1</w:t>
      </w:r>
      <w:r w:rsidR="00CB73FD" w:rsidRPr="006234AA">
        <w:rPr>
          <w:lang w:val="nl-NL"/>
        </w:rPr>
        <w:t>. Tuân thủ nguyên tắc trung thực và thiện chí khi tiến hành kinh doanh tạo lập thị trường.</w:t>
      </w:r>
    </w:p>
    <w:p w:rsidR="00984FCB" w:rsidRPr="006234AA" w:rsidRDefault="00692323" w:rsidP="003C0546">
      <w:pPr>
        <w:spacing w:after="120"/>
        <w:rPr>
          <w:lang w:val="nl-NL"/>
        </w:rPr>
      </w:pPr>
      <w:r w:rsidRPr="006234AA">
        <w:rPr>
          <w:lang w:val="nl-NL"/>
        </w:rPr>
        <w:t>2</w:t>
      </w:r>
      <w:r w:rsidR="00CB73FD" w:rsidRPr="006234AA">
        <w:rPr>
          <w:lang w:val="nl-NL"/>
        </w:rPr>
        <w:t xml:space="preserve">. Thành viên tạo lập thị trường phải mở một tài khoản </w:t>
      </w:r>
      <w:r w:rsidR="00984FCB" w:rsidRPr="006234AA">
        <w:rPr>
          <w:lang w:val="nl-NL"/>
        </w:rPr>
        <w:t xml:space="preserve">giao dịch </w:t>
      </w:r>
      <w:r w:rsidR="00CB73FD" w:rsidRPr="006234AA">
        <w:rPr>
          <w:lang w:val="nl-NL"/>
        </w:rPr>
        <w:t>dành riêng cho hoạt động tạo lập thị trường và không được sử dụng tài khoản này cho</w:t>
      </w:r>
      <w:r w:rsidR="00984FCB" w:rsidRPr="006234AA">
        <w:rPr>
          <w:lang w:val="nl-NL"/>
        </w:rPr>
        <w:t xml:space="preserve"> giao dịch tự doanh, môi giới hoặc</w:t>
      </w:r>
      <w:r w:rsidR="00CB73FD" w:rsidRPr="006234AA">
        <w:rPr>
          <w:lang w:val="nl-NL"/>
        </w:rPr>
        <w:t xml:space="preserve"> các giao dịch </w:t>
      </w:r>
      <w:r w:rsidR="00984FCB" w:rsidRPr="006234AA">
        <w:rPr>
          <w:lang w:val="nl-NL"/>
        </w:rPr>
        <w:t>khác</w:t>
      </w:r>
      <w:r w:rsidR="00CB73FD" w:rsidRPr="006234AA">
        <w:rPr>
          <w:lang w:val="nl-NL"/>
        </w:rPr>
        <w:t xml:space="preserve">. </w:t>
      </w:r>
      <w:r w:rsidR="00984FCB" w:rsidRPr="006234AA">
        <w:rPr>
          <w:lang w:val="nl-NL"/>
        </w:rPr>
        <w:t>Tài khoản này phải có mã nhận diện riêng do Sở giao dịch chứng khoán xác lập.</w:t>
      </w:r>
    </w:p>
    <w:p w:rsidR="00984FCB" w:rsidRPr="006234AA" w:rsidRDefault="00984FCB" w:rsidP="003C0546">
      <w:pPr>
        <w:spacing w:after="120"/>
        <w:rPr>
          <w:lang w:val="nl-NL"/>
        </w:rPr>
      </w:pPr>
      <w:r w:rsidRPr="006234AA">
        <w:rPr>
          <w:lang w:val="nl-NL"/>
        </w:rPr>
        <w:t xml:space="preserve">3. </w:t>
      </w:r>
      <w:r w:rsidR="00CB73FD" w:rsidRPr="006234AA">
        <w:rPr>
          <w:lang w:val="nl-NL"/>
        </w:rPr>
        <w:t xml:space="preserve">Thành viên tạo lập thị trường chỉ được đặt lệnh giới hạn </w:t>
      </w:r>
      <w:r w:rsidRPr="006234AA">
        <w:rPr>
          <w:lang w:val="nl-NL"/>
        </w:rPr>
        <w:t xml:space="preserve">trong các giao dịch </w:t>
      </w:r>
      <w:r w:rsidR="00CB73FD" w:rsidRPr="006234AA">
        <w:rPr>
          <w:lang w:val="nl-NL"/>
        </w:rPr>
        <w:t>tạo lập thị trường.</w:t>
      </w:r>
      <w:r w:rsidRPr="006234AA">
        <w:rPr>
          <w:lang w:val="nl-NL"/>
        </w:rPr>
        <w:t xml:space="preserve"> </w:t>
      </w:r>
    </w:p>
    <w:p w:rsidR="00CB73FD" w:rsidRPr="006234AA" w:rsidRDefault="00984FCB" w:rsidP="003C0546">
      <w:pPr>
        <w:spacing w:after="120"/>
        <w:rPr>
          <w:lang w:val="nl-NL"/>
        </w:rPr>
      </w:pPr>
      <w:r w:rsidRPr="006234AA">
        <w:rPr>
          <w:lang w:val="nl-NL"/>
        </w:rPr>
        <w:t xml:space="preserve">4. Loại chứng khoán cần tạo thanh khoản, thời hạn tạo lập thị trường, </w:t>
      </w:r>
      <w:r w:rsidR="00CB73FD" w:rsidRPr="006234AA">
        <w:rPr>
          <w:lang w:val="nl-NL"/>
        </w:rPr>
        <w:t xml:space="preserve">phương </w:t>
      </w:r>
      <w:r w:rsidRPr="006234AA">
        <w:rPr>
          <w:lang w:val="nl-NL"/>
        </w:rPr>
        <w:t xml:space="preserve">thức </w:t>
      </w:r>
      <w:r w:rsidR="00CB73FD" w:rsidRPr="006234AA">
        <w:rPr>
          <w:lang w:val="nl-NL"/>
        </w:rPr>
        <w:t>yết giá, chênh lệch giá</w:t>
      </w:r>
      <w:r w:rsidRPr="006234AA">
        <w:rPr>
          <w:lang w:val="nl-NL"/>
        </w:rPr>
        <w:t xml:space="preserve"> giữa giá yết mua và giá yết bán</w:t>
      </w:r>
      <w:r w:rsidR="00692323" w:rsidRPr="006234AA">
        <w:rPr>
          <w:lang w:val="nl-NL"/>
        </w:rPr>
        <w:t xml:space="preserve">, tỷ lệ </w:t>
      </w:r>
      <w:r w:rsidR="00A35906" w:rsidRPr="006234AA">
        <w:rPr>
          <w:lang w:val="nl-NL"/>
        </w:rPr>
        <w:t>báo giá</w:t>
      </w:r>
      <w:r w:rsidR="00692323" w:rsidRPr="006234AA">
        <w:rPr>
          <w:lang w:val="nl-NL"/>
        </w:rPr>
        <w:t xml:space="preserve">, thời gian </w:t>
      </w:r>
      <w:r w:rsidR="00A35906" w:rsidRPr="006234AA">
        <w:rPr>
          <w:lang w:val="nl-NL"/>
        </w:rPr>
        <w:t xml:space="preserve">thực hiện </w:t>
      </w:r>
      <w:r w:rsidR="00692323" w:rsidRPr="006234AA">
        <w:rPr>
          <w:lang w:val="nl-NL"/>
        </w:rPr>
        <w:t>yết giá</w:t>
      </w:r>
      <w:r w:rsidRPr="006234AA">
        <w:rPr>
          <w:lang w:val="nl-NL"/>
        </w:rPr>
        <w:t>, các trường hợp được phép tạm ngừng giao dịch thực hiện</w:t>
      </w:r>
      <w:r w:rsidR="00643F94" w:rsidRPr="006234AA">
        <w:rPr>
          <w:lang w:val="nl-NL"/>
        </w:rPr>
        <w:t xml:space="preserve"> </w:t>
      </w:r>
      <w:r w:rsidR="00CB73FD" w:rsidRPr="006234AA">
        <w:rPr>
          <w:lang w:val="nl-NL"/>
        </w:rPr>
        <w:t xml:space="preserve">theo </w:t>
      </w:r>
      <w:r w:rsidRPr="006234AA">
        <w:rPr>
          <w:lang w:val="nl-NL"/>
        </w:rPr>
        <w:t>q</w:t>
      </w:r>
      <w:r w:rsidR="00CB73FD" w:rsidRPr="006234AA">
        <w:rPr>
          <w:lang w:val="nl-NL"/>
        </w:rPr>
        <w:t>uy chế giao dịch do Sở giao dịch chứng khoán ban hành</w:t>
      </w:r>
      <w:r w:rsidRPr="006234AA">
        <w:rPr>
          <w:lang w:val="nl-NL"/>
        </w:rPr>
        <w:t xml:space="preserve"> và hợp đồng tạo lập thị trường</w:t>
      </w:r>
      <w:r w:rsidR="00CB73FD" w:rsidRPr="006234AA">
        <w:rPr>
          <w:lang w:val="nl-NL"/>
        </w:rPr>
        <w:t xml:space="preserve">. </w:t>
      </w:r>
    </w:p>
    <w:p w:rsidR="00692323" w:rsidRPr="006234AA" w:rsidRDefault="00692323" w:rsidP="003C0546">
      <w:pPr>
        <w:spacing w:after="120"/>
        <w:rPr>
          <w:lang w:val="nl-NL"/>
        </w:rPr>
      </w:pPr>
      <w:r w:rsidRPr="006234AA">
        <w:rPr>
          <w:lang w:val="nl-NL"/>
        </w:rPr>
        <w:t>5. Các nghĩa vụ khác theo quy định của Sở giao dịch chứng khoán.</w:t>
      </w:r>
    </w:p>
    <w:p w:rsidR="00627372" w:rsidRPr="006234AA" w:rsidRDefault="00627372" w:rsidP="003C0546">
      <w:pPr>
        <w:pStyle w:val="Heading4"/>
        <w:spacing w:after="120"/>
      </w:pPr>
      <w:bookmarkStart w:id="144" w:name="_Toc385311292"/>
      <w:bookmarkStart w:id="145" w:name="_Toc385602458"/>
      <w:bookmarkStart w:id="146" w:name="_Toc397003362"/>
      <w:bookmarkStart w:id="147" w:name="_Toc422671987"/>
      <w:r w:rsidRPr="006234AA">
        <w:t xml:space="preserve">Quyền của </w:t>
      </w:r>
      <w:bookmarkEnd w:id="144"/>
      <w:bookmarkEnd w:id="145"/>
      <w:r w:rsidRPr="006234AA">
        <w:t>thành viên tạo lập thị trường</w:t>
      </w:r>
      <w:bookmarkEnd w:id="146"/>
      <w:bookmarkEnd w:id="147"/>
    </w:p>
    <w:p w:rsidR="00CB73FD" w:rsidRPr="006234AA" w:rsidRDefault="00CB73FD" w:rsidP="003C0546">
      <w:pPr>
        <w:spacing w:after="120"/>
        <w:rPr>
          <w:lang w:val="nl-NL"/>
        </w:rPr>
      </w:pPr>
      <w:r w:rsidRPr="006234AA">
        <w:rPr>
          <w:lang w:val="nl-NL"/>
        </w:rPr>
        <w:t xml:space="preserve">1. Được </w:t>
      </w:r>
      <w:r w:rsidR="00A35906" w:rsidRPr="006234AA">
        <w:rPr>
          <w:lang w:val="nl-NL"/>
        </w:rPr>
        <w:t>hưởng các ưu đãi về</w:t>
      </w:r>
      <w:r w:rsidRPr="006234AA">
        <w:rPr>
          <w:lang w:val="nl-NL"/>
        </w:rPr>
        <w:t xml:space="preserve"> phí khi đáp ứng về tỷ lệ báo giá, thời gian </w:t>
      </w:r>
      <w:r w:rsidR="00A35906" w:rsidRPr="006234AA">
        <w:rPr>
          <w:lang w:val="nl-NL"/>
        </w:rPr>
        <w:t>thực hiện yết</w:t>
      </w:r>
      <w:r w:rsidRPr="006234AA">
        <w:rPr>
          <w:lang w:val="nl-NL"/>
        </w:rPr>
        <w:t xml:space="preserve"> giá, </w:t>
      </w:r>
      <w:r w:rsidR="001016A1" w:rsidRPr="006234AA">
        <w:rPr>
          <w:lang w:val="nl-NL"/>
        </w:rPr>
        <w:t>tỷ trọng thị trường tạo lập</w:t>
      </w:r>
      <w:r w:rsidRPr="006234AA">
        <w:rPr>
          <w:lang w:val="nl-NL"/>
        </w:rPr>
        <w:t xml:space="preserve"> theo </w:t>
      </w:r>
      <w:r w:rsidR="00A35906" w:rsidRPr="006234AA">
        <w:rPr>
          <w:lang w:val="nl-NL"/>
        </w:rPr>
        <w:t xml:space="preserve">thỏa thuận với </w:t>
      </w:r>
      <w:r w:rsidRPr="006234AA">
        <w:rPr>
          <w:lang w:val="nl-NL"/>
        </w:rPr>
        <w:t>Sở giao dịch chứng khoán</w:t>
      </w:r>
      <w:r w:rsidR="00A35906" w:rsidRPr="006234AA">
        <w:rPr>
          <w:lang w:val="nl-NL"/>
        </w:rPr>
        <w:t>, Trung tâm Lưu ký chứng khoán</w:t>
      </w:r>
      <w:r w:rsidRPr="006234AA">
        <w:rPr>
          <w:lang w:val="nl-NL"/>
        </w:rPr>
        <w:t>.</w:t>
      </w:r>
    </w:p>
    <w:p w:rsidR="00CB73FD" w:rsidRPr="006234AA" w:rsidRDefault="00692323" w:rsidP="003C0546">
      <w:pPr>
        <w:spacing w:after="120"/>
        <w:rPr>
          <w:lang w:val="nl-NL"/>
        </w:rPr>
      </w:pPr>
      <w:r w:rsidRPr="006234AA">
        <w:rPr>
          <w:lang w:val="nl-NL"/>
        </w:rPr>
        <w:t>2</w:t>
      </w:r>
      <w:r w:rsidR="00CB73FD" w:rsidRPr="006234AA">
        <w:rPr>
          <w:lang w:val="nl-NL"/>
        </w:rPr>
        <w:t xml:space="preserve">. </w:t>
      </w:r>
      <w:r w:rsidR="00F5451B" w:rsidRPr="006234AA">
        <w:rPr>
          <w:lang w:val="nl-NL"/>
        </w:rPr>
        <w:t xml:space="preserve">Được đồng thời thực hiện </w:t>
      </w:r>
      <w:r w:rsidR="00CB73FD" w:rsidRPr="006234AA">
        <w:rPr>
          <w:lang w:val="nl-NL"/>
        </w:rPr>
        <w:t xml:space="preserve">giao dịch </w:t>
      </w:r>
      <w:r w:rsidR="00F5451B" w:rsidRPr="006234AA">
        <w:rPr>
          <w:lang w:val="nl-NL"/>
        </w:rPr>
        <w:t>tạo lập thị trường và tự doanh nhưng phải bảo đảm nguyên tắc sau</w:t>
      </w:r>
      <w:r w:rsidR="00CB73FD" w:rsidRPr="006234AA">
        <w:rPr>
          <w:lang w:val="nl-NL"/>
        </w:rPr>
        <w:t>:</w:t>
      </w:r>
    </w:p>
    <w:p w:rsidR="00CB73FD" w:rsidRPr="006234AA" w:rsidRDefault="00CB73FD" w:rsidP="003C0546">
      <w:pPr>
        <w:spacing w:after="120"/>
        <w:rPr>
          <w:lang w:val="nl-NL"/>
        </w:rPr>
      </w:pPr>
      <w:r w:rsidRPr="006234AA">
        <w:rPr>
          <w:lang w:val="nl-NL"/>
        </w:rPr>
        <w:t>a) Lệnh giới hạn mua với mức giá mua cao hơn giá yết bán; hoặc lệnh giới hạn bán với mức giá bán thấp hơn giá yết mua; và</w:t>
      </w:r>
    </w:p>
    <w:p w:rsidR="00CB73FD" w:rsidRPr="006234AA" w:rsidRDefault="00CB73FD" w:rsidP="003C0546">
      <w:pPr>
        <w:spacing w:after="120"/>
        <w:rPr>
          <w:lang w:val="nl-NL"/>
        </w:rPr>
      </w:pPr>
      <w:r w:rsidRPr="006234AA">
        <w:rPr>
          <w:lang w:val="nl-NL"/>
        </w:rPr>
        <w:t>b) Lệnh giới hạn bán với giá cao hơn mức giá chào mua tốt nhất; hoặc lệnh giới hạn mua với mức giá mua thấp hơn mức giá chào bán tốt nhất.</w:t>
      </w:r>
    </w:p>
    <w:p w:rsidR="00692323" w:rsidRPr="006234AA" w:rsidRDefault="00692323" w:rsidP="003C0546">
      <w:pPr>
        <w:spacing w:after="120"/>
        <w:rPr>
          <w:lang w:val="nl-NL"/>
        </w:rPr>
      </w:pPr>
      <w:r w:rsidRPr="006234AA">
        <w:rPr>
          <w:lang w:val="nl-NL"/>
        </w:rPr>
        <w:t>3</w:t>
      </w:r>
      <w:r w:rsidR="0043367E" w:rsidRPr="006234AA">
        <w:rPr>
          <w:lang w:val="nl-NL"/>
        </w:rPr>
        <w:t xml:space="preserve">. </w:t>
      </w:r>
      <w:r w:rsidRPr="006234AA">
        <w:rPr>
          <w:lang w:val="nl-NL"/>
        </w:rPr>
        <w:t xml:space="preserve">Được Sở giao dịch chứng khoán tài trợ một phần kinh phí trích từ phí giao dịch thu theo quy định của pháp luật. Tổng </w:t>
      </w:r>
      <w:r w:rsidR="005522E3" w:rsidRPr="006234AA">
        <w:rPr>
          <w:lang w:val="nl-NL"/>
        </w:rPr>
        <w:t>mức tài trợ cho tất cả các</w:t>
      </w:r>
      <w:r w:rsidRPr="006234AA">
        <w:rPr>
          <w:lang w:val="nl-NL"/>
        </w:rPr>
        <w:t xml:space="preserve"> thành viên tạo lập thị trường đối với một chứng khoán phái sinh do Sở giao dịch chứng khoán quyết định, nhưng tối đa không quá </w:t>
      </w:r>
      <w:r w:rsidR="005522E3" w:rsidRPr="006234AA">
        <w:rPr>
          <w:lang w:val="nl-NL"/>
        </w:rPr>
        <w:t>3</w:t>
      </w:r>
      <w:r w:rsidRPr="006234AA">
        <w:rPr>
          <w:lang w:val="nl-NL"/>
        </w:rPr>
        <w:t>0% mức phí giao dịch thu được từ hoạt động giao dịch chứng khoán phái sinh đó.</w:t>
      </w:r>
    </w:p>
    <w:p w:rsidR="0043367E" w:rsidRPr="006234AA" w:rsidRDefault="00DA3DF3" w:rsidP="003C0546">
      <w:pPr>
        <w:spacing w:after="120"/>
        <w:rPr>
          <w:lang w:val="nl-NL"/>
        </w:rPr>
      </w:pPr>
      <w:r w:rsidRPr="006234AA">
        <w:rPr>
          <w:lang w:val="nl-NL"/>
        </w:rPr>
        <w:t>4</w:t>
      </w:r>
      <w:r w:rsidR="00692323" w:rsidRPr="006234AA">
        <w:rPr>
          <w:lang w:val="nl-NL"/>
        </w:rPr>
        <w:t xml:space="preserve">. </w:t>
      </w:r>
      <w:r w:rsidR="0043367E" w:rsidRPr="006234AA">
        <w:rPr>
          <w:lang w:val="nl-NL"/>
        </w:rPr>
        <w:t xml:space="preserve">Các quyền khác </w:t>
      </w:r>
      <w:r w:rsidR="00692323" w:rsidRPr="006234AA">
        <w:rPr>
          <w:lang w:val="nl-NL"/>
        </w:rPr>
        <w:t>theo quy định của</w:t>
      </w:r>
      <w:r w:rsidR="0043367E" w:rsidRPr="006234AA">
        <w:rPr>
          <w:lang w:val="nl-NL"/>
        </w:rPr>
        <w:t xml:space="preserve"> </w:t>
      </w:r>
      <w:r w:rsidR="00692323" w:rsidRPr="006234AA">
        <w:rPr>
          <w:lang w:val="nl-NL"/>
        </w:rPr>
        <w:t>Sở giao dịch</w:t>
      </w:r>
      <w:r w:rsidR="0043367E" w:rsidRPr="006234AA">
        <w:rPr>
          <w:lang w:val="nl-NL"/>
        </w:rPr>
        <w:t xml:space="preserve"> </w:t>
      </w:r>
      <w:r w:rsidR="00692323" w:rsidRPr="006234AA">
        <w:rPr>
          <w:lang w:val="nl-NL"/>
        </w:rPr>
        <w:t>chứng khoán</w:t>
      </w:r>
      <w:r w:rsidR="0043367E" w:rsidRPr="006234AA">
        <w:rPr>
          <w:lang w:val="nl-NL"/>
        </w:rPr>
        <w:t>.</w:t>
      </w:r>
    </w:p>
    <w:p w:rsidR="00627372" w:rsidRPr="006234AA" w:rsidRDefault="00304E4C" w:rsidP="003C0546">
      <w:pPr>
        <w:pStyle w:val="Heading4"/>
        <w:tabs>
          <w:tab w:val="left" w:pos="1440"/>
        </w:tabs>
        <w:spacing w:after="120"/>
        <w:ind w:left="0" w:firstLine="720"/>
      </w:pPr>
      <w:bookmarkStart w:id="148" w:name="_Toc385311293"/>
      <w:bookmarkStart w:id="149" w:name="_Toc385602459"/>
      <w:bookmarkStart w:id="150" w:name="_Toc397003363"/>
      <w:bookmarkStart w:id="151" w:name="_Toc422671988"/>
      <w:r w:rsidRPr="006234AA">
        <w:t>Quản lý hoạt động tạo lập thị trường</w:t>
      </w:r>
      <w:bookmarkEnd w:id="148"/>
      <w:bookmarkEnd w:id="149"/>
      <w:bookmarkEnd w:id="150"/>
      <w:bookmarkEnd w:id="151"/>
    </w:p>
    <w:p w:rsidR="00304E4C" w:rsidRPr="006234AA" w:rsidRDefault="00304E4C" w:rsidP="003C0546">
      <w:pPr>
        <w:spacing w:after="120"/>
        <w:rPr>
          <w:lang w:val="nl-NL"/>
        </w:rPr>
      </w:pPr>
      <w:r w:rsidRPr="006234AA">
        <w:rPr>
          <w:lang w:val="nl-NL"/>
        </w:rPr>
        <w:lastRenderedPageBreak/>
        <w:t xml:space="preserve">1. Sở giao dịch chứng khoán có trách nhiệm ban hành quy chế hướng dẫn hoạt động tạo lập thị trường. </w:t>
      </w:r>
    </w:p>
    <w:p w:rsidR="00CB73FD" w:rsidRPr="006234AA" w:rsidRDefault="00304E4C" w:rsidP="003C0546">
      <w:pPr>
        <w:spacing w:after="120"/>
        <w:rPr>
          <w:lang w:val="nl-NL"/>
        </w:rPr>
      </w:pPr>
      <w:r w:rsidRPr="006234AA">
        <w:rPr>
          <w:lang w:val="nl-NL"/>
        </w:rPr>
        <w:t>2</w:t>
      </w:r>
      <w:r w:rsidR="00CB73FD" w:rsidRPr="006234AA">
        <w:rPr>
          <w:lang w:val="nl-NL"/>
        </w:rPr>
        <w:t xml:space="preserve">. Sở giao dịch chứng khoán có quyền </w:t>
      </w:r>
      <w:r w:rsidR="005522E3" w:rsidRPr="006234AA">
        <w:rPr>
          <w:lang w:val="nl-NL"/>
        </w:rPr>
        <w:t xml:space="preserve">quyết định số lượng thành viên tạo lập thị trường, </w:t>
      </w:r>
      <w:r w:rsidR="00CB73FD" w:rsidRPr="006234AA">
        <w:rPr>
          <w:lang w:val="nl-NL"/>
        </w:rPr>
        <w:t xml:space="preserve">từ chối ký </w:t>
      </w:r>
      <w:r w:rsidR="005522E3" w:rsidRPr="006234AA">
        <w:rPr>
          <w:lang w:val="nl-NL"/>
        </w:rPr>
        <w:t xml:space="preserve">hợp đồng </w:t>
      </w:r>
      <w:r w:rsidR="00CB73FD" w:rsidRPr="006234AA">
        <w:rPr>
          <w:lang w:val="nl-NL"/>
        </w:rPr>
        <w:t xml:space="preserve">tạo lập thị trường, từ chối kéo dài </w:t>
      </w:r>
      <w:r w:rsidR="005522E3" w:rsidRPr="006234AA">
        <w:rPr>
          <w:lang w:val="nl-NL"/>
        </w:rPr>
        <w:t xml:space="preserve">hợp đồng </w:t>
      </w:r>
      <w:r w:rsidR="00CB73FD" w:rsidRPr="006234AA">
        <w:rPr>
          <w:lang w:val="nl-NL"/>
        </w:rPr>
        <w:t xml:space="preserve">tạo lập thị trường </w:t>
      </w:r>
      <w:r w:rsidR="005522E3" w:rsidRPr="006234AA">
        <w:rPr>
          <w:lang w:val="nl-NL"/>
        </w:rPr>
        <w:t xml:space="preserve">căn cứ vào </w:t>
      </w:r>
      <w:r w:rsidR="00CB73FD" w:rsidRPr="006234AA">
        <w:rPr>
          <w:lang w:val="nl-NL"/>
        </w:rPr>
        <w:t xml:space="preserve">các </w:t>
      </w:r>
      <w:r w:rsidR="005522E3" w:rsidRPr="006234AA">
        <w:rPr>
          <w:lang w:val="nl-NL"/>
        </w:rPr>
        <w:t>yếu tố</w:t>
      </w:r>
      <w:r w:rsidR="00CB73FD" w:rsidRPr="006234AA">
        <w:rPr>
          <w:lang w:val="nl-NL"/>
        </w:rPr>
        <w:t xml:space="preserve"> sau:</w:t>
      </w:r>
    </w:p>
    <w:p w:rsidR="00CB73FD" w:rsidRPr="006234AA" w:rsidRDefault="00CB73FD" w:rsidP="003C0546">
      <w:pPr>
        <w:spacing w:after="120"/>
        <w:rPr>
          <w:lang w:val="nl-NL"/>
        </w:rPr>
      </w:pPr>
      <w:r w:rsidRPr="006234AA">
        <w:rPr>
          <w:lang w:val="nl-NL"/>
        </w:rPr>
        <w:t xml:space="preserve">a) Căn cứ vào </w:t>
      </w:r>
      <w:r w:rsidR="005522E3" w:rsidRPr="006234AA">
        <w:rPr>
          <w:lang w:val="nl-NL"/>
        </w:rPr>
        <w:t xml:space="preserve">mức độ thanh khoản của từng </w:t>
      </w:r>
      <w:r w:rsidRPr="006234AA">
        <w:rPr>
          <w:lang w:val="nl-NL"/>
        </w:rPr>
        <w:t>loại chứng khoán phái sinh;</w:t>
      </w:r>
    </w:p>
    <w:p w:rsidR="00CB73FD" w:rsidRPr="006234AA" w:rsidRDefault="00CB73FD" w:rsidP="003C0546">
      <w:pPr>
        <w:spacing w:after="120"/>
        <w:rPr>
          <w:lang w:val="nl-NL"/>
        </w:rPr>
      </w:pPr>
      <w:r w:rsidRPr="006234AA">
        <w:rPr>
          <w:lang w:val="nl-NL"/>
        </w:rPr>
        <w:t xml:space="preserve">b) Căn cứ vào </w:t>
      </w:r>
      <w:r w:rsidR="005522E3" w:rsidRPr="006234AA">
        <w:rPr>
          <w:lang w:val="nl-NL"/>
        </w:rPr>
        <w:t>năng lực</w:t>
      </w:r>
      <w:r w:rsidRPr="006234AA">
        <w:rPr>
          <w:lang w:val="nl-NL"/>
        </w:rPr>
        <w:t xml:space="preserve"> tài chính của thành viên;</w:t>
      </w:r>
    </w:p>
    <w:p w:rsidR="00CB73FD" w:rsidRPr="006234AA" w:rsidRDefault="00CB73FD" w:rsidP="003C0546">
      <w:pPr>
        <w:spacing w:after="120"/>
        <w:rPr>
          <w:lang w:val="nl-NL"/>
        </w:rPr>
      </w:pPr>
      <w:r w:rsidRPr="006234AA">
        <w:rPr>
          <w:lang w:val="nl-NL"/>
        </w:rPr>
        <w:t>c) Căn cứ vào hiệu quả</w:t>
      </w:r>
      <w:r w:rsidR="005522E3" w:rsidRPr="006234AA">
        <w:rPr>
          <w:lang w:val="nl-NL"/>
        </w:rPr>
        <w:t xml:space="preserve"> hoạt động</w:t>
      </w:r>
      <w:r w:rsidRPr="006234AA">
        <w:rPr>
          <w:lang w:val="nl-NL"/>
        </w:rPr>
        <w:t>, chất lượng tạo lập thị trường và mức độ khách quan, trung thực, thiện chí trong hoạt động tạo lập thị trường.</w:t>
      </w:r>
    </w:p>
    <w:p w:rsidR="00CB73FD" w:rsidRPr="006234AA" w:rsidRDefault="00304E4C" w:rsidP="003C0546">
      <w:pPr>
        <w:spacing w:after="120"/>
        <w:rPr>
          <w:lang w:val="nl-NL"/>
        </w:rPr>
      </w:pPr>
      <w:r w:rsidRPr="006234AA">
        <w:rPr>
          <w:lang w:val="nl-NL"/>
        </w:rPr>
        <w:t>3</w:t>
      </w:r>
      <w:r w:rsidR="00CB73FD" w:rsidRPr="006234AA">
        <w:rPr>
          <w:lang w:val="nl-NL"/>
        </w:rPr>
        <w:t>. Sở giao dịch chứng khoán có quyền đình chỉ</w:t>
      </w:r>
      <w:r w:rsidR="005522E3" w:rsidRPr="006234AA">
        <w:rPr>
          <w:lang w:val="nl-NL"/>
        </w:rPr>
        <w:t xml:space="preserve"> hợp đồng</w:t>
      </w:r>
      <w:r w:rsidR="00CB73FD" w:rsidRPr="006234AA">
        <w:rPr>
          <w:lang w:val="nl-NL"/>
        </w:rPr>
        <w:t xml:space="preserve">, hoặc </w:t>
      </w:r>
      <w:r w:rsidR="005522E3" w:rsidRPr="006234AA">
        <w:rPr>
          <w:lang w:val="nl-NL"/>
        </w:rPr>
        <w:t xml:space="preserve">chấm dứt hợp đồng </w:t>
      </w:r>
      <w:r w:rsidR="00CB73FD" w:rsidRPr="006234AA">
        <w:rPr>
          <w:lang w:val="nl-NL"/>
        </w:rPr>
        <w:t>tạo lập thị trường trong trường hợp thành viên tạo lập thị trường trong các trường hợp sau:</w:t>
      </w:r>
    </w:p>
    <w:p w:rsidR="00CB73FD" w:rsidRPr="006234AA" w:rsidRDefault="00304E4C" w:rsidP="003C0546">
      <w:pPr>
        <w:spacing w:after="120"/>
        <w:rPr>
          <w:lang w:val="nl-NL"/>
        </w:rPr>
      </w:pPr>
      <w:r w:rsidRPr="006234AA">
        <w:rPr>
          <w:lang w:val="nl-NL"/>
        </w:rPr>
        <w:t>a</w:t>
      </w:r>
      <w:r w:rsidR="00CB73FD" w:rsidRPr="006234AA">
        <w:rPr>
          <w:lang w:val="nl-NL"/>
        </w:rPr>
        <w:t xml:space="preserve">) </w:t>
      </w:r>
      <w:r w:rsidRPr="006234AA">
        <w:rPr>
          <w:lang w:val="nl-NL"/>
        </w:rPr>
        <w:t>V</w:t>
      </w:r>
      <w:r w:rsidR="00CB73FD" w:rsidRPr="006234AA">
        <w:rPr>
          <w:lang w:val="nl-NL"/>
        </w:rPr>
        <w:t xml:space="preserve">i phạm </w:t>
      </w:r>
      <w:r w:rsidRPr="006234AA">
        <w:rPr>
          <w:lang w:val="nl-NL"/>
        </w:rPr>
        <w:t>điều khoản</w:t>
      </w:r>
      <w:r w:rsidR="00CB73FD" w:rsidRPr="006234AA">
        <w:rPr>
          <w:lang w:val="nl-NL"/>
        </w:rPr>
        <w:t xml:space="preserve"> về trách nhiệm yết giá, về quy mô tạo lập thị trường, thời gian yết giá và các </w:t>
      </w:r>
      <w:r w:rsidRPr="006234AA">
        <w:rPr>
          <w:lang w:val="nl-NL"/>
        </w:rPr>
        <w:t xml:space="preserve">điều khoản </w:t>
      </w:r>
      <w:r w:rsidR="00CB73FD" w:rsidRPr="006234AA">
        <w:rPr>
          <w:lang w:val="nl-NL"/>
        </w:rPr>
        <w:t xml:space="preserve">dẫn tới bị đình chỉ hoặc </w:t>
      </w:r>
      <w:r w:rsidRPr="006234AA">
        <w:rPr>
          <w:lang w:val="nl-NL"/>
        </w:rPr>
        <w:t>chấm dứt hợp đồng theo quy chế do Sở giao dịch chứng khoán ban hành</w:t>
      </w:r>
      <w:r w:rsidR="00CB73FD" w:rsidRPr="006234AA">
        <w:rPr>
          <w:lang w:val="nl-NL"/>
        </w:rPr>
        <w:t>;</w:t>
      </w:r>
    </w:p>
    <w:p w:rsidR="00304E4C" w:rsidRPr="006234AA" w:rsidRDefault="00304E4C" w:rsidP="003C0546">
      <w:pPr>
        <w:spacing w:after="120"/>
        <w:rPr>
          <w:lang w:val="nl-NL"/>
        </w:rPr>
      </w:pPr>
      <w:r w:rsidRPr="006234AA">
        <w:rPr>
          <w:lang w:val="nl-NL"/>
        </w:rPr>
        <w:t>b</w:t>
      </w:r>
      <w:r w:rsidR="00CB73FD" w:rsidRPr="006234AA">
        <w:rPr>
          <w:lang w:val="nl-NL"/>
        </w:rPr>
        <w:t xml:space="preserve">) </w:t>
      </w:r>
      <w:r w:rsidRPr="006234AA">
        <w:rPr>
          <w:lang w:val="nl-NL"/>
        </w:rPr>
        <w:t>B</w:t>
      </w:r>
      <w:r w:rsidR="00CB73FD" w:rsidRPr="006234AA">
        <w:rPr>
          <w:lang w:val="nl-NL"/>
        </w:rPr>
        <w:t xml:space="preserve">ị đình chỉ hoạt động, </w:t>
      </w:r>
      <w:r w:rsidRPr="006234AA">
        <w:rPr>
          <w:lang w:val="nl-NL"/>
        </w:rPr>
        <w:t>chấm dứt</w:t>
      </w:r>
      <w:r w:rsidR="00CB73FD" w:rsidRPr="006234AA">
        <w:rPr>
          <w:lang w:val="nl-NL"/>
        </w:rPr>
        <w:t xml:space="preserve"> hoạt động theo quy định tại Thông tư này, quy định của pháp luật chứng khoán về an toàn tài chính, quy định của pháp luật về xử lý vi phạm trong lĩnh vự chứng khoán và thị trường chứng khoán</w:t>
      </w:r>
      <w:r w:rsidRPr="006234AA">
        <w:rPr>
          <w:lang w:val="nl-NL"/>
        </w:rPr>
        <w:t>;</w:t>
      </w:r>
    </w:p>
    <w:p w:rsidR="00CB73FD" w:rsidRPr="006234AA" w:rsidRDefault="00304E4C" w:rsidP="003C0546">
      <w:pPr>
        <w:spacing w:after="120"/>
        <w:rPr>
          <w:lang w:val="nl-NL"/>
        </w:rPr>
      </w:pPr>
      <w:r w:rsidRPr="006234AA">
        <w:rPr>
          <w:lang w:val="nl-NL"/>
        </w:rPr>
        <w:t>c) Các trường hợp khác theo quy chế của Sở giao dịch chứng khoán và theo hợp đồng tạo lập thị trường.</w:t>
      </w:r>
      <w:r w:rsidR="00CB73FD" w:rsidRPr="006234AA">
        <w:rPr>
          <w:lang w:val="nl-NL"/>
        </w:rPr>
        <w:t xml:space="preserve"> </w:t>
      </w:r>
    </w:p>
    <w:p w:rsidR="00CB73FD" w:rsidRPr="006234AA" w:rsidRDefault="00304E4C" w:rsidP="003C0546">
      <w:pPr>
        <w:spacing w:after="120"/>
        <w:rPr>
          <w:lang w:val="nl-NL"/>
        </w:rPr>
      </w:pPr>
      <w:r w:rsidRPr="006234AA">
        <w:rPr>
          <w:lang w:val="nl-NL"/>
        </w:rPr>
        <w:t>4</w:t>
      </w:r>
      <w:r w:rsidR="00CB73FD" w:rsidRPr="006234AA">
        <w:rPr>
          <w:lang w:val="nl-NL"/>
        </w:rPr>
        <w:t xml:space="preserve">. </w:t>
      </w:r>
      <w:r w:rsidRPr="006234AA">
        <w:rPr>
          <w:lang w:val="nl-NL"/>
        </w:rPr>
        <w:t>Kể từ ngày đình chỉ, chấm dứt</w:t>
      </w:r>
      <w:r w:rsidR="00CB73FD" w:rsidRPr="006234AA">
        <w:rPr>
          <w:lang w:val="nl-NL"/>
        </w:rPr>
        <w:t xml:space="preserve"> Hợp đồng tạo lập thị trường</w:t>
      </w:r>
      <w:r w:rsidRPr="006234AA">
        <w:rPr>
          <w:lang w:val="nl-NL"/>
        </w:rPr>
        <w:t>,</w:t>
      </w:r>
      <w:r w:rsidR="00CB73FD" w:rsidRPr="006234AA">
        <w:rPr>
          <w:lang w:val="nl-NL"/>
        </w:rPr>
        <w:t xml:space="preserve"> </w:t>
      </w:r>
      <w:r w:rsidRPr="006234AA">
        <w:rPr>
          <w:lang w:val="nl-NL"/>
        </w:rPr>
        <w:t>t</w:t>
      </w:r>
      <w:r w:rsidR="00CB73FD" w:rsidRPr="006234AA">
        <w:rPr>
          <w:lang w:val="nl-NL"/>
        </w:rPr>
        <w:t>hành viên tạo lập thị trường có trách nhiệm thực hiện các giao dịch đóng các vị th</w:t>
      </w:r>
      <w:r w:rsidRPr="006234AA">
        <w:rPr>
          <w:lang w:val="nl-NL"/>
        </w:rPr>
        <w:t>ế</w:t>
      </w:r>
      <w:r w:rsidR="00CB73FD" w:rsidRPr="006234AA">
        <w:rPr>
          <w:lang w:val="nl-NL"/>
        </w:rPr>
        <w:t xml:space="preserve"> mở của hoạt động tạo lập thị trường.</w:t>
      </w:r>
    </w:p>
    <w:p w:rsidR="00304E4C" w:rsidRPr="006234AA" w:rsidRDefault="00304E4C" w:rsidP="003C0546">
      <w:pPr>
        <w:spacing w:after="120"/>
        <w:rPr>
          <w:lang w:val="nl-NL"/>
        </w:rPr>
      </w:pPr>
      <w:r w:rsidRPr="006234AA">
        <w:rPr>
          <w:lang w:val="nl-NL"/>
        </w:rPr>
        <w:t>5</w:t>
      </w:r>
      <w:r w:rsidR="00CB73FD" w:rsidRPr="006234AA">
        <w:rPr>
          <w:lang w:val="nl-NL"/>
        </w:rPr>
        <w:t>. Thành viên tạo lập thị trường được tự nguyện chấm dứt hoặc tạm dừng hoạt động tạo lập thị trường</w:t>
      </w:r>
      <w:r w:rsidRPr="006234AA">
        <w:rPr>
          <w:lang w:val="nl-NL"/>
        </w:rPr>
        <w:t xml:space="preserve"> theo hướng dẫn của Sở giao dịch chứng khoán.</w:t>
      </w:r>
    </w:p>
    <w:p w:rsidR="00CB73FD" w:rsidRPr="006234AA" w:rsidRDefault="00304E4C" w:rsidP="003C0546">
      <w:pPr>
        <w:spacing w:after="120"/>
        <w:rPr>
          <w:lang w:val="nl-NL"/>
        </w:rPr>
      </w:pPr>
      <w:r w:rsidRPr="006234AA">
        <w:rPr>
          <w:lang w:val="nl-NL"/>
        </w:rPr>
        <w:t>6</w:t>
      </w:r>
      <w:r w:rsidR="00CB73FD" w:rsidRPr="006234AA">
        <w:rPr>
          <w:lang w:val="nl-NL"/>
        </w:rPr>
        <w:t>. Định kỳ hàng quý, Sở giao dịch chứng khoán đánh giá hiệu quả và chất lượng hoạt động của thành viên tạo lập thị trường đối với từng loại chứng khoán phái sinh mà thành viên đó cung cấp dịch vụ tạo lập thị trường. Hiệu quả, chất lượng hoạt động tạo lập thị trường được đánh giá căn cứ vào việc thực hiện trách nhiệm yết giá (chênh lệch giá yết, thời gian yết giá, khối lượng yết), khối lượng giao dịch đã thực hiện qua tài khoản tạo lập thị trường và các tiêu chí khác theo quy định của Sở giao dịch chứng khoán.</w:t>
      </w:r>
    </w:p>
    <w:p w:rsidR="00627372" w:rsidRPr="006234AA" w:rsidRDefault="00627372" w:rsidP="003C0546">
      <w:pPr>
        <w:pStyle w:val="ListParagraph"/>
        <w:numPr>
          <w:ilvl w:val="0"/>
          <w:numId w:val="0"/>
        </w:numPr>
        <w:spacing w:after="120"/>
        <w:ind w:left="567"/>
      </w:pPr>
    </w:p>
    <w:p w:rsidR="00627372" w:rsidRPr="006234AA" w:rsidRDefault="001F14CF" w:rsidP="003C0546">
      <w:pPr>
        <w:pStyle w:val="Heading1"/>
        <w:spacing w:after="120"/>
      </w:pPr>
      <w:bookmarkStart w:id="152" w:name="_Toc397003365"/>
      <w:bookmarkStart w:id="153" w:name="_Toc422671989"/>
      <w:r w:rsidRPr="006234AA">
        <w:t>Chương</w:t>
      </w:r>
      <w:r w:rsidR="00627372" w:rsidRPr="006234AA">
        <w:t xml:space="preserve"> V</w:t>
      </w:r>
      <w:bookmarkEnd w:id="152"/>
      <w:bookmarkEnd w:id="153"/>
    </w:p>
    <w:p w:rsidR="00627372" w:rsidRPr="006234AA" w:rsidRDefault="00627372" w:rsidP="003C0546">
      <w:pPr>
        <w:pStyle w:val="Heading1"/>
        <w:spacing w:after="120"/>
      </w:pPr>
      <w:bookmarkStart w:id="154" w:name="_Toc397003366"/>
      <w:bookmarkStart w:id="155" w:name="_Toc422671990"/>
      <w:r w:rsidRPr="006234AA">
        <w:t>HOẠT ĐỘNG THANH TOÁN, BÙ TRỪ</w:t>
      </w:r>
      <w:bookmarkEnd w:id="154"/>
      <w:bookmarkEnd w:id="155"/>
    </w:p>
    <w:p w:rsidR="00627372" w:rsidRPr="006234AA" w:rsidRDefault="001F14CF" w:rsidP="003C0546">
      <w:pPr>
        <w:pStyle w:val="Heading2"/>
        <w:spacing w:after="120"/>
      </w:pPr>
      <w:bookmarkStart w:id="156" w:name="_Toc397003367"/>
      <w:bookmarkStart w:id="157" w:name="_Toc422671991"/>
      <w:bookmarkStart w:id="158" w:name="_Toc383932809"/>
      <w:r w:rsidRPr="006234AA">
        <w:t>Mục 1</w:t>
      </w:r>
      <w:bookmarkEnd w:id="156"/>
      <w:bookmarkEnd w:id="157"/>
    </w:p>
    <w:p w:rsidR="00627372" w:rsidRPr="006234AA" w:rsidRDefault="00627372" w:rsidP="003C0546">
      <w:pPr>
        <w:pStyle w:val="Heading2"/>
        <w:spacing w:after="120"/>
      </w:pPr>
      <w:bookmarkStart w:id="159" w:name="_Toc385602463"/>
      <w:bookmarkStart w:id="160" w:name="_Toc397003368"/>
      <w:bookmarkStart w:id="161" w:name="_Toc422671992"/>
      <w:r w:rsidRPr="006234AA">
        <w:lastRenderedPageBreak/>
        <w:t>THÀNH VIÊN BÙ TRỪ</w:t>
      </w:r>
      <w:bookmarkStart w:id="162" w:name="_Toc385602464"/>
      <w:bookmarkEnd w:id="159"/>
      <w:bookmarkEnd w:id="160"/>
      <w:bookmarkEnd w:id="161"/>
    </w:p>
    <w:p w:rsidR="00627372" w:rsidRPr="006234AA" w:rsidRDefault="00627372" w:rsidP="003C0546">
      <w:pPr>
        <w:pStyle w:val="Heading4"/>
        <w:spacing w:after="120"/>
      </w:pPr>
      <w:bookmarkStart w:id="163" w:name="_Toc397003369"/>
      <w:bookmarkStart w:id="164" w:name="_Toc422671993"/>
      <w:bookmarkEnd w:id="162"/>
      <w:r w:rsidRPr="006234AA">
        <w:t>Đăng ký thành viên bù trừ</w:t>
      </w:r>
      <w:bookmarkEnd w:id="163"/>
      <w:bookmarkEnd w:id="164"/>
    </w:p>
    <w:p w:rsidR="00CB73FD" w:rsidRPr="006234AA" w:rsidRDefault="00CB73FD" w:rsidP="003C0546">
      <w:pPr>
        <w:spacing w:after="120"/>
        <w:rPr>
          <w:lang w:val="nl-NL"/>
        </w:rPr>
      </w:pPr>
      <w:r w:rsidRPr="006234AA">
        <w:rPr>
          <w:lang w:val="nl-NL"/>
        </w:rPr>
        <w:t>1. Điều kiện đăng ký thành viên bù trừ bao gồm:</w:t>
      </w:r>
    </w:p>
    <w:p w:rsidR="000171CD" w:rsidRPr="006234AA" w:rsidRDefault="00CB73FD" w:rsidP="003C0546">
      <w:pPr>
        <w:tabs>
          <w:tab w:val="left" w:pos="1134"/>
        </w:tabs>
        <w:spacing w:after="120"/>
        <w:ind w:firstLine="709"/>
        <w:rPr>
          <w:lang w:val="nl-NL"/>
        </w:rPr>
      </w:pPr>
      <w:r w:rsidRPr="006234AA">
        <w:rPr>
          <w:lang w:val="nl-NL"/>
        </w:rPr>
        <w:t xml:space="preserve">a) </w:t>
      </w:r>
      <w:r w:rsidR="000171CD" w:rsidRPr="006234AA">
        <w:rPr>
          <w:lang w:val="nl-NL"/>
        </w:rPr>
        <w:t>Có Giấy chứng nhận đủ điều kiện cung cấp dịch vụ bù trừ, thanh toán giao dịch chứng khoán phái sinh do Ủy ban Chứng khoán Nhà nước cấp và đáp ứng quy định tại Điểm đ Khoản 1 Điều 26 Thông tư này</w:t>
      </w:r>
      <w:r w:rsidR="00946C8C" w:rsidRPr="006234AA">
        <w:rPr>
          <w:lang w:val="nl-NL"/>
        </w:rPr>
        <w:t>. Trường hợp công ty chứng khoán, thì phải đồng thời là thành viên giao dịch chứng khoán phái sinh của Sở giao dịch chứng khoán;</w:t>
      </w:r>
    </w:p>
    <w:p w:rsidR="00CB73FD" w:rsidRPr="006234AA" w:rsidRDefault="00946C8C" w:rsidP="003C0546">
      <w:pPr>
        <w:spacing w:after="120"/>
        <w:rPr>
          <w:lang w:val="nl-NL"/>
        </w:rPr>
      </w:pPr>
      <w:r w:rsidRPr="006234AA">
        <w:rPr>
          <w:lang w:val="nl-NL"/>
        </w:rPr>
        <w:t xml:space="preserve"> b</w:t>
      </w:r>
      <w:r w:rsidR="00CB73FD" w:rsidRPr="006234AA">
        <w:rPr>
          <w:lang w:val="nl-NL"/>
        </w:rPr>
        <w:t>) Có tối thiểu 01 thành viên ban điều hành được phân công phụ trách hoạt động thanh toán giao dịch chứng khoán phái sinh và 03 nhân viên nghiệp vụ bù trừ thanh toán;</w:t>
      </w:r>
    </w:p>
    <w:p w:rsidR="00946C8C" w:rsidRPr="006234AA" w:rsidRDefault="00946C8C" w:rsidP="003C0546">
      <w:pPr>
        <w:spacing w:after="120"/>
        <w:rPr>
          <w:lang w:val="nl-NL"/>
        </w:rPr>
      </w:pPr>
      <w:r w:rsidRPr="006234AA">
        <w:rPr>
          <w:lang w:val="nl-NL"/>
        </w:rPr>
        <w:t xml:space="preserve">  c</w:t>
      </w:r>
      <w:r w:rsidR="00CB73FD" w:rsidRPr="006234AA">
        <w:rPr>
          <w:lang w:val="nl-NL"/>
        </w:rPr>
        <w:t xml:space="preserve">) </w:t>
      </w:r>
      <w:r w:rsidRPr="006234AA">
        <w:rPr>
          <w:lang w:val="nl-NL"/>
        </w:rPr>
        <w:t xml:space="preserve"> Đáp ứng yêu cầu của Trung tâm Lưu ký chứng khoán Việt Nam về hạ tầng công nghệ thông tin, quy trình nghiệp vụ cho hoạt động bù trừ, thanh toán chứng khoán phái sinh.</w:t>
      </w:r>
    </w:p>
    <w:p w:rsidR="00CB73FD" w:rsidRPr="006234AA" w:rsidRDefault="00946C8C" w:rsidP="003C0546">
      <w:pPr>
        <w:spacing w:after="120"/>
        <w:rPr>
          <w:lang w:val="nl-NL"/>
        </w:rPr>
      </w:pPr>
      <w:r w:rsidRPr="006234AA">
        <w:rPr>
          <w:lang w:val="nl-NL"/>
        </w:rPr>
        <w:t>2</w:t>
      </w:r>
      <w:r w:rsidR="0026543A" w:rsidRPr="006234AA">
        <w:rPr>
          <w:lang w:val="nl-NL"/>
        </w:rPr>
        <w:t>.</w:t>
      </w:r>
      <w:r w:rsidR="00CB73FD" w:rsidRPr="006234AA">
        <w:rPr>
          <w:lang w:val="nl-NL"/>
        </w:rPr>
        <w:t xml:space="preserve"> Hồ sơ, trình tự thủ tục </w:t>
      </w:r>
      <w:r w:rsidRPr="006234AA">
        <w:rPr>
          <w:lang w:val="nl-NL"/>
        </w:rPr>
        <w:t xml:space="preserve">đăng ký </w:t>
      </w:r>
      <w:r w:rsidR="00CB73FD" w:rsidRPr="006234AA">
        <w:rPr>
          <w:lang w:val="nl-NL"/>
        </w:rPr>
        <w:t xml:space="preserve">thành viên bù trừ thực hiện theo hướng dẫn của Trung tâm </w:t>
      </w:r>
      <w:r w:rsidR="00422487" w:rsidRPr="006234AA">
        <w:rPr>
          <w:lang w:val="nl-NL"/>
        </w:rPr>
        <w:t>lưu ký chứng khoán</w:t>
      </w:r>
      <w:r w:rsidR="00CB73FD" w:rsidRPr="006234AA">
        <w:rPr>
          <w:lang w:val="nl-NL"/>
        </w:rPr>
        <w:t>.</w:t>
      </w:r>
      <w:r w:rsidR="0026543A" w:rsidRPr="006234AA">
        <w:rPr>
          <w:lang w:val="nl-NL"/>
        </w:rPr>
        <w:t xml:space="preserve"> </w:t>
      </w:r>
    </w:p>
    <w:p w:rsidR="005525F3" w:rsidRPr="006234AA" w:rsidRDefault="008D4DF4" w:rsidP="003C0546">
      <w:pPr>
        <w:pStyle w:val="Heading4"/>
        <w:tabs>
          <w:tab w:val="left" w:pos="1260"/>
        </w:tabs>
        <w:spacing w:after="120"/>
        <w:ind w:left="0" w:firstLine="720"/>
      </w:pPr>
      <w:bookmarkStart w:id="165" w:name="_Toc397003371"/>
      <w:bookmarkStart w:id="166" w:name="_Toc422671994"/>
      <w:bookmarkStart w:id="167" w:name="_Toc385602466"/>
      <w:r w:rsidRPr="006234AA">
        <w:t>Quyền của thành viên bù trừ</w:t>
      </w:r>
      <w:bookmarkEnd w:id="165"/>
      <w:bookmarkEnd w:id="166"/>
    </w:p>
    <w:p w:rsidR="00946C8C" w:rsidRPr="006234AA" w:rsidRDefault="00946C8C" w:rsidP="003C0546">
      <w:pPr>
        <w:tabs>
          <w:tab w:val="left" w:pos="0"/>
        </w:tabs>
        <w:spacing w:after="120"/>
        <w:rPr>
          <w:lang w:val="nl-NL"/>
        </w:rPr>
      </w:pPr>
      <w:r w:rsidRPr="006234AA">
        <w:rPr>
          <w:lang w:val="nl-NL"/>
        </w:rPr>
        <w:t>1. Thành viên bù trừ trực tiếp được thực hiện bù trừ, thanh toán giao dịch chứng khoán phái sinh của mình, giao dịch chứng khoán phái sinh của các khách hàng của mình. Thành viên bù trừ chung còn được cung cấp dịch vụ bù trừ, thanh toán giao dịch chứng khoán phái sinh của các nhà đầu tư khác, bao gồm giao dịch của thành viên không bù trừ và cả khách hàng của các thành viên đó</w:t>
      </w:r>
      <w:r w:rsidR="00095128" w:rsidRPr="006234AA">
        <w:rPr>
          <w:lang w:val="nl-NL"/>
        </w:rPr>
        <w:t>.</w:t>
      </w:r>
    </w:p>
    <w:p w:rsidR="00095128" w:rsidRPr="006234AA" w:rsidRDefault="00946C8C" w:rsidP="003C0546">
      <w:pPr>
        <w:tabs>
          <w:tab w:val="left" w:pos="0"/>
        </w:tabs>
        <w:spacing w:after="120"/>
        <w:rPr>
          <w:lang w:val="nl-NL"/>
        </w:rPr>
      </w:pPr>
      <w:r w:rsidRPr="006234AA">
        <w:rPr>
          <w:lang w:val="nl-NL"/>
        </w:rPr>
        <w:t xml:space="preserve">2. Thành viên bù trừ được yêu cầu </w:t>
      </w:r>
      <w:r w:rsidR="00095128" w:rsidRPr="006234AA">
        <w:rPr>
          <w:lang w:val="nl-NL"/>
        </w:rPr>
        <w:t>nhà đầu tư</w:t>
      </w:r>
      <w:r w:rsidRPr="006234AA">
        <w:rPr>
          <w:lang w:val="nl-NL"/>
        </w:rPr>
        <w:t xml:space="preserve"> đóng góp đầy đủ, kịp thời các khoản ký quỹ trước khi đặt lệnh và trong quá trình duy trì vị thế</w:t>
      </w:r>
      <w:r w:rsidR="004E2336" w:rsidRPr="006234AA">
        <w:rPr>
          <w:lang w:val="nl-NL"/>
        </w:rPr>
        <w:t>;</w:t>
      </w:r>
      <w:r w:rsidR="00095128" w:rsidRPr="006234AA">
        <w:rPr>
          <w:lang w:val="nl-NL"/>
        </w:rPr>
        <w:t xml:space="preserve"> </w:t>
      </w:r>
      <w:r w:rsidR="004E2336" w:rsidRPr="006234AA">
        <w:rPr>
          <w:lang w:val="nl-NL"/>
        </w:rPr>
        <w:t xml:space="preserve">được xác định phương thức và thời hạn ký quỹ, bổ sung ký quỹ, thay đổi chứng khoán ký quỹ, chuyển giao tài sản ký quỹ phù hợp với quy định tại Thông tư này. </w:t>
      </w:r>
      <w:r w:rsidR="00095128" w:rsidRPr="006234AA">
        <w:rPr>
          <w:lang w:val="nl-NL"/>
        </w:rPr>
        <w:t xml:space="preserve">Tùy thuộc vào năng lực tài chính, mức độ tín nhiệm, quy mô giao dịch của nhà đầu tư, thành viên bù trừ </w:t>
      </w:r>
      <w:r w:rsidR="00D67578" w:rsidRPr="006234AA">
        <w:rPr>
          <w:lang w:val="nl-NL"/>
        </w:rPr>
        <w:t xml:space="preserve">được </w:t>
      </w:r>
      <w:r w:rsidR="00095128" w:rsidRPr="006234AA">
        <w:rPr>
          <w:lang w:val="nl-NL"/>
        </w:rPr>
        <w:t>quyết định mức ký quỹ</w:t>
      </w:r>
      <w:r w:rsidR="00D67578" w:rsidRPr="006234AA">
        <w:rPr>
          <w:lang w:val="nl-NL"/>
        </w:rPr>
        <w:t xml:space="preserve"> ban đầu</w:t>
      </w:r>
      <w:r w:rsidR="00095128" w:rsidRPr="006234AA">
        <w:rPr>
          <w:lang w:val="nl-NL"/>
        </w:rPr>
        <w:t xml:space="preserve">, </w:t>
      </w:r>
      <w:r w:rsidR="00D67578" w:rsidRPr="006234AA">
        <w:rPr>
          <w:lang w:val="nl-NL"/>
        </w:rPr>
        <w:t xml:space="preserve">mức ký quỹ duy trì, </w:t>
      </w:r>
      <w:r w:rsidR="00095128" w:rsidRPr="006234AA">
        <w:rPr>
          <w:lang w:val="nl-NL"/>
        </w:rPr>
        <w:t>loại tài sản ký quỹ, tuy nhiên phải bảo đảm:</w:t>
      </w:r>
    </w:p>
    <w:p w:rsidR="00095128" w:rsidRPr="006234AA" w:rsidRDefault="00095128" w:rsidP="003C0546">
      <w:pPr>
        <w:spacing w:after="120"/>
        <w:rPr>
          <w:lang w:val="nl-NL"/>
        </w:rPr>
      </w:pPr>
      <w:r w:rsidRPr="006234AA">
        <w:rPr>
          <w:lang w:val="nl-NL"/>
        </w:rPr>
        <w:t xml:space="preserve">a) </w:t>
      </w:r>
      <w:r w:rsidR="00D67578" w:rsidRPr="006234AA">
        <w:rPr>
          <w:lang w:val="nl-NL"/>
        </w:rPr>
        <w:t>Không thấp hơn mức</w:t>
      </w:r>
      <w:r w:rsidRPr="006234AA">
        <w:rPr>
          <w:lang w:val="nl-NL"/>
        </w:rPr>
        <w:t xml:space="preserve"> ký quỹ </w:t>
      </w:r>
      <w:r w:rsidR="00D67578" w:rsidRPr="006234AA">
        <w:rPr>
          <w:lang w:val="nl-NL"/>
        </w:rPr>
        <w:t xml:space="preserve">tối thiểu </w:t>
      </w:r>
      <w:r w:rsidRPr="006234AA">
        <w:rPr>
          <w:lang w:val="nl-NL"/>
        </w:rPr>
        <w:t>do Trung tâm lưu ký chứng khoán công bố và áp dụng đối với thành viên bù trừ;</w:t>
      </w:r>
    </w:p>
    <w:p w:rsidR="00095128" w:rsidRPr="006234AA" w:rsidRDefault="00095128" w:rsidP="003C0546">
      <w:pPr>
        <w:spacing w:after="120"/>
        <w:rPr>
          <w:lang w:val="nl-NL"/>
        </w:rPr>
      </w:pPr>
      <w:r w:rsidRPr="006234AA">
        <w:rPr>
          <w:lang w:val="nl-NL"/>
        </w:rPr>
        <w:t>b) Tài sản ký quỹ phải nằm trong danh sách các chứng khoán được chấp nhận ký quỹ</w:t>
      </w:r>
      <w:r w:rsidR="00D67578" w:rsidRPr="006234AA">
        <w:rPr>
          <w:lang w:val="nl-NL"/>
        </w:rPr>
        <w:t>.</w:t>
      </w:r>
      <w:r w:rsidRPr="006234AA">
        <w:rPr>
          <w:lang w:val="nl-NL"/>
        </w:rPr>
        <w:t xml:space="preserve"> </w:t>
      </w:r>
    </w:p>
    <w:p w:rsidR="00946C8C" w:rsidRPr="006234AA" w:rsidRDefault="00095128" w:rsidP="003C0546">
      <w:pPr>
        <w:tabs>
          <w:tab w:val="left" w:pos="0"/>
        </w:tabs>
        <w:spacing w:after="120"/>
        <w:ind w:firstLine="709"/>
        <w:rPr>
          <w:lang w:val="nl-NL"/>
        </w:rPr>
      </w:pPr>
      <w:r w:rsidRPr="006234AA">
        <w:rPr>
          <w:lang w:val="nl-NL"/>
        </w:rPr>
        <w:t>3.</w:t>
      </w:r>
      <w:r w:rsidR="00946C8C" w:rsidRPr="006234AA">
        <w:rPr>
          <w:lang w:val="nl-NL"/>
        </w:rPr>
        <w:t xml:space="preserve"> Trong trường hợp </w:t>
      </w:r>
      <w:r w:rsidRPr="006234AA">
        <w:rPr>
          <w:lang w:val="nl-NL"/>
        </w:rPr>
        <w:t xml:space="preserve">nhà đầu tư </w:t>
      </w:r>
      <w:r w:rsidR="00946C8C" w:rsidRPr="006234AA">
        <w:rPr>
          <w:lang w:val="nl-NL"/>
        </w:rPr>
        <w:t xml:space="preserve">mất khả năng thanh toán, thành viên bù trừ có quyền: </w:t>
      </w:r>
    </w:p>
    <w:p w:rsidR="00946C8C" w:rsidRPr="006234AA" w:rsidRDefault="00095128" w:rsidP="003C0546">
      <w:pPr>
        <w:tabs>
          <w:tab w:val="left" w:pos="0"/>
        </w:tabs>
        <w:spacing w:after="120"/>
        <w:ind w:firstLine="709"/>
        <w:rPr>
          <w:lang w:val="nl-NL"/>
        </w:rPr>
      </w:pPr>
      <w:r w:rsidRPr="006234AA">
        <w:rPr>
          <w:lang w:val="nl-NL"/>
        </w:rPr>
        <w:t>a)</w:t>
      </w:r>
      <w:r w:rsidR="00946C8C" w:rsidRPr="006234AA">
        <w:rPr>
          <w:lang w:val="nl-NL"/>
        </w:rPr>
        <w:t xml:space="preserve"> Yêu cầu </w:t>
      </w:r>
      <w:r w:rsidRPr="006234AA">
        <w:rPr>
          <w:lang w:val="nl-NL"/>
        </w:rPr>
        <w:t>nhà đầu tư</w:t>
      </w:r>
      <w:r w:rsidR="00946C8C" w:rsidRPr="006234AA">
        <w:rPr>
          <w:lang w:val="nl-NL"/>
        </w:rPr>
        <w:t xml:space="preserve"> </w:t>
      </w:r>
      <w:r w:rsidRPr="006234AA">
        <w:rPr>
          <w:lang w:val="nl-NL"/>
        </w:rPr>
        <w:t xml:space="preserve">tự </w:t>
      </w:r>
      <w:r w:rsidR="00946C8C" w:rsidRPr="006234AA">
        <w:rPr>
          <w:lang w:val="nl-NL"/>
        </w:rPr>
        <w:t xml:space="preserve">thực hiện, hoặc thành viên bù trừ thực hiện việc đóng vị thế, thanh lý vị thế bắt buộc đối với các vị thế mở của </w:t>
      </w:r>
      <w:r w:rsidRPr="006234AA">
        <w:rPr>
          <w:lang w:val="nl-NL"/>
        </w:rPr>
        <w:t>nhà đầu tư</w:t>
      </w:r>
      <w:r w:rsidR="00946C8C" w:rsidRPr="006234AA">
        <w:rPr>
          <w:lang w:val="nl-NL"/>
        </w:rPr>
        <w:t>;</w:t>
      </w:r>
    </w:p>
    <w:p w:rsidR="00946C8C" w:rsidRPr="006234AA" w:rsidRDefault="00095128" w:rsidP="003C0546">
      <w:pPr>
        <w:tabs>
          <w:tab w:val="left" w:pos="0"/>
        </w:tabs>
        <w:spacing w:after="120"/>
        <w:ind w:firstLine="709"/>
        <w:rPr>
          <w:lang w:val="nl-NL"/>
        </w:rPr>
      </w:pPr>
      <w:r w:rsidRPr="006234AA">
        <w:rPr>
          <w:lang w:val="nl-NL"/>
        </w:rPr>
        <w:lastRenderedPageBreak/>
        <w:t>b)</w:t>
      </w:r>
      <w:r w:rsidR="00946C8C" w:rsidRPr="006234AA">
        <w:rPr>
          <w:lang w:val="nl-NL"/>
        </w:rPr>
        <w:t xml:space="preserve"> Được sử dụng, bán, chuyển giao tài sản ký quỹ của nhà đầu tư để mua hoặc làm tài sản bảo đảm cho các khoản vay để thực hiện các nghĩa vụ thanh toán đối với các vị thế mở của nhà đầu tư;</w:t>
      </w:r>
    </w:p>
    <w:p w:rsidR="00095128" w:rsidRPr="006234AA" w:rsidRDefault="00095128" w:rsidP="003C0546">
      <w:pPr>
        <w:tabs>
          <w:tab w:val="left" w:pos="0"/>
        </w:tabs>
        <w:spacing w:after="120"/>
        <w:ind w:firstLine="709"/>
        <w:rPr>
          <w:lang w:val="nl-NL"/>
        </w:rPr>
      </w:pPr>
      <w:r w:rsidRPr="006234AA">
        <w:rPr>
          <w:lang w:val="nl-NL"/>
        </w:rPr>
        <w:t>c</w:t>
      </w:r>
      <w:r w:rsidR="00946C8C" w:rsidRPr="006234AA">
        <w:rPr>
          <w:lang w:val="nl-NL"/>
        </w:rPr>
        <w:t>) Được sử dụng tài sản ký quỹ của nhà đầu tư để thực hiện nghĩa vụ ký quỹ với Trung tâm Lưu ký chứng khoán Việt Nam cho vị thế của chính nhà đầu tư đó; được sử dụng tài sản ký quỹ của nhà đầu tư để bảo đảm thanh toán, thực hiện thanh toán đối với các vị thế của nhà đầu tư mà mình đứng tên;</w:t>
      </w:r>
    </w:p>
    <w:p w:rsidR="00D2598E" w:rsidRPr="006234AA" w:rsidRDefault="00946C8C" w:rsidP="003C0546">
      <w:pPr>
        <w:tabs>
          <w:tab w:val="left" w:pos="0"/>
        </w:tabs>
        <w:spacing w:after="120"/>
        <w:ind w:firstLine="709"/>
        <w:rPr>
          <w:lang w:val="nl-NL"/>
        </w:rPr>
      </w:pPr>
      <w:r w:rsidRPr="006234AA">
        <w:rPr>
          <w:lang w:val="nl-NL"/>
        </w:rPr>
        <w:t>đ) Trường hợp thành viên bù trừ thực hiện nghĩa vụ hợp đồng thay thế cho thành viên bù trừ bị đình chỉ, chấm dứt tư cách thành viên quy định tại Khoản 2 Điều 19 Nghị định này, tài sản ký quỹ của nhà đầu tư cho thành viên bị đình chỉ, chấm dứt tư cách thành viên bù trừ phải được chuyển giao cho thành viên bù trừ thay thế để quản lý.</w:t>
      </w:r>
    </w:p>
    <w:p w:rsidR="002B3E5A" w:rsidRPr="006234AA" w:rsidRDefault="00991995" w:rsidP="003C0546">
      <w:pPr>
        <w:spacing w:after="120"/>
        <w:rPr>
          <w:lang w:val="nl-NL"/>
        </w:rPr>
      </w:pPr>
      <w:r w:rsidRPr="006234AA">
        <w:rPr>
          <w:lang w:val="nl-NL"/>
        </w:rPr>
        <w:t>4</w:t>
      </w:r>
      <w:r w:rsidR="002B3E5A" w:rsidRPr="006234AA">
        <w:rPr>
          <w:lang w:val="nl-NL"/>
        </w:rPr>
        <w:t xml:space="preserve">. </w:t>
      </w:r>
      <w:r w:rsidR="004E2336" w:rsidRPr="006234AA">
        <w:rPr>
          <w:lang w:val="nl-NL"/>
        </w:rPr>
        <w:t>Được hưởng các quyền khác theo quy chế của Trung tâm Lưu ký chứng khoán</w:t>
      </w:r>
      <w:r w:rsidR="002B3E5A" w:rsidRPr="006234AA">
        <w:rPr>
          <w:lang w:val="nl-NL"/>
        </w:rPr>
        <w:t>.</w:t>
      </w:r>
    </w:p>
    <w:p w:rsidR="005525F3" w:rsidRPr="006234AA" w:rsidRDefault="008D4DF4" w:rsidP="003C0546">
      <w:pPr>
        <w:pStyle w:val="Heading4"/>
        <w:spacing w:after="120"/>
        <w:ind w:left="0" w:firstLine="720"/>
      </w:pPr>
      <w:bookmarkStart w:id="168" w:name="_Toc397003372"/>
      <w:bookmarkStart w:id="169" w:name="_Toc422671995"/>
      <w:r w:rsidRPr="006234AA">
        <w:t>Trách nhiệm, nghĩa vụ của thành viên bù trừ</w:t>
      </w:r>
      <w:bookmarkEnd w:id="168"/>
      <w:bookmarkEnd w:id="169"/>
    </w:p>
    <w:p w:rsidR="002B3E5A" w:rsidRPr="006234AA" w:rsidRDefault="002B3E5A" w:rsidP="003C0546">
      <w:pPr>
        <w:pStyle w:val="ListParagraph"/>
        <w:numPr>
          <w:ilvl w:val="3"/>
          <w:numId w:val="2"/>
        </w:numPr>
        <w:tabs>
          <w:tab w:val="left" w:pos="1080"/>
        </w:tabs>
        <w:spacing w:after="120"/>
        <w:ind w:left="0" w:firstLine="720"/>
      </w:pPr>
      <w:r w:rsidRPr="006234AA">
        <w:t xml:space="preserve">Thành viên bù trừ </w:t>
      </w:r>
      <w:r w:rsidR="006A1CC0" w:rsidRPr="006234AA">
        <w:t xml:space="preserve">có trách nhiệm ký Hợp đồng </w:t>
      </w:r>
      <w:r w:rsidR="00666F37" w:rsidRPr="006234AA">
        <w:t>bù trừ, thanh toán</w:t>
      </w:r>
      <w:r w:rsidR="006A1CC0" w:rsidRPr="006234AA">
        <w:t xml:space="preserve"> với Trung tâm lưu ký chứng khoán</w:t>
      </w:r>
      <w:r w:rsidR="00832001" w:rsidRPr="006234AA">
        <w:t>, ký H</w:t>
      </w:r>
      <w:r w:rsidR="006A1CC0" w:rsidRPr="006234AA">
        <w:t xml:space="preserve">ợp đồng </w:t>
      </w:r>
      <w:r w:rsidR="00832001" w:rsidRPr="006234AA">
        <w:t xml:space="preserve">ủy thác </w:t>
      </w:r>
      <w:r w:rsidR="00666F37" w:rsidRPr="006234AA">
        <w:t>bù trừ, thanh toán</w:t>
      </w:r>
      <w:r w:rsidR="006A1CC0" w:rsidRPr="006234AA">
        <w:t xml:space="preserve"> với thành viên </w:t>
      </w:r>
      <w:r w:rsidR="00832001" w:rsidRPr="006234AA">
        <w:t xml:space="preserve">không bù trừ. </w:t>
      </w:r>
      <w:r w:rsidR="00BA6486" w:rsidRPr="006234AA">
        <w:t>Các hợp đồng nêu trên phải</w:t>
      </w:r>
      <w:r w:rsidR="006A1CC0" w:rsidRPr="006234AA">
        <w:t xml:space="preserve"> nêu rõ</w:t>
      </w:r>
      <w:r w:rsidR="00BA6486" w:rsidRPr="006234AA">
        <w:t>,</w:t>
      </w:r>
      <w:r w:rsidR="006A1CC0" w:rsidRPr="006234AA">
        <w:t xml:space="preserve"> </w:t>
      </w:r>
      <w:r w:rsidR="00BA6486" w:rsidRPr="006234AA">
        <w:t xml:space="preserve">thành viên bù trừ </w:t>
      </w:r>
      <w:r w:rsidRPr="006234AA">
        <w:t>là đại diện theo ủy quyền của khách hàng</w:t>
      </w:r>
      <w:r w:rsidR="00BA6486" w:rsidRPr="006234AA">
        <w:t xml:space="preserve"> của mình, khách hàng</w:t>
      </w:r>
      <w:r w:rsidR="006A1CC0" w:rsidRPr="006234AA">
        <w:t xml:space="preserve"> m</w:t>
      </w:r>
      <w:r w:rsidR="00BA6486" w:rsidRPr="006234AA">
        <w:t>ôi giới của thành viên không bù trừ</w:t>
      </w:r>
      <w:r w:rsidRPr="006234AA">
        <w:t>,</w:t>
      </w:r>
      <w:r w:rsidR="000D2B7E" w:rsidRPr="006234AA">
        <w:t xml:space="preserve"> </w:t>
      </w:r>
      <w:r w:rsidR="001D1935" w:rsidRPr="006234AA">
        <w:t>đứng tên các vị thế của</w:t>
      </w:r>
      <w:r w:rsidR="000D2B7E" w:rsidRPr="006234AA">
        <w:t xml:space="preserve"> khách hàng</w:t>
      </w:r>
      <w:r w:rsidR="006E1087" w:rsidRPr="006234AA">
        <w:t xml:space="preserve"> </w:t>
      </w:r>
      <w:r w:rsidR="001D1935" w:rsidRPr="006234AA">
        <w:t xml:space="preserve">và </w:t>
      </w:r>
      <w:r w:rsidRPr="006234AA">
        <w:t xml:space="preserve">chịu trách nhiệm thực hiện đầy đủ các nghĩa vụ </w:t>
      </w:r>
      <w:r w:rsidR="000D2B7E" w:rsidRPr="006234AA">
        <w:t>của khách hàng</w:t>
      </w:r>
      <w:r w:rsidRPr="006234AA">
        <w:t xml:space="preserve"> đối với Trung tâm lưu ký chứng khoán.</w:t>
      </w:r>
    </w:p>
    <w:p w:rsidR="006A1CC0" w:rsidRPr="006234AA" w:rsidRDefault="006A1CC0" w:rsidP="003C0546">
      <w:pPr>
        <w:spacing w:after="120"/>
        <w:rPr>
          <w:lang w:val="nl-NL"/>
        </w:rPr>
      </w:pPr>
      <w:r w:rsidRPr="006234AA">
        <w:rPr>
          <w:lang w:val="nl-NL"/>
        </w:rPr>
        <w:t xml:space="preserve">Trường hợp khách hàng ủy quyền cho Trung tâm lưu ký chứng khoán quản lý tài </w:t>
      </w:r>
      <w:r w:rsidR="00F63DBE" w:rsidRPr="006234AA">
        <w:rPr>
          <w:lang w:val="nl-NL"/>
        </w:rPr>
        <w:t xml:space="preserve">khoản và tài </w:t>
      </w:r>
      <w:r w:rsidRPr="006234AA">
        <w:rPr>
          <w:lang w:val="nl-NL"/>
        </w:rPr>
        <w:t>sản ký quỹ</w:t>
      </w:r>
      <w:r w:rsidR="00F63DBE" w:rsidRPr="006234AA">
        <w:rPr>
          <w:lang w:val="nl-NL"/>
        </w:rPr>
        <w:t xml:space="preserve"> theo quy định tại </w:t>
      </w:r>
      <w:r w:rsidR="00BA6486" w:rsidRPr="006234AA">
        <w:rPr>
          <w:lang w:val="nl-NL"/>
        </w:rPr>
        <w:t>Đ</w:t>
      </w:r>
      <w:r w:rsidR="00F63DBE" w:rsidRPr="006234AA">
        <w:rPr>
          <w:lang w:val="nl-NL"/>
        </w:rPr>
        <w:t xml:space="preserve">iểm c </w:t>
      </w:r>
      <w:r w:rsidR="00BA6486" w:rsidRPr="006234AA">
        <w:rPr>
          <w:lang w:val="nl-NL"/>
        </w:rPr>
        <w:t>K</w:t>
      </w:r>
      <w:r w:rsidR="00F63DBE" w:rsidRPr="006234AA">
        <w:rPr>
          <w:lang w:val="nl-NL"/>
        </w:rPr>
        <w:t>hoản 4 Điều 71 Thông tư này</w:t>
      </w:r>
      <w:r w:rsidRPr="006234AA">
        <w:rPr>
          <w:lang w:val="nl-NL"/>
        </w:rPr>
        <w:t xml:space="preserve">, thành viên bù trừ có trách nhiệm ký hợp đồng ba bên với khách hàng và Trung tâm lưu ký chứng khoán về dịch vụ </w:t>
      </w:r>
      <w:r w:rsidR="00666F37" w:rsidRPr="006234AA">
        <w:rPr>
          <w:lang w:val="nl-NL"/>
        </w:rPr>
        <w:t>bù trừ, thanh toán</w:t>
      </w:r>
      <w:r w:rsidRPr="006234AA">
        <w:rPr>
          <w:lang w:val="nl-NL"/>
        </w:rPr>
        <w:t xml:space="preserve">. </w:t>
      </w:r>
    </w:p>
    <w:p w:rsidR="009140FA" w:rsidRPr="006234AA" w:rsidRDefault="009140FA" w:rsidP="003C0546">
      <w:pPr>
        <w:pStyle w:val="ListParagraph"/>
        <w:numPr>
          <w:ilvl w:val="3"/>
          <w:numId w:val="2"/>
        </w:numPr>
        <w:tabs>
          <w:tab w:val="left" w:pos="1080"/>
        </w:tabs>
        <w:spacing w:after="120"/>
        <w:ind w:left="0" w:firstLine="720"/>
      </w:pPr>
      <w:r w:rsidRPr="006234AA">
        <w:t>Thành viên bù trừ có trách nhiệm đóng góp và duy trì khoản đóng góp vào Quỹ bù trừ theo quy định tại Điều 72 Thông tư này.</w:t>
      </w:r>
    </w:p>
    <w:p w:rsidR="009140FA" w:rsidRPr="006234AA" w:rsidRDefault="009140FA" w:rsidP="003C0546">
      <w:pPr>
        <w:tabs>
          <w:tab w:val="left" w:pos="1080"/>
        </w:tabs>
        <w:spacing w:after="120"/>
        <w:ind w:firstLine="720"/>
        <w:rPr>
          <w:lang w:val="nl-NL"/>
        </w:rPr>
      </w:pPr>
      <w:r w:rsidRPr="006234AA">
        <w:rPr>
          <w:lang w:val="nl-NL"/>
        </w:rPr>
        <w:t xml:space="preserve">3.  Thành viên bù trừ có trách nhiệm ký quỹ đầy đủ, kịp thời cho Trung tâm Lưu ký chứng khoán Việt Nam đối với các vị thế mở đứng tên mình theo </w:t>
      </w:r>
      <w:r w:rsidR="009B2B76" w:rsidRPr="006234AA">
        <w:rPr>
          <w:lang w:val="nl-NL"/>
        </w:rPr>
        <w:t>hướng dẫn</w:t>
      </w:r>
      <w:r w:rsidRPr="006234AA">
        <w:rPr>
          <w:lang w:val="nl-NL"/>
        </w:rPr>
        <w:t xml:space="preserve"> của Trung tâm Lưu ký chứng khoán và bảo đảm tuân thủ nguyên tắc sau: </w:t>
      </w:r>
    </w:p>
    <w:p w:rsidR="009140FA" w:rsidRPr="006234AA" w:rsidRDefault="009140FA" w:rsidP="003C0546">
      <w:pPr>
        <w:spacing w:after="120"/>
        <w:rPr>
          <w:lang w:val="nl-NL"/>
        </w:rPr>
      </w:pPr>
      <w:r w:rsidRPr="006234AA">
        <w:rPr>
          <w:lang w:val="nl-NL"/>
        </w:rPr>
        <w:t xml:space="preserve">a) </w:t>
      </w:r>
      <w:r w:rsidR="009B2B76" w:rsidRPr="006234AA">
        <w:rPr>
          <w:lang w:val="nl-NL"/>
        </w:rPr>
        <w:t xml:space="preserve">Mức ký quỹ thực hiện theo yêu cầu của Trung tâm Lưu ký chứng khoán. </w:t>
      </w:r>
      <w:r w:rsidRPr="006234AA">
        <w:rPr>
          <w:lang w:val="nl-NL"/>
        </w:rPr>
        <w:t xml:space="preserve">Tài sản sử dụng để thực hiện ký quỹ bao gồm tiền và chứng khoán được chấp nhận ký quỹ; </w:t>
      </w:r>
    </w:p>
    <w:p w:rsidR="009140FA" w:rsidRPr="006234AA" w:rsidRDefault="009140FA" w:rsidP="003C0546">
      <w:pPr>
        <w:spacing w:after="120"/>
        <w:rPr>
          <w:lang w:val="nl-NL"/>
        </w:rPr>
      </w:pPr>
      <w:r w:rsidRPr="006234AA">
        <w:rPr>
          <w:lang w:val="nl-NL"/>
        </w:rPr>
        <w:t xml:space="preserve">b) Nguồn tài sản sử dụng để thực hiện ký quỹ bao gồm: </w:t>
      </w:r>
    </w:p>
    <w:p w:rsidR="009140FA" w:rsidRPr="006234AA" w:rsidRDefault="009140FA" w:rsidP="003C0546">
      <w:pPr>
        <w:spacing w:after="120"/>
        <w:rPr>
          <w:lang w:val="nl-NL"/>
        </w:rPr>
      </w:pPr>
      <w:r w:rsidRPr="006234AA">
        <w:rPr>
          <w:lang w:val="nl-NL"/>
        </w:rPr>
        <w:t>- Đối với vị thế mở của mình: Tiền và tài sản của mình;</w:t>
      </w:r>
    </w:p>
    <w:p w:rsidR="009140FA" w:rsidRPr="006234AA" w:rsidRDefault="009140FA" w:rsidP="003C0546">
      <w:pPr>
        <w:spacing w:after="120"/>
        <w:rPr>
          <w:lang w:val="nl-NL"/>
        </w:rPr>
      </w:pPr>
      <w:r w:rsidRPr="006234AA">
        <w:rPr>
          <w:lang w:val="nl-NL"/>
        </w:rPr>
        <w:t xml:space="preserve">- Đối với vị thế mở của khách hàng, bao gồm khách hàng môi giới và khách hàng bù trừ, thanh toán: Tiền và tài sản trên tài khoản ký quỹ của chính </w:t>
      </w:r>
      <w:r w:rsidRPr="006234AA">
        <w:rPr>
          <w:lang w:val="nl-NL"/>
        </w:rPr>
        <w:lastRenderedPageBreak/>
        <w:t>khách hàng đó</w:t>
      </w:r>
      <w:r w:rsidR="00DA3DF3" w:rsidRPr="006234AA">
        <w:rPr>
          <w:lang w:val="nl-NL"/>
        </w:rPr>
        <w:t xml:space="preserve">. Thành viên bù trừ không được cho khách hàng vay để </w:t>
      </w:r>
      <w:r w:rsidR="00425339" w:rsidRPr="006234AA">
        <w:rPr>
          <w:lang w:val="nl-NL"/>
        </w:rPr>
        <w:t>ký quỹ cho vị thế của khách hàng.</w:t>
      </w:r>
    </w:p>
    <w:p w:rsidR="009140FA" w:rsidRPr="006234AA" w:rsidRDefault="009140FA" w:rsidP="003C0546">
      <w:pPr>
        <w:tabs>
          <w:tab w:val="left" w:pos="1080"/>
        </w:tabs>
        <w:spacing w:after="120"/>
        <w:rPr>
          <w:lang w:val="nl-NL"/>
        </w:rPr>
      </w:pPr>
      <w:r w:rsidRPr="006234AA">
        <w:rPr>
          <w:lang w:val="nl-NL"/>
        </w:rPr>
        <w:t xml:space="preserve"> c) Việc ký quỹ thực hiện dưới hình thức chuyển khoản</w:t>
      </w:r>
      <w:r w:rsidR="009B2B76" w:rsidRPr="006234AA">
        <w:rPr>
          <w:lang w:val="nl-NL"/>
        </w:rPr>
        <w:t xml:space="preserve"> (trường hợp ký quỹ bằng tiền) hoặc trên hệ thống tài khoản lưu ký chứng khoán (trường hợp ký quỹ bằng chứng khoán) theo hướng dẫn của Trung tâm Lưu chứng khoán</w:t>
      </w:r>
      <w:r w:rsidRPr="006234AA">
        <w:rPr>
          <w:lang w:val="nl-NL"/>
        </w:rPr>
        <w:t>. Cơ chế và nguyên tắc ký quỹ, duy trì ký quỹ thực hiện theo quy định tại Điều 70 Thông tư này.</w:t>
      </w:r>
    </w:p>
    <w:p w:rsidR="000111FD" w:rsidRPr="006234AA" w:rsidRDefault="009140FA" w:rsidP="003C0546">
      <w:pPr>
        <w:tabs>
          <w:tab w:val="left" w:pos="1134"/>
        </w:tabs>
        <w:spacing w:after="120"/>
        <w:ind w:firstLine="709"/>
        <w:rPr>
          <w:rFonts w:eastAsia="+mn-ea"/>
          <w:lang w:val="nl-NL"/>
        </w:rPr>
      </w:pPr>
      <w:r w:rsidRPr="006234AA">
        <w:rPr>
          <w:lang w:val="nl-NL"/>
        </w:rPr>
        <w:t>4</w:t>
      </w:r>
      <w:r w:rsidR="001D1935" w:rsidRPr="006234AA">
        <w:rPr>
          <w:lang w:val="nl-NL"/>
        </w:rPr>
        <w:t>.</w:t>
      </w:r>
      <w:r w:rsidR="00832001" w:rsidRPr="006234AA">
        <w:rPr>
          <w:lang w:val="nl-NL"/>
        </w:rPr>
        <w:t xml:space="preserve"> </w:t>
      </w:r>
      <w:r w:rsidRPr="006234AA">
        <w:rPr>
          <w:rFonts w:eastAsia="+mn-ea"/>
          <w:lang w:val="nl-NL"/>
        </w:rPr>
        <w:t xml:space="preserve">Thành viên bù trừ có nghĩa vụ </w:t>
      </w:r>
      <w:r w:rsidR="008A1291" w:rsidRPr="006234AA">
        <w:rPr>
          <w:rFonts w:eastAsia="+mn-ea"/>
          <w:lang w:val="nl-NL"/>
        </w:rPr>
        <w:t>phối hợp với Trung tâm Lưu ký chứng khoán</w:t>
      </w:r>
      <w:r w:rsidR="00CB45C6" w:rsidRPr="006234AA">
        <w:rPr>
          <w:rFonts w:eastAsia="+mn-ea"/>
          <w:lang w:val="nl-NL"/>
        </w:rPr>
        <w:t>, ngân hàng quản lý tài khoản</w:t>
      </w:r>
      <w:r w:rsidR="008A1291" w:rsidRPr="006234AA">
        <w:rPr>
          <w:rFonts w:eastAsia="+mn-ea"/>
          <w:lang w:val="nl-NL"/>
        </w:rPr>
        <w:t xml:space="preserve"> </w:t>
      </w:r>
      <w:r w:rsidRPr="006234AA">
        <w:rPr>
          <w:rFonts w:eastAsia="+mn-ea"/>
          <w:lang w:val="nl-NL"/>
        </w:rPr>
        <w:t>t</w:t>
      </w:r>
      <w:r w:rsidR="00832001" w:rsidRPr="006234AA">
        <w:rPr>
          <w:rFonts w:eastAsia="+mn-ea"/>
          <w:lang w:val="nl-NL"/>
        </w:rPr>
        <w:t xml:space="preserve">hiết lập và vận hành hệ thống </w:t>
      </w:r>
      <w:r w:rsidR="00AA300D" w:rsidRPr="006234AA">
        <w:rPr>
          <w:rFonts w:eastAsia="+mn-ea"/>
          <w:lang w:val="nl-NL"/>
        </w:rPr>
        <w:t xml:space="preserve">tài khoản ký quỹ để </w:t>
      </w:r>
      <w:r w:rsidR="00832001" w:rsidRPr="006234AA">
        <w:rPr>
          <w:rFonts w:eastAsia="+mn-ea"/>
          <w:lang w:val="nl-NL"/>
        </w:rPr>
        <w:t xml:space="preserve">quản lý </w:t>
      </w:r>
      <w:r w:rsidR="00562A94" w:rsidRPr="006234AA">
        <w:rPr>
          <w:rFonts w:eastAsia="+mn-ea"/>
          <w:lang w:val="nl-NL"/>
        </w:rPr>
        <w:t xml:space="preserve">tách biệt </w:t>
      </w:r>
      <w:r w:rsidR="00A51F5B" w:rsidRPr="006234AA">
        <w:rPr>
          <w:rFonts w:eastAsia="+mn-ea"/>
          <w:lang w:val="nl-NL"/>
        </w:rPr>
        <w:t xml:space="preserve">tài </w:t>
      </w:r>
      <w:r w:rsidR="00CB45C6" w:rsidRPr="006234AA">
        <w:rPr>
          <w:rFonts w:eastAsia="+mn-ea"/>
          <w:lang w:val="nl-NL"/>
        </w:rPr>
        <w:t xml:space="preserve">khoản và tài </w:t>
      </w:r>
      <w:r w:rsidR="00A51F5B" w:rsidRPr="006234AA">
        <w:rPr>
          <w:rFonts w:eastAsia="+mn-ea"/>
          <w:lang w:val="nl-NL"/>
        </w:rPr>
        <w:t>sản</w:t>
      </w:r>
      <w:r w:rsidR="00832001" w:rsidRPr="006234AA">
        <w:rPr>
          <w:rFonts w:eastAsia="+mn-ea"/>
          <w:lang w:val="nl-NL"/>
        </w:rPr>
        <w:t xml:space="preserve"> </w:t>
      </w:r>
      <w:r w:rsidR="00A51F5B" w:rsidRPr="006234AA">
        <w:rPr>
          <w:rFonts w:eastAsia="+mn-ea"/>
          <w:lang w:val="nl-NL"/>
        </w:rPr>
        <w:t xml:space="preserve">ký quỹ </w:t>
      </w:r>
      <w:r w:rsidR="00CB45C6" w:rsidRPr="006234AA">
        <w:rPr>
          <w:rFonts w:eastAsia="+mn-ea"/>
          <w:lang w:val="nl-NL"/>
        </w:rPr>
        <w:t>giữa</w:t>
      </w:r>
      <w:r w:rsidR="00562A94" w:rsidRPr="006234AA">
        <w:rPr>
          <w:rFonts w:eastAsia="+mn-ea"/>
          <w:lang w:val="nl-NL"/>
        </w:rPr>
        <w:t xml:space="preserve"> </w:t>
      </w:r>
      <w:r w:rsidR="00421B93" w:rsidRPr="006234AA">
        <w:rPr>
          <w:rFonts w:eastAsia="+mn-ea"/>
          <w:lang w:val="nl-NL"/>
        </w:rPr>
        <w:t xml:space="preserve">các </w:t>
      </w:r>
      <w:r w:rsidR="00A51F5B" w:rsidRPr="006234AA">
        <w:rPr>
          <w:rFonts w:eastAsia="+mn-ea"/>
          <w:lang w:val="nl-NL"/>
        </w:rPr>
        <w:t>khách hàng</w:t>
      </w:r>
      <w:r w:rsidR="00B41714" w:rsidRPr="006234AA">
        <w:rPr>
          <w:rFonts w:eastAsia="+mn-ea"/>
          <w:lang w:val="nl-NL"/>
        </w:rPr>
        <w:t xml:space="preserve"> </w:t>
      </w:r>
      <w:r w:rsidR="00832001" w:rsidRPr="006234AA">
        <w:rPr>
          <w:rFonts w:eastAsia="+mn-ea"/>
          <w:lang w:val="nl-NL"/>
        </w:rPr>
        <w:t xml:space="preserve">với </w:t>
      </w:r>
      <w:r w:rsidR="00CB45C6" w:rsidRPr="006234AA">
        <w:rPr>
          <w:rFonts w:eastAsia="+mn-ea"/>
          <w:lang w:val="nl-NL"/>
        </w:rPr>
        <w:t xml:space="preserve">nhau và giữa khách hàng với </w:t>
      </w:r>
      <w:r w:rsidR="008A1291" w:rsidRPr="006234AA">
        <w:rPr>
          <w:rFonts w:eastAsia="+mn-ea"/>
          <w:lang w:val="nl-NL"/>
        </w:rPr>
        <w:t>thành viên bù trừ</w:t>
      </w:r>
      <w:r w:rsidR="000111FD" w:rsidRPr="006234AA">
        <w:rPr>
          <w:rFonts w:eastAsia="+mn-ea"/>
          <w:lang w:val="nl-NL"/>
        </w:rPr>
        <w:t xml:space="preserve"> như sau:</w:t>
      </w:r>
    </w:p>
    <w:p w:rsidR="008A1291" w:rsidRPr="006234AA" w:rsidRDefault="000111FD" w:rsidP="003C0546">
      <w:pPr>
        <w:tabs>
          <w:tab w:val="left" w:pos="1134"/>
        </w:tabs>
        <w:spacing w:after="120"/>
        <w:ind w:firstLine="709"/>
        <w:rPr>
          <w:rFonts w:eastAsia="+mn-ea"/>
          <w:highlight w:val="yellow"/>
          <w:lang w:val="nl-NL"/>
        </w:rPr>
      </w:pPr>
      <w:r w:rsidRPr="006234AA">
        <w:rPr>
          <w:rFonts w:eastAsia="+mn-ea"/>
          <w:lang w:val="nl-NL"/>
        </w:rPr>
        <w:t>a)</w:t>
      </w:r>
      <w:r w:rsidR="008A1291" w:rsidRPr="006234AA">
        <w:rPr>
          <w:rFonts w:eastAsia="+mn-ea"/>
          <w:lang w:val="nl-NL"/>
        </w:rPr>
        <w:t xml:space="preserve"> </w:t>
      </w:r>
      <w:r w:rsidRPr="006234AA">
        <w:rPr>
          <w:rFonts w:eastAsia="+mn-ea"/>
          <w:lang w:val="nl-NL"/>
        </w:rPr>
        <w:t>Tài sản ký quỹ là chứng khoán được quản lý trên h</w:t>
      </w:r>
      <w:r w:rsidR="00BB0939" w:rsidRPr="006234AA">
        <w:rPr>
          <w:rFonts w:eastAsia="+mn-ea"/>
          <w:lang w:val="nl-NL"/>
        </w:rPr>
        <w:t xml:space="preserve">ệ thống tài khoản do Trung tâm Lưu ký chứng khoán </w:t>
      </w:r>
      <w:r w:rsidRPr="006234AA">
        <w:rPr>
          <w:rFonts w:eastAsia="+mn-ea"/>
          <w:lang w:val="nl-NL"/>
        </w:rPr>
        <w:t xml:space="preserve">thiết kế và </w:t>
      </w:r>
      <w:r w:rsidR="00BB0939" w:rsidRPr="006234AA">
        <w:rPr>
          <w:rFonts w:eastAsia="+mn-ea"/>
          <w:lang w:val="nl-NL"/>
        </w:rPr>
        <w:t>quản lý;</w:t>
      </w:r>
    </w:p>
    <w:p w:rsidR="000111FD" w:rsidRPr="006234AA" w:rsidRDefault="008A1291" w:rsidP="003C0546">
      <w:pPr>
        <w:tabs>
          <w:tab w:val="left" w:pos="1134"/>
        </w:tabs>
        <w:spacing w:after="120"/>
        <w:ind w:firstLine="709"/>
        <w:rPr>
          <w:rFonts w:eastAsia="+mn-ea"/>
          <w:highlight w:val="yellow"/>
          <w:lang w:val="nl-NL"/>
        </w:rPr>
      </w:pPr>
      <w:r w:rsidRPr="006234AA">
        <w:rPr>
          <w:rFonts w:eastAsia="+mn-ea"/>
          <w:lang w:val="nl-NL"/>
        </w:rPr>
        <w:t xml:space="preserve">b) </w:t>
      </w:r>
      <w:r w:rsidR="000111FD" w:rsidRPr="006234AA">
        <w:rPr>
          <w:rFonts w:eastAsia="+mn-ea"/>
          <w:lang w:val="nl-NL"/>
        </w:rPr>
        <w:t>Tài sản ký quỹ là tiền được quản lý trên hệ thống của ngân hàng quản lý tài khoản.</w:t>
      </w:r>
      <w:r w:rsidR="000111FD" w:rsidRPr="006234AA">
        <w:rPr>
          <w:rFonts w:eastAsia="+mn-ea"/>
          <w:highlight w:val="yellow"/>
          <w:lang w:val="nl-NL"/>
        </w:rPr>
        <w:t xml:space="preserve"> </w:t>
      </w:r>
    </w:p>
    <w:p w:rsidR="001B598E" w:rsidRPr="006234AA" w:rsidRDefault="00CD2890" w:rsidP="003C0546">
      <w:pPr>
        <w:spacing w:after="120"/>
        <w:rPr>
          <w:lang w:val="nl-NL"/>
        </w:rPr>
      </w:pPr>
      <w:r w:rsidRPr="006234AA">
        <w:rPr>
          <w:lang w:val="nl-NL"/>
        </w:rPr>
        <w:t>5</w:t>
      </w:r>
      <w:r w:rsidR="00720724" w:rsidRPr="006234AA">
        <w:rPr>
          <w:lang w:val="nl-NL"/>
        </w:rPr>
        <w:t>.</w:t>
      </w:r>
      <w:r w:rsidR="00EB466D" w:rsidRPr="006234AA">
        <w:rPr>
          <w:lang w:val="nl-NL"/>
        </w:rPr>
        <w:t xml:space="preserve"> </w:t>
      </w:r>
      <w:r w:rsidR="0045385F" w:rsidRPr="006234AA">
        <w:rPr>
          <w:lang w:val="nl-NL"/>
        </w:rPr>
        <w:t>T</w:t>
      </w:r>
      <w:r w:rsidR="0092173E" w:rsidRPr="006234AA">
        <w:rPr>
          <w:lang w:val="nl-NL"/>
        </w:rPr>
        <w:t xml:space="preserve">hành viên bù trừ có trách nhiệm </w:t>
      </w:r>
      <w:r w:rsidR="00720724" w:rsidRPr="006234AA">
        <w:rPr>
          <w:lang w:val="nl-NL"/>
        </w:rPr>
        <w:t xml:space="preserve">cập nhật, </w:t>
      </w:r>
      <w:r w:rsidR="0092173E" w:rsidRPr="006234AA">
        <w:rPr>
          <w:lang w:val="nl-NL"/>
        </w:rPr>
        <w:t>c</w:t>
      </w:r>
      <w:r w:rsidR="00980EEE" w:rsidRPr="006234AA">
        <w:rPr>
          <w:lang w:val="nl-NL"/>
        </w:rPr>
        <w:t xml:space="preserve">ung cấp </w:t>
      </w:r>
      <w:r w:rsidR="0092173E" w:rsidRPr="006234AA">
        <w:rPr>
          <w:lang w:val="nl-NL"/>
        </w:rPr>
        <w:t xml:space="preserve">cho </w:t>
      </w:r>
      <w:r w:rsidR="008573AD" w:rsidRPr="006234AA">
        <w:rPr>
          <w:lang w:val="nl-NL"/>
        </w:rPr>
        <w:t>Trung tâm lưu ký chứng khoán</w:t>
      </w:r>
      <w:r w:rsidR="0092173E" w:rsidRPr="006234AA">
        <w:rPr>
          <w:lang w:val="nl-NL"/>
        </w:rPr>
        <w:t xml:space="preserve"> </w:t>
      </w:r>
      <w:r w:rsidR="00980EEE" w:rsidRPr="006234AA">
        <w:rPr>
          <w:lang w:val="nl-NL"/>
        </w:rPr>
        <w:t xml:space="preserve">thông tin </w:t>
      </w:r>
      <w:r w:rsidR="00B5108A" w:rsidRPr="006234AA">
        <w:rPr>
          <w:lang w:val="nl-NL"/>
        </w:rPr>
        <w:t>nhận diện tài khoản của từng khách hàng, bao gồm</w:t>
      </w:r>
      <w:r w:rsidR="0092173E" w:rsidRPr="006234AA">
        <w:rPr>
          <w:lang w:val="nl-NL"/>
        </w:rPr>
        <w:t xml:space="preserve"> </w:t>
      </w:r>
      <w:r w:rsidR="00720724" w:rsidRPr="006234AA">
        <w:rPr>
          <w:lang w:val="nl-NL"/>
        </w:rPr>
        <w:t xml:space="preserve">mã số định danh, </w:t>
      </w:r>
      <w:r w:rsidR="00B5108A" w:rsidRPr="006234AA">
        <w:rPr>
          <w:lang w:val="nl-NL"/>
        </w:rPr>
        <w:t xml:space="preserve">số tài khoản giao dịch, số tài khoản ký quỹ, </w:t>
      </w:r>
      <w:r w:rsidR="00720724" w:rsidRPr="006234AA">
        <w:rPr>
          <w:lang w:val="nl-NL"/>
        </w:rPr>
        <w:t xml:space="preserve">vị thế giao dịch, </w:t>
      </w:r>
      <w:r w:rsidR="00980EEE" w:rsidRPr="006234AA">
        <w:rPr>
          <w:lang w:val="nl-NL"/>
        </w:rPr>
        <w:t xml:space="preserve">danh mục tài sản ký quỹ </w:t>
      </w:r>
      <w:r w:rsidR="00FC1790" w:rsidRPr="006234AA">
        <w:rPr>
          <w:lang w:val="nl-NL"/>
        </w:rPr>
        <w:t xml:space="preserve">(số </w:t>
      </w:r>
      <w:r w:rsidR="00720724" w:rsidRPr="006234AA">
        <w:rPr>
          <w:lang w:val="nl-NL"/>
        </w:rPr>
        <w:t xml:space="preserve">dư </w:t>
      </w:r>
      <w:r w:rsidR="00FC1790" w:rsidRPr="006234AA">
        <w:rPr>
          <w:lang w:val="nl-NL"/>
        </w:rPr>
        <w:t>tài khoản tiền gửi ký quỹ</w:t>
      </w:r>
      <w:r w:rsidR="00720724" w:rsidRPr="006234AA">
        <w:rPr>
          <w:lang w:val="nl-NL"/>
        </w:rPr>
        <w:t>,</w:t>
      </w:r>
      <w:r w:rsidR="00FC1790" w:rsidRPr="006234AA">
        <w:rPr>
          <w:lang w:val="nl-NL"/>
        </w:rPr>
        <w:t xml:space="preserve"> ngân hàng quản lý tài khoản, </w:t>
      </w:r>
      <w:r w:rsidR="00720724" w:rsidRPr="006234AA">
        <w:rPr>
          <w:lang w:val="nl-NL"/>
        </w:rPr>
        <w:t xml:space="preserve">danh mục chứng khoán ký quỹ, </w:t>
      </w:r>
      <w:r w:rsidR="00FC1790" w:rsidRPr="006234AA">
        <w:rPr>
          <w:lang w:val="nl-NL"/>
        </w:rPr>
        <w:t xml:space="preserve">số tài khoản lưu ký </w:t>
      </w:r>
      <w:r w:rsidR="00980EEE" w:rsidRPr="006234AA">
        <w:rPr>
          <w:lang w:val="nl-NL"/>
        </w:rPr>
        <w:t>và thành viên lưu ký</w:t>
      </w:r>
      <w:r w:rsidR="00FC1790" w:rsidRPr="006234AA">
        <w:rPr>
          <w:lang w:val="nl-NL"/>
        </w:rPr>
        <w:t>)</w:t>
      </w:r>
      <w:r w:rsidR="00980EEE" w:rsidRPr="006234AA">
        <w:rPr>
          <w:lang w:val="nl-NL"/>
        </w:rPr>
        <w:t>.</w:t>
      </w:r>
      <w:r w:rsidR="00DE48BE" w:rsidRPr="006234AA">
        <w:rPr>
          <w:lang w:val="nl-NL"/>
        </w:rPr>
        <w:t xml:space="preserve"> Thành viên bù trừ có trách nhiệm yêu cầu </w:t>
      </w:r>
      <w:r w:rsidR="00FC1790" w:rsidRPr="006234AA">
        <w:rPr>
          <w:lang w:val="nl-NL"/>
        </w:rPr>
        <w:t xml:space="preserve">thành viên lưu ký, </w:t>
      </w:r>
      <w:r w:rsidR="00DE48BE" w:rsidRPr="006234AA">
        <w:rPr>
          <w:lang w:val="nl-NL"/>
        </w:rPr>
        <w:t xml:space="preserve">ngân hàng quản lý tài khoản trực tiếp cung cấp theo yêu cầu của </w:t>
      </w:r>
      <w:r w:rsidR="008573AD" w:rsidRPr="006234AA">
        <w:rPr>
          <w:lang w:val="nl-NL"/>
        </w:rPr>
        <w:t>Trung tâm lưu ký chứng khoán</w:t>
      </w:r>
      <w:r w:rsidR="00DE48BE" w:rsidRPr="006234AA">
        <w:rPr>
          <w:lang w:val="nl-NL"/>
        </w:rPr>
        <w:t xml:space="preserve"> </w:t>
      </w:r>
      <w:r w:rsidR="00720724" w:rsidRPr="006234AA">
        <w:rPr>
          <w:lang w:val="nl-NL"/>
        </w:rPr>
        <w:t xml:space="preserve">các </w:t>
      </w:r>
      <w:r w:rsidR="00DE48BE" w:rsidRPr="006234AA">
        <w:rPr>
          <w:lang w:val="nl-NL"/>
        </w:rPr>
        <w:t xml:space="preserve">thông tin về </w:t>
      </w:r>
      <w:r w:rsidR="00720724" w:rsidRPr="006234AA">
        <w:rPr>
          <w:lang w:val="nl-NL"/>
        </w:rPr>
        <w:t xml:space="preserve">tài sản ký quỹ của </w:t>
      </w:r>
      <w:r w:rsidR="00DE48BE" w:rsidRPr="006234AA">
        <w:rPr>
          <w:lang w:val="nl-NL"/>
        </w:rPr>
        <w:t>khách hàng tại mọi thời điểm.</w:t>
      </w:r>
    </w:p>
    <w:p w:rsidR="00D15832" w:rsidRPr="006234AA" w:rsidRDefault="00720724" w:rsidP="003C0546">
      <w:pPr>
        <w:spacing w:after="120"/>
        <w:rPr>
          <w:lang w:val="nl-NL"/>
        </w:rPr>
      </w:pPr>
      <w:r w:rsidRPr="006234AA">
        <w:rPr>
          <w:rFonts w:eastAsia="+mn-ea"/>
          <w:lang w:val="nl-NL"/>
        </w:rPr>
        <w:t xml:space="preserve"> </w:t>
      </w:r>
      <w:r w:rsidR="00CD2890" w:rsidRPr="006234AA">
        <w:rPr>
          <w:rFonts w:eastAsia="+mn-ea"/>
          <w:lang w:val="nl-NL"/>
        </w:rPr>
        <w:t>6</w:t>
      </w:r>
      <w:r w:rsidR="00D15832" w:rsidRPr="006234AA">
        <w:rPr>
          <w:rFonts w:eastAsia="+mn-ea"/>
          <w:lang w:val="nl-NL"/>
        </w:rPr>
        <w:t xml:space="preserve">. Thành viên bù trừ có trách nhiệm xác định lãi lỗ vị thế, xác định mức ký quỹ bổ sung </w:t>
      </w:r>
      <w:r w:rsidRPr="006234AA">
        <w:rPr>
          <w:rFonts w:eastAsia="+mn-ea"/>
          <w:lang w:val="nl-NL"/>
        </w:rPr>
        <w:t xml:space="preserve">cho từng khách hàng. Thành viên bù trừ có trách nhiệm </w:t>
      </w:r>
      <w:r w:rsidR="00D15832" w:rsidRPr="006234AA">
        <w:rPr>
          <w:rFonts w:eastAsia="+mn-ea"/>
          <w:lang w:val="nl-NL"/>
        </w:rPr>
        <w:t>yêu cầu khách hàng bổ sung ký quỹ kịp thời và đầy đủ trong trường hợp giá trị tài sản ký quỹ không đáp ứng mức ký quỹ duy trì hoặc hoàn trả lại một phần tài sản ký quỹ theo yêu cầu của khách hàng trong trường hợp giá trị tài sản ký quỹ của khách hàng vượt quá mức ký quỹ cần thiết.</w:t>
      </w:r>
    </w:p>
    <w:p w:rsidR="00D15832" w:rsidRPr="006234AA" w:rsidRDefault="00CD2890" w:rsidP="003C0546">
      <w:pPr>
        <w:spacing w:after="120"/>
        <w:rPr>
          <w:lang w:val="nl-NL"/>
        </w:rPr>
      </w:pPr>
      <w:r w:rsidRPr="006234AA">
        <w:rPr>
          <w:lang w:val="nl-NL"/>
        </w:rPr>
        <w:t xml:space="preserve"> 7</w:t>
      </w:r>
      <w:r w:rsidR="00D15832" w:rsidRPr="006234AA">
        <w:rPr>
          <w:lang w:val="nl-NL"/>
        </w:rPr>
        <w:t xml:space="preserve">. Thành viên bù trừ có trách nhiệm đặt lệnh giao dịch theo </w:t>
      </w:r>
      <w:r w:rsidR="00D52B44" w:rsidRPr="006234AA">
        <w:rPr>
          <w:lang w:val="nl-NL"/>
        </w:rPr>
        <w:t xml:space="preserve">yêu cầu </w:t>
      </w:r>
      <w:r w:rsidR="00D15832" w:rsidRPr="006234AA">
        <w:rPr>
          <w:lang w:val="nl-NL"/>
        </w:rPr>
        <w:t>của Trung tâm lưu ký chứng khoán để đóng các vị thế mở đứng tên mình, bất kể đó là vị thế của mình hay của khách hàng, hoặc các vị thế mở đứng tên thành viên bù trừ khác trong trường hợp thành viên hoặc nhà đầu tư bị mất khả năng thanh toán.</w:t>
      </w:r>
    </w:p>
    <w:p w:rsidR="00CA16C1" w:rsidRPr="006234AA" w:rsidRDefault="00CD2890" w:rsidP="003C0546">
      <w:pPr>
        <w:spacing w:after="120"/>
        <w:rPr>
          <w:lang w:val="nl-NL"/>
        </w:rPr>
      </w:pPr>
      <w:r w:rsidRPr="006234AA">
        <w:rPr>
          <w:lang w:val="nl-NL"/>
        </w:rPr>
        <w:t>8</w:t>
      </w:r>
      <w:r w:rsidR="00CA16C1" w:rsidRPr="006234AA">
        <w:rPr>
          <w:lang w:val="nl-NL"/>
        </w:rPr>
        <w:t>. Thành viên bù trừ có trách nhiệm sử dụng tài sản ký quỹ thuộc mình quản lý để hỗ trợ theo yêu cầu của Trung tâm lưu ký chứng khoán trong trường hợp có thành viên bù trừ bị mất khả năng thanh toán.</w:t>
      </w:r>
    </w:p>
    <w:p w:rsidR="00DE48BE" w:rsidRPr="006234AA" w:rsidRDefault="00CD2890" w:rsidP="003C0546">
      <w:pPr>
        <w:spacing w:after="120"/>
        <w:rPr>
          <w:lang w:val="nl-NL"/>
        </w:rPr>
      </w:pPr>
      <w:r w:rsidRPr="006234AA">
        <w:rPr>
          <w:lang w:val="nl-NL"/>
        </w:rPr>
        <w:t>9</w:t>
      </w:r>
      <w:r w:rsidR="00DE48BE" w:rsidRPr="006234AA">
        <w:rPr>
          <w:lang w:val="nl-NL"/>
        </w:rPr>
        <w:t xml:space="preserve">.  Thành viên bù trừ có trách nhiệm </w:t>
      </w:r>
      <w:r w:rsidR="00DE48BE" w:rsidRPr="006234AA">
        <w:rPr>
          <w:rFonts w:eastAsia="+mn-ea"/>
          <w:lang w:val="nl-NL"/>
        </w:rPr>
        <w:t>b</w:t>
      </w:r>
      <w:r w:rsidR="0040259B" w:rsidRPr="006234AA">
        <w:rPr>
          <w:rFonts w:eastAsia="+mn-ea"/>
          <w:lang w:val="nl-NL"/>
        </w:rPr>
        <w:t>ồi thường thiệt hại cho khách hàng trong trường hợp không thực hiệ</w:t>
      </w:r>
      <w:r w:rsidR="00DE48BE" w:rsidRPr="006234AA">
        <w:rPr>
          <w:rFonts w:eastAsia="+mn-ea"/>
          <w:lang w:val="nl-NL"/>
        </w:rPr>
        <w:t xml:space="preserve">n </w:t>
      </w:r>
      <w:r w:rsidR="00FC1790" w:rsidRPr="006234AA">
        <w:rPr>
          <w:rFonts w:eastAsia="+mn-ea"/>
          <w:lang w:val="nl-NL"/>
        </w:rPr>
        <w:t xml:space="preserve">giao dịch hoặc thực hiện không đúng lệnh của khách hàng và gây </w:t>
      </w:r>
      <w:r w:rsidR="0040259B" w:rsidRPr="006234AA">
        <w:rPr>
          <w:rFonts w:eastAsia="+mn-ea"/>
          <w:lang w:val="nl-NL"/>
        </w:rPr>
        <w:t xml:space="preserve">thiệt hại đến lợi ích hợp pháp của khách hàng, trừ trường hợp </w:t>
      </w:r>
      <w:r w:rsidR="0040259B" w:rsidRPr="006234AA">
        <w:rPr>
          <w:rFonts w:eastAsia="+mn-ea"/>
          <w:lang w:val="nl-NL"/>
        </w:rPr>
        <w:lastRenderedPageBreak/>
        <w:t>bất khả kháng</w:t>
      </w:r>
      <w:r w:rsidR="00DE48BE" w:rsidRPr="006234AA">
        <w:rPr>
          <w:rFonts w:eastAsia="+mn-ea"/>
          <w:lang w:val="nl-NL"/>
        </w:rPr>
        <w:t xml:space="preserve"> </w:t>
      </w:r>
      <w:r w:rsidR="00FC1790" w:rsidRPr="006234AA">
        <w:rPr>
          <w:rFonts w:eastAsia="+mn-ea"/>
          <w:lang w:val="nl-NL"/>
        </w:rPr>
        <w:t>theo quy định của pháp luật và quy chế của Trung tâm lưu ký chứng khoán</w:t>
      </w:r>
      <w:r w:rsidR="0040259B" w:rsidRPr="006234AA">
        <w:rPr>
          <w:rFonts w:eastAsia="+mn-ea"/>
          <w:lang w:val="nl-NL"/>
        </w:rPr>
        <w:t>.</w:t>
      </w:r>
      <w:r w:rsidR="000B55D5" w:rsidRPr="006234AA">
        <w:rPr>
          <w:rFonts w:eastAsia="+mn-ea"/>
          <w:lang w:val="nl-NL"/>
        </w:rPr>
        <w:t xml:space="preserve"> Mức bồi thường thực hiện theo thỏa thuận.</w:t>
      </w:r>
      <w:r w:rsidR="0040259B" w:rsidRPr="006234AA">
        <w:rPr>
          <w:rFonts w:eastAsia="+mn-ea"/>
          <w:lang w:val="nl-NL"/>
        </w:rPr>
        <w:t xml:space="preserve"> </w:t>
      </w:r>
    </w:p>
    <w:p w:rsidR="00DE48BE" w:rsidRPr="006234AA" w:rsidRDefault="00DE48BE" w:rsidP="003C0546">
      <w:pPr>
        <w:spacing w:after="120"/>
        <w:rPr>
          <w:lang w:val="nl-NL"/>
        </w:rPr>
      </w:pPr>
      <w:r w:rsidRPr="006234AA">
        <w:rPr>
          <w:lang w:val="nl-NL"/>
        </w:rPr>
        <w:t>1</w:t>
      </w:r>
      <w:r w:rsidR="00CD2890" w:rsidRPr="006234AA">
        <w:rPr>
          <w:lang w:val="nl-NL"/>
        </w:rPr>
        <w:t>0</w:t>
      </w:r>
      <w:r w:rsidRPr="006234AA">
        <w:rPr>
          <w:lang w:val="nl-NL"/>
        </w:rPr>
        <w:t xml:space="preserve">. Thành viên bù trừ có trách nhiệm </w:t>
      </w:r>
      <w:r w:rsidRPr="006234AA">
        <w:rPr>
          <w:rFonts w:eastAsia="+mn-ea"/>
          <w:lang w:val="nl-NL"/>
        </w:rPr>
        <w:t>t</w:t>
      </w:r>
      <w:r w:rsidR="0040259B" w:rsidRPr="006234AA">
        <w:rPr>
          <w:rFonts w:eastAsia="+mn-ea"/>
          <w:lang w:val="nl-NL"/>
        </w:rPr>
        <w:t>rích lập quỹ</w:t>
      </w:r>
      <w:r w:rsidR="000B55D5" w:rsidRPr="006234AA">
        <w:rPr>
          <w:rFonts w:eastAsia="+mn-ea"/>
          <w:lang w:val="nl-NL"/>
        </w:rPr>
        <w:t xml:space="preserve"> </w:t>
      </w:r>
      <w:r w:rsidR="0040259B" w:rsidRPr="006234AA">
        <w:rPr>
          <w:rFonts w:eastAsia="+mn-ea"/>
          <w:lang w:val="nl-NL"/>
        </w:rPr>
        <w:t xml:space="preserve">phòng ngừa rủi ro nghiệp vụ để bù đắp các tổn thất cho khách hàng do sự cố kỹ thuật, do sơ suất của nhân viên trong quá trình hoạt động. Quỹ phòng ngừa rủi ro nghiệp vụ được trích lập từ các khoản thu nghiệp vụ theo quy định </w:t>
      </w:r>
      <w:r w:rsidR="00FC1790" w:rsidRPr="006234AA">
        <w:rPr>
          <w:rFonts w:eastAsia="+mn-ea"/>
          <w:lang w:val="nl-NL"/>
        </w:rPr>
        <w:t xml:space="preserve">liên quan </w:t>
      </w:r>
      <w:r w:rsidR="0040259B" w:rsidRPr="006234AA">
        <w:rPr>
          <w:rFonts w:eastAsia="+mn-ea"/>
          <w:lang w:val="nl-NL"/>
        </w:rPr>
        <w:t>của Bộ Tài chính.</w:t>
      </w:r>
    </w:p>
    <w:p w:rsidR="00D2598E" w:rsidRPr="006234AA" w:rsidRDefault="00DE48BE" w:rsidP="003C0546">
      <w:pPr>
        <w:spacing w:after="120"/>
        <w:rPr>
          <w:rFonts w:eastAsia="+mn-ea"/>
          <w:lang w:val="nl-NL"/>
        </w:rPr>
      </w:pPr>
      <w:r w:rsidRPr="006234AA">
        <w:rPr>
          <w:lang w:val="nl-NL"/>
        </w:rPr>
        <w:t>1</w:t>
      </w:r>
      <w:r w:rsidR="00CD2890" w:rsidRPr="006234AA">
        <w:rPr>
          <w:lang w:val="nl-NL"/>
        </w:rPr>
        <w:t>1</w:t>
      </w:r>
      <w:r w:rsidRPr="006234AA">
        <w:rPr>
          <w:lang w:val="nl-NL"/>
        </w:rPr>
        <w:t xml:space="preserve">. </w:t>
      </w:r>
      <w:r w:rsidR="00431309" w:rsidRPr="006234AA">
        <w:rPr>
          <w:lang w:val="nl-NL"/>
        </w:rPr>
        <w:t xml:space="preserve">Thành viên bù trừ </w:t>
      </w:r>
      <w:r w:rsidR="00431309" w:rsidRPr="006234AA">
        <w:rPr>
          <w:rFonts w:eastAsia="+mn-ea"/>
          <w:lang w:val="nl-NL"/>
        </w:rPr>
        <w:t>có trách nhiệm</w:t>
      </w:r>
      <w:r w:rsidR="0040259B" w:rsidRPr="006234AA">
        <w:rPr>
          <w:rFonts w:eastAsia="+mn-ea"/>
          <w:lang w:val="nl-NL"/>
        </w:rPr>
        <w:t xml:space="preserve"> lưu giữ các chứng từ gốc về bù trừ và thanh toán chứng khoán phái sinh theo quy định của pháp luật về kế toán, thống kê.</w:t>
      </w:r>
      <w:r w:rsidRPr="006234AA">
        <w:rPr>
          <w:lang w:val="nl-NL"/>
        </w:rPr>
        <w:t xml:space="preserve"> </w:t>
      </w:r>
      <w:r w:rsidR="0040259B" w:rsidRPr="006234AA">
        <w:rPr>
          <w:rFonts w:eastAsia="+mn-ea"/>
          <w:lang w:val="nl-NL"/>
        </w:rPr>
        <w:t>Thực hiện chế độ kế toán, kiểm toán, thống kê, nghĩa vụ tài chính theo quy định của pháp luật</w:t>
      </w:r>
      <w:r w:rsidRPr="006234AA">
        <w:rPr>
          <w:rFonts w:eastAsia="+mn-ea"/>
          <w:lang w:val="nl-NL"/>
        </w:rPr>
        <w:t>, nghĩa vụ báo cáo và công bố thông tin theo quy định của pháp luật</w:t>
      </w:r>
      <w:r w:rsidR="0040259B" w:rsidRPr="006234AA">
        <w:rPr>
          <w:rFonts w:eastAsia="+mn-ea"/>
          <w:lang w:val="nl-NL"/>
        </w:rPr>
        <w:t>.</w:t>
      </w:r>
      <w:bookmarkEnd w:id="167"/>
    </w:p>
    <w:p w:rsidR="00610B0B" w:rsidRPr="006234AA" w:rsidRDefault="00610B0B" w:rsidP="00610B0B">
      <w:pPr>
        <w:spacing w:after="120"/>
        <w:rPr>
          <w:lang w:val="nl-NL"/>
        </w:rPr>
      </w:pPr>
      <w:r w:rsidRPr="006234AA">
        <w:rPr>
          <w:rFonts w:eastAsia="+mn-ea"/>
          <w:lang w:val="nl-NL"/>
        </w:rPr>
        <w:t xml:space="preserve">12. </w:t>
      </w:r>
      <w:r w:rsidRPr="006234AA">
        <w:rPr>
          <w:lang w:val="nl-NL"/>
        </w:rPr>
        <w:t>Thành viên bù trừ có trách nhiệm thông báo cho Trung tâm lưu ký chứng khoán khi gặp khó khăn trong thanh toán hoặc khi khách hàng mất khả năng thanh toán.</w:t>
      </w:r>
    </w:p>
    <w:p w:rsidR="00D935C0" w:rsidRPr="006234AA" w:rsidRDefault="00A754DD" w:rsidP="003C0546">
      <w:pPr>
        <w:pStyle w:val="Heading4"/>
        <w:spacing w:after="120"/>
        <w:rPr>
          <w:rFonts w:eastAsia="+mn-ea"/>
        </w:rPr>
      </w:pPr>
      <w:bookmarkStart w:id="170" w:name="_Toc397003375"/>
      <w:bookmarkStart w:id="171" w:name="_Toc422671996"/>
      <w:r w:rsidRPr="006234AA">
        <w:rPr>
          <w:rFonts w:eastAsia="+mn-ea"/>
        </w:rPr>
        <w:t>Đ</w:t>
      </w:r>
      <w:r w:rsidR="00B33ABE" w:rsidRPr="006234AA">
        <w:rPr>
          <w:rFonts w:eastAsia="+mn-ea"/>
        </w:rPr>
        <w:t>ình chỉ</w:t>
      </w:r>
      <w:r w:rsidR="008E3205" w:rsidRPr="006234AA">
        <w:rPr>
          <w:rFonts w:eastAsia="+mn-ea"/>
        </w:rPr>
        <w:t>, chấm dứt</w:t>
      </w:r>
      <w:r w:rsidR="00B33ABE" w:rsidRPr="006234AA">
        <w:rPr>
          <w:rFonts w:eastAsia="+mn-ea"/>
        </w:rPr>
        <w:t xml:space="preserve"> hoạt động </w:t>
      </w:r>
      <w:r w:rsidR="00413F41" w:rsidRPr="006234AA">
        <w:rPr>
          <w:rFonts w:eastAsia="+mn-ea"/>
        </w:rPr>
        <w:t>bù trừ</w:t>
      </w:r>
      <w:bookmarkEnd w:id="170"/>
      <w:r w:rsidR="008E3205" w:rsidRPr="006234AA">
        <w:rPr>
          <w:rFonts w:eastAsia="+mn-ea"/>
        </w:rPr>
        <w:t>, thanh toán</w:t>
      </w:r>
      <w:bookmarkEnd w:id="171"/>
    </w:p>
    <w:p w:rsidR="00D2598E" w:rsidRPr="006234AA" w:rsidRDefault="00D2598E" w:rsidP="003C0546">
      <w:pPr>
        <w:spacing w:after="120"/>
        <w:rPr>
          <w:rFonts w:eastAsia="+mn-ea"/>
          <w:lang w:val="nl-NL"/>
        </w:rPr>
      </w:pPr>
      <w:r w:rsidRPr="006234AA">
        <w:rPr>
          <w:rFonts w:eastAsia="+mn-ea"/>
          <w:lang w:val="nl-NL"/>
        </w:rPr>
        <w:t xml:space="preserve">1. </w:t>
      </w:r>
      <w:r w:rsidR="008573AD" w:rsidRPr="006234AA">
        <w:rPr>
          <w:rFonts w:eastAsia="+mn-ea"/>
          <w:lang w:val="nl-NL"/>
        </w:rPr>
        <w:t>Trung tâm lưu ký chứng khoán</w:t>
      </w:r>
      <w:r w:rsidR="004871C9" w:rsidRPr="006234AA">
        <w:rPr>
          <w:rFonts w:eastAsia="+mn-ea"/>
          <w:lang w:val="nl-NL"/>
        </w:rPr>
        <w:t xml:space="preserve"> được đình chỉ hoạt động </w:t>
      </w:r>
      <w:r w:rsidR="00666F37" w:rsidRPr="006234AA">
        <w:rPr>
          <w:rFonts w:eastAsia="+mn-ea"/>
          <w:lang w:val="nl-NL"/>
        </w:rPr>
        <w:t>bù trừ, thanh toán</w:t>
      </w:r>
      <w:r w:rsidR="004871C9" w:rsidRPr="006234AA">
        <w:rPr>
          <w:rFonts w:eastAsia="+mn-ea"/>
          <w:lang w:val="nl-NL"/>
        </w:rPr>
        <w:t xml:space="preserve"> t</w:t>
      </w:r>
      <w:r w:rsidRPr="006234AA">
        <w:rPr>
          <w:rFonts w:eastAsia="+mn-ea"/>
          <w:lang w:val="nl-NL"/>
        </w:rPr>
        <w:t>hành viên bù trừ trong các trường hợp sau:</w:t>
      </w:r>
    </w:p>
    <w:p w:rsidR="00D2598E" w:rsidRPr="006234AA" w:rsidRDefault="008E3205" w:rsidP="003C0546">
      <w:pPr>
        <w:spacing w:after="120"/>
        <w:rPr>
          <w:rFonts w:eastAsia="+mn-ea"/>
          <w:lang w:val="nl-NL"/>
        </w:rPr>
      </w:pPr>
      <w:r w:rsidRPr="006234AA">
        <w:rPr>
          <w:rFonts w:eastAsia="+mn-ea"/>
          <w:lang w:val="nl-NL"/>
        </w:rPr>
        <w:t>a</w:t>
      </w:r>
      <w:r w:rsidR="00D2598E" w:rsidRPr="006234AA">
        <w:rPr>
          <w:rFonts w:eastAsia="+mn-ea"/>
          <w:lang w:val="nl-NL"/>
        </w:rPr>
        <w:t xml:space="preserve">) </w:t>
      </w:r>
      <w:r w:rsidR="000423A1" w:rsidRPr="006234AA">
        <w:rPr>
          <w:rFonts w:eastAsia="+mn-ea"/>
          <w:lang w:val="nl-NL"/>
        </w:rPr>
        <w:t>Các trường hợp theo quy định tại Điểm a Khoản 1 Điều 34 Thông tư này</w:t>
      </w:r>
      <w:r w:rsidR="00D2598E" w:rsidRPr="006234AA">
        <w:rPr>
          <w:rFonts w:eastAsia="+mn-ea"/>
          <w:lang w:val="nl-NL"/>
        </w:rPr>
        <w:t>;</w:t>
      </w:r>
    </w:p>
    <w:p w:rsidR="00D2598E" w:rsidRPr="006234AA" w:rsidRDefault="000423A1" w:rsidP="003C0546">
      <w:pPr>
        <w:spacing w:after="120"/>
        <w:rPr>
          <w:rFonts w:eastAsia="+mn-ea"/>
          <w:lang w:val="nl-NL"/>
        </w:rPr>
      </w:pPr>
      <w:r w:rsidRPr="006234AA">
        <w:rPr>
          <w:rFonts w:eastAsia="+mn-ea"/>
          <w:lang w:val="nl-NL"/>
        </w:rPr>
        <w:t>b</w:t>
      </w:r>
      <w:r w:rsidR="00D2598E" w:rsidRPr="006234AA">
        <w:rPr>
          <w:rFonts w:eastAsia="+mn-ea"/>
          <w:lang w:val="nl-NL"/>
        </w:rPr>
        <w:t xml:space="preserve">) </w:t>
      </w:r>
      <w:r w:rsidRPr="006234AA">
        <w:rPr>
          <w:rFonts w:eastAsia="+mn-ea"/>
          <w:lang w:val="nl-NL"/>
        </w:rPr>
        <w:t>Là công ty chứng khoán b</w:t>
      </w:r>
      <w:r w:rsidR="00D2598E" w:rsidRPr="006234AA">
        <w:rPr>
          <w:rFonts w:eastAsia="+mn-ea"/>
          <w:lang w:val="nl-NL"/>
        </w:rPr>
        <w:t xml:space="preserve">ị </w:t>
      </w:r>
      <w:r w:rsidRPr="006234AA">
        <w:rPr>
          <w:rFonts w:eastAsia="+mn-ea"/>
          <w:lang w:val="nl-NL"/>
        </w:rPr>
        <w:t xml:space="preserve">đặt trong tình trạng </w:t>
      </w:r>
      <w:r w:rsidR="00D2598E" w:rsidRPr="006234AA">
        <w:rPr>
          <w:rFonts w:eastAsia="+mn-ea"/>
          <w:lang w:val="nl-NL"/>
        </w:rPr>
        <w:t>kiểm soát đặc biệt theo quy định của pháp luật chứng khoán về an toàn tài chính</w:t>
      </w:r>
      <w:r w:rsidR="008E3205" w:rsidRPr="006234AA">
        <w:rPr>
          <w:rFonts w:eastAsia="+mn-ea"/>
          <w:lang w:val="nl-NL"/>
        </w:rPr>
        <w:t xml:space="preserve">; </w:t>
      </w:r>
      <w:r w:rsidRPr="006234AA">
        <w:rPr>
          <w:rFonts w:eastAsia="+mn-ea"/>
          <w:lang w:val="nl-NL"/>
        </w:rPr>
        <w:t xml:space="preserve">hoặc là ngân hàng </w:t>
      </w:r>
      <w:r w:rsidR="008E3205" w:rsidRPr="006234AA">
        <w:rPr>
          <w:rFonts w:eastAsia="+mn-ea"/>
          <w:lang w:val="nl-NL"/>
        </w:rPr>
        <w:t xml:space="preserve">bị kiểm soát đặc biệt theo </w:t>
      </w:r>
      <w:r w:rsidR="00D2598E" w:rsidRPr="006234AA">
        <w:rPr>
          <w:rFonts w:eastAsia="+mn-ea"/>
          <w:lang w:val="nl-NL"/>
        </w:rPr>
        <w:t xml:space="preserve">quy định </w:t>
      </w:r>
      <w:r w:rsidR="008E3205" w:rsidRPr="006234AA">
        <w:rPr>
          <w:rFonts w:eastAsia="+mn-ea"/>
          <w:lang w:val="nl-NL"/>
        </w:rPr>
        <w:t xml:space="preserve">của </w:t>
      </w:r>
      <w:r w:rsidR="00D2598E" w:rsidRPr="006234AA">
        <w:rPr>
          <w:rFonts w:eastAsia="+mn-ea"/>
          <w:lang w:val="nl-NL"/>
        </w:rPr>
        <w:t xml:space="preserve">pháp luật </w:t>
      </w:r>
      <w:r w:rsidR="008E3205" w:rsidRPr="006234AA">
        <w:rPr>
          <w:rFonts w:eastAsia="+mn-ea"/>
          <w:lang w:val="nl-NL"/>
        </w:rPr>
        <w:t>ngân hàng về an toàn vốn</w:t>
      </w:r>
      <w:r w:rsidR="00D2598E" w:rsidRPr="006234AA">
        <w:rPr>
          <w:rFonts w:eastAsia="+mn-ea"/>
          <w:lang w:val="nl-NL"/>
        </w:rPr>
        <w:t xml:space="preserve">; </w:t>
      </w:r>
    </w:p>
    <w:p w:rsidR="00D2598E" w:rsidRPr="006234AA" w:rsidRDefault="000423A1" w:rsidP="003C0546">
      <w:pPr>
        <w:spacing w:after="120"/>
        <w:rPr>
          <w:rFonts w:eastAsia="+mn-ea"/>
          <w:lang w:val="nl-NL"/>
        </w:rPr>
      </w:pPr>
      <w:r w:rsidRPr="006234AA">
        <w:rPr>
          <w:rFonts w:eastAsia="+mn-ea"/>
          <w:lang w:val="nl-NL"/>
        </w:rPr>
        <w:t>c</w:t>
      </w:r>
      <w:r w:rsidR="00D2598E" w:rsidRPr="006234AA">
        <w:rPr>
          <w:rFonts w:eastAsia="+mn-ea"/>
          <w:lang w:val="nl-NL"/>
        </w:rPr>
        <w:t xml:space="preserve">) Các trường hợp khác </w:t>
      </w:r>
      <w:r w:rsidR="004871C9" w:rsidRPr="006234AA">
        <w:rPr>
          <w:rFonts w:eastAsia="+mn-ea"/>
          <w:lang w:val="nl-NL"/>
        </w:rPr>
        <w:t xml:space="preserve">theo </w:t>
      </w:r>
      <w:r w:rsidR="008E3205" w:rsidRPr="006234AA">
        <w:rPr>
          <w:rFonts w:eastAsia="+mn-ea"/>
          <w:lang w:val="nl-NL"/>
        </w:rPr>
        <w:t xml:space="preserve">quy chế </w:t>
      </w:r>
      <w:r w:rsidR="004871C9" w:rsidRPr="006234AA">
        <w:rPr>
          <w:rFonts w:eastAsia="+mn-ea"/>
          <w:lang w:val="nl-NL"/>
        </w:rPr>
        <w:t xml:space="preserve">của </w:t>
      </w:r>
      <w:r w:rsidR="008573AD" w:rsidRPr="006234AA">
        <w:rPr>
          <w:rFonts w:eastAsia="+mn-ea"/>
          <w:lang w:val="nl-NL"/>
        </w:rPr>
        <w:t>Trung tâm lưu ký chứng khoán</w:t>
      </w:r>
      <w:r w:rsidR="008E3205" w:rsidRPr="006234AA">
        <w:rPr>
          <w:rFonts w:eastAsia="+mn-ea"/>
          <w:lang w:val="nl-NL"/>
        </w:rPr>
        <w:t xml:space="preserve"> hoặc</w:t>
      </w:r>
      <w:r w:rsidR="00D2598E" w:rsidRPr="006234AA">
        <w:rPr>
          <w:rFonts w:eastAsia="+mn-ea"/>
          <w:lang w:val="nl-NL"/>
        </w:rPr>
        <w:t xml:space="preserve"> </w:t>
      </w:r>
      <w:r w:rsidR="008E3205" w:rsidRPr="006234AA">
        <w:rPr>
          <w:rFonts w:eastAsia="+mn-ea"/>
          <w:lang w:val="nl-NL"/>
        </w:rPr>
        <w:t xml:space="preserve">theo yêu cầu của Ủy ban Chứng khoán Nhà nước </w:t>
      </w:r>
      <w:r w:rsidR="004871C9" w:rsidRPr="006234AA">
        <w:rPr>
          <w:rFonts w:eastAsia="+mn-ea"/>
          <w:lang w:val="nl-NL"/>
        </w:rPr>
        <w:t xml:space="preserve">khi </w:t>
      </w:r>
      <w:r w:rsidR="00D2598E" w:rsidRPr="006234AA">
        <w:rPr>
          <w:rFonts w:eastAsia="+mn-ea"/>
          <w:lang w:val="nl-NL"/>
        </w:rPr>
        <w:t>xét thấy là cần thiết để bảo vệ lợi ích của công chúng đầu tư.</w:t>
      </w:r>
    </w:p>
    <w:p w:rsidR="000423A1" w:rsidRPr="006234AA" w:rsidRDefault="00D2598E" w:rsidP="003C0546">
      <w:pPr>
        <w:spacing w:after="120"/>
        <w:rPr>
          <w:lang w:val="nl-NL"/>
        </w:rPr>
      </w:pPr>
      <w:r w:rsidRPr="006234AA">
        <w:rPr>
          <w:rFonts w:eastAsia="+mn-ea"/>
          <w:lang w:val="nl-NL"/>
        </w:rPr>
        <w:t xml:space="preserve">2. </w:t>
      </w:r>
      <w:r w:rsidR="000423A1" w:rsidRPr="006234AA">
        <w:rPr>
          <w:rFonts w:eastAsia="+mn-ea"/>
          <w:lang w:val="nl-NL"/>
        </w:rPr>
        <w:t xml:space="preserve">Hoạt động bù trừ, thanh toán của thành viên bù trừ </w:t>
      </w:r>
      <w:r w:rsidR="000423A1" w:rsidRPr="006234AA">
        <w:rPr>
          <w:lang w:val="nl-NL"/>
        </w:rPr>
        <w:t>chỉ được khôi phục sau khi nguyên nhân đình chỉ hoạt động đã được khắc phục. Thời gian đình chỉ hoạt động do Trung tâm lưu ký chứng khoán quyết định nhưng bảo đảm:</w:t>
      </w:r>
    </w:p>
    <w:p w:rsidR="000423A1" w:rsidRPr="006234AA" w:rsidRDefault="000423A1" w:rsidP="003C0546">
      <w:pPr>
        <w:spacing w:after="120"/>
        <w:rPr>
          <w:lang w:val="nl-NL"/>
        </w:rPr>
      </w:pPr>
      <w:r w:rsidRPr="006234AA">
        <w:rPr>
          <w:lang w:val="nl-NL"/>
        </w:rPr>
        <w:t>a) Trường hợp quy định tại Điểm a Khoản 1 Điều này: thời hạn đình chỉ hoạt động tối đa không quá 2 năm;</w:t>
      </w:r>
    </w:p>
    <w:p w:rsidR="000423A1" w:rsidRPr="006234AA" w:rsidDel="00731789" w:rsidRDefault="000423A1" w:rsidP="003C0546">
      <w:pPr>
        <w:spacing w:after="120"/>
        <w:rPr>
          <w:lang w:val="nl-NL"/>
        </w:rPr>
      </w:pPr>
      <w:r w:rsidRPr="006234AA">
        <w:rPr>
          <w:lang w:val="nl-NL"/>
        </w:rPr>
        <w:t>b</w:t>
      </w:r>
      <w:r w:rsidRPr="006234AA" w:rsidDel="00731789">
        <w:rPr>
          <w:lang w:val="nl-NL"/>
        </w:rPr>
        <w:t xml:space="preserve">) Trường hợp quy định tại </w:t>
      </w:r>
      <w:r w:rsidRPr="006234AA">
        <w:rPr>
          <w:lang w:val="nl-NL"/>
        </w:rPr>
        <w:t>Đ</w:t>
      </w:r>
      <w:r w:rsidRPr="006234AA" w:rsidDel="00731789">
        <w:rPr>
          <w:lang w:val="nl-NL"/>
        </w:rPr>
        <w:t xml:space="preserve">iểm </w:t>
      </w:r>
      <w:r w:rsidRPr="006234AA">
        <w:rPr>
          <w:lang w:val="nl-NL"/>
        </w:rPr>
        <w:t>b, c K</w:t>
      </w:r>
      <w:r w:rsidRPr="006234AA" w:rsidDel="00731789">
        <w:rPr>
          <w:lang w:val="nl-NL"/>
        </w:rPr>
        <w:t xml:space="preserve">hoản 1 Điều này: </w:t>
      </w:r>
      <w:r w:rsidRPr="006234AA">
        <w:rPr>
          <w:lang w:val="nl-NL"/>
        </w:rPr>
        <w:t>thời hạn đình chỉ tối đa không quá 12</w:t>
      </w:r>
      <w:r w:rsidRPr="006234AA" w:rsidDel="00731789">
        <w:rPr>
          <w:lang w:val="nl-NL"/>
        </w:rPr>
        <w:t xml:space="preserve"> tháng</w:t>
      </w:r>
      <w:r w:rsidRPr="006234AA">
        <w:rPr>
          <w:lang w:val="nl-NL"/>
        </w:rPr>
        <w:t>.</w:t>
      </w:r>
      <w:r w:rsidRPr="006234AA" w:rsidDel="00731789">
        <w:rPr>
          <w:lang w:val="nl-NL"/>
        </w:rPr>
        <w:t xml:space="preserve"> </w:t>
      </w:r>
    </w:p>
    <w:p w:rsidR="000423A1" w:rsidRPr="006234AA" w:rsidRDefault="000423A1" w:rsidP="003C0546">
      <w:pPr>
        <w:spacing w:after="120"/>
        <w:rPr>
          <w:lang w:val="nl-NL"/>
        </w:rPr>
      </w:pPr>
      <w:r w:rsidRPr="006234AA">
        <w:rPr>
          <w:lang w:val="nl-NL"/>
        </w:rPr>
        <w:t>3. Thành viên bù trừ bị chấm dứt tư cách thành viên trong các trường hợp sau:</w:t>
      </w:r>
    </w:p>
    <w:p w:rsidR="000423A1" w:rsidRPr="006234AA" w:rsidRDefault="000423A1" w:rsidP="003C0546">
      <w:pPr>
        <w:spacing w:after="120"/>
        <w:rPr>
          <w:lang w:val="nl-NL"/>
        </w:rPr>
      </w:pPr>
      <w:r w:rsidRPr="006234AA">
        <w:rPr>
          <w:lang w:val="nl-NL"/>
        </w:rPr>
        <w:t xml:space="preserve">a) Tự nguyện chấm dứt tư cách thành viên do tự nguyện chấm dứt hoạt động kinh doanh chứng khoán, hoặc tự nguyện chấm dứt </w:t>
      </w:r>
      <w:r w:rsidR="00992403" w:rsidRPr="006234AA">
        <w:rPr>
          <w:lang w:val="nl-NL"/>
        </w:rPr>
        <w:t>c</w:t>
      </w:r>
      <w:r w:rsidRPr="006234AA">
        <w:rPr>
          <w:lang w:val="nl-NL"/>
        </w:rPr>
        <w:t xml:space="preserve">ung cấp dịch vụ </w:t>
      </w:r>
      <w:r w:rsidR="00992403" w:rsidRPr="006234AA">
        <w:rPr>
          <w:lang w:val="nl-NL"/>
        </w:rPr>
        <w:t xml:space="preserve">bù trừ thanh toán </w:t>
      </w:r>
      <w:r w:rsidRPr="006234AA">
        <w:rPr>
          <w:lang w:val="nl-NL"/>
        </w:rPr>
        <w:t xml:space="preserve">chứng khoán phái sinh; </w:t>
      </w:r>
    </w:p>
    <w:p w:rsidR="000423A1" w:rsidRPr="006234AA" w:rsidRDefault="000423A1" w:rsidP="003C0546">
      <w:pPr>
        <w:spacing w:after="120"/>
        <w:rPr>
          <w:lang w:val="nl-NL"/>
        </w:rPr>
      </w:pPr>
      <w:r w:rsidRPr="006234AA">
        <w:rPr>
          <w:lang w:val="nl-NL"/>
        </w:rPr>
        <w:t>b) Buộc phải chấm dứt tư cách thành viên do:</w:t>
      </w:r>
    </w:p>
    <w:p w:rsidR="000423A1" w:rsidRPr="006234AA" w:rsidRDefault="000423A1" w:rsidP="003C0546">
      <w:pPr>
        <w:spacing w:after="120"/>
        <w:rPr>
          <w:lang w:val="nl-NL"/>
        </w:rPr>
      </w:pPr>
      <w:r w:rsidRPr="006234AA">
        <w:rPr>
          <w:lang w:val="nl-NL"/>
        </w:rPr>
        <w:lastRenderedPageBreak/>
        <w:t>- Không khắc phục được tình trạng bị đình chỉ hoạt động theo quy định tại Khoản 1, Khoản 2 Điều này;</w:t>
      </w:r>
    </w:p>
    <w:p w:rsidR="000423A1" w:rsidRPr="006234AA" w:rsidRDefault="000423A1" w:rsidP="003C0546">
      <w:pPr>
        <w:spacing w:after="120"/>
        <w:rPr>
          <w:lang w:val="nl-NL"/>
        </w:rPr>
      </w:pPr>
      <w:r w:rsidRPr="006234AA">
        <w:rPr>
          <w:lang w:val="nl-NL"/>
        </w:rPr>
        <w:t xml:space="preserve">- Buộc phải chấm dứt hoạt động kinh doanh chứng khoán hoặc chấm dứt </w:t>
      </w:r>
      <w:r w:rsidR="00992403" w:rsidRPr="006234AA">
        <w:rPr>
          <w:lang w:val="nl-NL"/>
        </w:rPr>
        <w:t xml:space="preserve">hoạt động cung cấp dịch vụ bù trừ thanh toán </w:t>
      </w:r>
      <w:r w:rsidRPr="006234AA">
        <w:rPr>
          <w:lang w:val="nl-NL"/>
        </w:rPr>
        <w:t>chứng khoán phái sinh; hoặc bị giải thể, phá sản, bị hợp nhất, bị sáp nhập;</w:t>
      </w:r>
    </w:p>
    <w:p w:rsidR="000423A1" w:rsidRPr="006234AA" w:rsidRDefault="000423A1" w:rsidP="003C0546">
      <w:pPr>
        <w:spacing w:after="120"/>
        <w:rPr>
          <w:lang w:val="nl-NL"/>
        </w:rPr>
      </w:pPr>
      <w:r w:rsidRPr="006234AA">
        <w:rPr>
          <w:lang w:val="nl-NL"/>
        </w:rPr>
        <w:t xml:space="preserve">- Không duy trì được các điều kiện quy định tại khoản 1 Điều </w:t>
      </w:r>
      <w:r w:rsidR="00992403" w:rsidRPr="006234AA">
        <w:rPr>
          <w:lang w:val="nl-NL"/>
        </w:rPr>
        <w:t>42</w:t>
      </w:r>
      <w:r w:rsidRPr="006234AA">
        <w:rPr>
          <w:lang w:val="nl-NL"/>
        </w:rPr>
        <w:t xml:space="preserve"> Thông tư này; </w:t>
      </w:r>
    </w:p>
    <w:p w:rsidR="00D2598E" w:rsidRPr="006234AA" w:rsidRDefault="000423A1" w:rsidP="003C0546">
      <w:pPr>
        <w:spacing w:after="120"/>
        <w:rPr>
          <w:rFonts w:eastAsia="+mn-ea"/>
          <w:lang w:val="nl-NL"/>
        </w:rPr>
      </w:pPr>
      <w:r w:rsidRPr="006234AA">
        <w:rPr>
          <w:lang w:val="nl-NL"/>
        </w:rPr>
        <w:t xml:space="preserve">- Các trường hợp khác theo quy chế của </w:t>
      </w:r>
      <w:r w:rsidR="00992403" w:rsidRPr="006234AA">
        <w:rPr>
          <w:lang w:val="nl-NL"/>
        </w:rPr>
        <w:t xml:space="preserve">Trung tâm Lưu ký </w:t>
      </w:r>
      <w:r w:rsidRPr="006234AA">
        <w:rPr>
          <w:lang w:val="nl-NL"/>
        </w:rPr>
        <w:t>chứng khoán.</w:t>
      </w:r>
    </w:p>
    <w:p w:rsidR="00073FDD" w:rsidRPr="006234AA" w:rsidRDefault="00073FDD" w:rsidP="003C0546">
      <w:pPr>
        <w:spacing w:after="120"/>
        <w:rPr>
          <w:lang w:val="nl-NL"/>
        </w:rPr>
      </w:pPr>
      <w:r w:rsidRPr="006234AA">
        <w:rPr>
          <w:rFonts w:eastAsia="+mn-ea"/>
          <w:lang w:val="nl-NL"/>
        </w:rPr>
        <w:t xml:space="preserve">4. </w:t>
      </w:r>
      <w:r w:rsidR="00300DBC" w:rsidRPr="006234AA">
        <w:rPr>
          <w:lang w:val="nl-NL"/>
        </w:rPr>
        <w:t xml:space="preserve">Thành viên bù trừ bị </w:t>
      </w:r>
      <w:r w:rsidR="004428E0" w:rsidRPr="006234AA">
        <w:rPr>
          <w:lang w:val="nl-NL"/>
        </w:rPr>
        <w:t xml:space="preserve">đình chỉ, </w:t>
      </w:r>
      <w:r w:rsidR="00300DBC" w:rsidRPr="006234AA">
        <w:rPr>
          <w:lang w:val="nl-NL"/>
        </w:rPr>
        <w:t xml:space="preserve">chấm dứt tư cách thành viên có nghĩa vụ thỏa thuận, xác lập thành viên bù trừ thay thế. Trường hợp không thể thực hiện được, Trung tâm Lưu ký chứng khoán Việt Nam có quyền chỉ định thành viên bù trừ thay thế tiếp nhận các quyền, nghĩa vụ của thành viên bù trừ bị đình chỉ, chấm dứt tư cách thành viên. Thành viên bù trừ bị </w:t>
      </w:r>
      <w:r w:rsidR="004428E0" w:rsidRPr="006234AA">
        <w:rPr>
          <w:lang w:val="nl-NL"/>
        </w:rPr>
        <w:t xml:space="preserve">đình chỉ, </w:t>
      </w:r>
      <w:r w:rsidR="00300DBC" w:rsidRPr="006234AA">
        <w:rPr>
          <w:lang w:val="nl-NL"/>
        </w:rPr>
        <w:t>chấm dứt tư cách thành viên có nghĩa vụ chuyển giao toàn bộ tài sản ký quỹ, vị thế mở của khách hàng, cung cấp mọi thông tin cần thiết về khách hàng cho thành viên bù trừ thay thế và tiếp tục thực hiện mọi nghĩa vụ của mình cho tới khi hoàn tất việc bàn giao quyền, nghĩa vụ cho thành viên bù trừ thay thế.</w:t>
      </w:r>
    </w:p>
    <w:p w:rsidR="004428E0" w:rsidRPr="006234AA" w:rsidRDefault="004428E0" w:rsidP="003C0546">
      <w:pPr>
        <w:spacing w:after="120"/>
        <w:rPr>
          <w:lang w:val="nl-NL"/>
        </w:rPr>
      </w:pPr>
      <w:r w:rsidRPr="006234AA">
        <w:rPr>
          <w:rFonts w:eastAsia="+mn-ea"/>
          <w:lang w:val="nl-NL"/>
        </w:rPr>
        <w:t xml:space="preserve">5. </w:t>
      </w:r>
      <w:r w:rsidRPr="006234AA">
        <w:rPr>
          <w:lang w:val="nl-NL"/>
        </w:rPr>
        <w:t>Sau khi có văn bản của Trung tâm Lưu ký chứng khoán đình chỉ hoạt động bù trừ, thanh toán, thành viên bù trừ có trách nhiệm:</w:t>
      </w:r>
    </w:p>
    <w:p w:rsidR="004428E0" w:rsidRPr="006234AA" w:rsidRDefault="004428E0" w:rsidP="003C0546">
      <w:pPr>
        <w:spacing w:after="120"/>
        <w:rPr>
          <w:lang w:val="nl-NL"/>
        </w:rPr>
      </w:pPr>
      <w:r w:rsidRPr="006234AA">
        <w:rPr>
          <w:lang w:val="nl-NL"/>
        </w:rPr>
        <w:t>a) Trong vòng 24 giờ, công bố thông tin về việc bị đình chi hoạt động, thời điểm và thời hạn bị đình chỉ trên trang thông tin điện tử của thành viên bù trừ, Sở giao dịch chứng khoán, Trung tâm Lưu ký chứng khoán và Ủy ban Chứng khoán Nhà nước;</w:t>
      </w:r>
    </w:p>
    <w:p w:rsidR="004428E0" w:rsidRPr="006234AA" w:rsidRDefault="004428E0" w:rsidP="003C0546">
      <w:pPr>
        <w:spacing w:after="120"/>
        <w:rPr>
          <w:rFonts w:eastAsia="+mn-ea"/>
          <w:lang w:val="nl-NL"/>
        </w:rPr>
      </w:pPr>
      <w:r w:rsidRPr="006234AA">
        <w:rPr>
          <w:lang w:val="nl-NL"/>
        </w:rPr>
        <w:t xml:space="preserve">b) </w:t>
      </w:r>
      <w:r w:rsidRPr="006234AA">
        <w:rPr>
          <w:rFonts w:eastAsia="+mn-ea"/>
          <w:lang w:val="nl-NL"/>
        </w:rPr>
        <w:t>Trong thời gian bị đình chỉ hoạt động, thành viên bù trừ bị hạn chế hoạt động bù trừ, thanh toán theo nguyên tắc sau:</w:t>
      </w:r>
    </w:p>
    <w:p w:rsidR="004428E0" w:rsidRPr="006234AA" w:rsidRDefault="004428E0" w:rsidP="003C0546">
      <w:pPr>
        <w:spacing w:after="120"/>
        <w:rPr>
          <w:rFonts w:eastAsia="+mn-ea"/>
          <w:lang w:val="nl-NL"/>
        </w:rPr>
      </w:pPr>
      <w:r w:rsidRPr="006234AA">
        <w:rPr>
          <w:rFonts w:eastAsia="+mn-ea"/>
          <w:lang w:val="nl-NL"/>
        </w:rPr>
        <w:t>- Thanh lý hợp đồng ủy thác bù trừ, thanh toán với thành viên không bù trừ (nếu có yêu cầu);</w:t>
      </w:r>
    </w:p>
    <w:p w:rsidR="000B24DB" w:rsidRPr="006234AA" w:rsidRDefault="004428E0" w:rsidP="003C0546">
      <w:pPr>
        <w:spacing w:after="120"/>
        <w:rPr>
          <w:rFonts w:eastAsia="+mn-ea"/>
          <w:lang w:val="nl-NL"/>
        </w:rPr>
      </w:pPr>
      <w:r w:rsidRPr="006234AA">
        <w:rPr>
          <w:rFonts w:eastAsia="+mn-ea"/>
          <w:lang w:val="nl-NL"/>
        </w:rPr>
        <w:t>- Không được mở vị thế mới</w:t>
      </w:r>
      <w:r w:rsidR="000B24DB" w:rsidRPr="006234AA">
        <w:rPr>
          <w:rFonts w:eastAsia="+mn-ea"/>
          <w:lang w:val="nl-NL"/>
        </w:rPr>
        <w:t>;</w:t>
      </w:r>
      <w:r w:rsidRPr="006234AA">
        <w:rPr>
          <w:rFonts w:eastAsia="+mn-ea"/>
          <w:lang w:val="nl-NL"/>
        </w:rPr>
        <w:t xml:space="preserve"> </w:t>
      </w:r>
      <w:r w:rsidR="000B24DB" w:rsidRPr="006234AA">
        <w:rPr>
          <w:rFonts w:eastAsia="+mn-ea"/>
          <w:lang w:val="nl-NL"/>
        </w:rPr>
        <w:t>chỉ được thực hiện</w:t>
      </w:r>
      <w:r w:rsidRPr="006234AA">
        <w:rPr>
          <w:rFonts w:eastAsia="+mn-ea"/>
          <w:lang w:val="nl-NL"/>
        </w:rPr>
        <w:t xml:space="preserve"> các giao dịch để đóng vị thế của mình và của khách hàng</w:t>
      </w:r>
      <w:r w:rsidR="000B24DB" w:rsidRPr="006234AA">
        <w:rPr>
          <w:rFonts w:eastAsia="+mn-ea"/>
          <w:lang w:val="nl-NL"/>
        </w:rPr>
        <w:t>;</w:t>
      </w:r>
      <w:r w:rsidRPr="006234AA">
        <w:rPr>
          <w:rFonts w:eastAsia="+mn-ea"/>
          <w:lang w:val="nl-NL"/>
        </w:rPr>
        <w:t xml:space="preserve"> </w:t>
      </w:r>
    </w:p>
    <w:p w:rsidR="004428E0" w:rsidRPr="006234AA" w:rsidRDefault="000B24DB" w:rsidP="003C0546">
      <w:pPr>
        <w:spacing w:after="120"/>
        <w:rPr>
          <w:rFonts w:eastAsia="+mn-ea"/>
          <w:lang w:val="nl-NL"/>
        </w:rPr>
      </w:pPr>
      <w:r w:rsidRPr="006234AA">
        <w:rPr>
          <w:rFonts w:eastAsia="+mn-ea"/>
          <w:lang w:val="nl-NL"/>
        </w:rPr>
        <w:t>- C</w:t>
      </w:r>
      <w:r w:rsidR="004428E0" w:rsidRPr="006234AA">
        <w:rPr>
          <w:rFonts w:eastAsia="+mn-ea"/>
          <w:lang w:val="nl-NL"/>
        </w:rPr>
        <w:t xml:space="preserve">huyển vị thế </w:t>
      </w:r>
      <w:r w:rsidRPr="006234AA">
        <w:rPr>
          <w:rFonts w:eastAsia="+mn-ea"/>
          <w:lang w:val="nl-NL"/>
        </w:rPr>
        <w:t xml:space="preserve">giao dịch </w:t>
      </w:r>
      <w:r w:rsidR="004428E0" w:rsidRPr="006234AA">
        <w:rPr>
          <w:rFonts w:eastAsia="+mn-ea"/>
          <w:lang w:val="nl-NL"/>
        </w:rPr>
        <w:t xml:space="preserve">và tài khoản ký quỹ của khách hàng sang thành viên thay thế theo yêu cầu của khách hàng hoặc theo yêu cầu của Sở giao dịch chứng khoán, Trung tâm lưu ký chứng khoán. </w:t>
      </w:r>
    </w:p>
    <w:p w:rsidR="004428E0" w:rsidRPr="006234AA" w:rsidRDefault="004428E0" w:rsidP="003C0546">
      <w:pPr>
        <w:spacing w:after="120"/>
        <w:rPr>
          <w:rFonts w:eastAsia="+mn-ea"/>
          <w:lang w:val="nl-NL"/>
        </w:rPr>
      </w:pPr>
      <w:r w:rsidRPr="006234AA">
        <w:rPr>
          <w:rFonts w:eastAsia="+mn-ea"/>
          <w:lang w:val="nl-NL"/>
        </w:rPr>
        <w:t>- Thanh toán khoản phí và chi phí liên quan trong thời gian bị đình chỉ hoạt động;</w:t>
      </w:r>
    </w:p>
    <w:p w:rsidR="004428E0" w:rsidRPr="006234AA" w:rsidRDefault="004428E0" w:rsidP="003C0546">
      <w:pPr>
        <w:spacing w:after="120"/>
        <w:rPr>
          <w:rFonts w:eastAsia="+mn-ea"/>
          <w:lang w:val="nl-NL"/>
        </w:rPr>
      </w:pPr>
      <w:r w:rsidRPr="006234AA">
        <w:rPr>
          <w:rFonts w:eastAsia="+mn-ea"/>
          <w:lang w:val="nl-NL"/>
        </w:rPr>
        <w:t>d) Thành viên bù trừ không phải đóng góp bổ sung vào Quỹ bù trừ trong thời gian bị đình chỉ hoạt động;</w:t>
      </w:r>
    </w:p>
    <w:p w:rsidR="004428E0" w:rsidRPr="006234AA" w:rsidRDefault="004428E0" w:rsidP="003C0546">
      <w:pPr>
        <w:spacing w:after="120"/>
        <w:rPr>
          <w:rFonts w:eastAsia="+mn-ea"/>
          <w:lang w:val="nl-NL"/>
        </w:rPr>
      </w:pPr>
      <w:r w:rsidRPr="006234AA">
        <w:rPr>
          <w:rFonts w:eastAsia="+mn-ea"/>
          <w:lang w:val="nl-NL"/>
        </w:rPr>
        <w:t>đ) Thực hiện các hoạt động khác theo yêu cầu của Trung tâm lưu ký chứng khoán.</w:t>
      </w:r>
    </w:p>
    <w:p w:rsidR="00073FDD" w:rsidRPr="006234AA" w:rsidRDefault="000B24DB" w:rsidP="003C0546">
      <w:pPr>
        <w:spacing w:after="120"/>
        <w:rPr>
          <w:lang w:val="nl-NL"/>
        </w:rPr>
      </w:pPr>
      <w:r w:rsidRPr="006234AA">
        <w:rPr>
          <w:lang w:val="nl-NL"/>
        </w:rPr>
        <w:lastRenderedPageBreak/>
        <w:t>6</w:t>
      </w:r>
      <w:r w:rsidR="00073FDD" w:rsidRPr="006234AA">
        <w:rPr>
          <w:lang w:val="nl-NL"/>
        </w:rPr>
        <w:t xml:space="preserve">. Sau khi có văn bản của </w:t>
      </w:r>
      <w:r w:rsidR="00300DBC" w:rsidRPr="006234AA">
        <w:rPr>
          <w:lang w:val="nl-NL"/>
        </w:rPr>
        <w:t>Trung tâm Lưu ký chứng khoán</w:t>
      </w:r>
      <w:r w:rsidR="00073FDD" w:rsidRPr="006234AA">
        <w:rPr>
          <w:lang w:val="nl-NL"/>
        </w:rPr>
        <w:t xml:space="preserve"> chấp thuận nguyên tắc hoặc yêu cầu chấm dứt </w:t>
      </w:r>
      <w:r w:rsidR="00300DBC" w:rsidRPr="006234AA">
        <w:rPr>
          <w:lang w:val="nl-NL"/>
        </w:rPr>
        <w:t>hoạt động bù trừ, thanh toán</w:t>
      </w:r>
      <w:r w:rsidR="00073FDD" w:rsidRPr="006234AA">
        <w:rPr>
          <w:lang w:val="nl-NL"/>
        </w:rPr>
        <w:t xml:space="preserve">, thành viên </w:t>
      </w:r>
      <w:r w:rsidR="00300DBC" w:rsidRPr="006234AA">
        <w:rPr>
          <w:lang w:val="nl-NL"/>
        </w:rPr>
        <w:t>bù trừ</w:t>
      </w:r>
      <w:r w:rsidR="00073FDD" w:rsidRPr="006234AA">
        <w:rPr>
          <w:lang w:val="nl-NL"/>
        </w:rPr>
        <w:t xml:space="preserve"> có trách nhiệm:</w:t>
      </w:r>
    </w:p>
    <w:p w:rsidR="00073FDD" w:rsidRPr="006234AA" w:rsidRDefault="00073FDD" w:rsidP="003C0546">
      <w:pPr>
        <w:spacing w:after="120"/>
        <w:rPr>
          <w:lang w:val="nl-NL"/>
        </w:rPr>
      </w:pPr>
      <w:r w:rsidRPr="006234AA">
        <w:rPr>
          <w:lang w:val="nl-NL"/>
        </w:rPr>
        <w:t xml:space="preserve">a) Trong vòng 24 giờ, công bố thông tin về việc chấm dứt tư cách thành viên, thời điểm và kế hoạch thực hiện trên trang thông tin điện tử của thành viên </w:t>
      </w:r>
      <w:r w:rsidR="00300DBC" w:rsidRPr="006234AA">
        <w:rPr>
          <w:lang w:val="nl-NL"/>
        </w:rPr>
        <w:t>bù trừ</w:t>
      </w:r>
      <w:r w:rsidRPr="006234AA">
        <w:rPr>
          <w:lang w:val="nl-NL"/>
        </w:rPr>
        <w:t xml:space="preserve">, Sở giao dịch chứng khoán, </w:t>
      </w:r>
      <w:r w:rsidR="00300DBC" w:rsidRPr="006234AA">
        <w:rPr>
          <w:lang w:val="nl-NL"/>
        </w:rPr>
        <w:t xml:space="preserve">Trung tâm Lưu ký chứng khoán và </w:t>
      </w:r>
      <w:r w:rsidRPr="006234AA">
        <w:rPr>
          <w:lang w:val="nl-NL"/>
        </w:rPr>
        <w:t xml:space="preserve">Ủy ban Chứng khoán Nhà nước; </w:t>
      </w:r>
    </w:p>
    <w:p w:rsidR="00073FDD" w:rsidRPr="006234AA" w:rsidRDefault="00073FDD" w:rsidP="003C0546">
      <w:pPr>
        <w:spacing w:after="120"/>
        <w:rPr>
          <w:lang w:val="nl-NL"/>
        </w:rPr>
      </w:pPr>
      <w:r w:rsidRPr="006234AA">
        <w:rPr>
          <w:lang w:val="nl-NL"/>
        </w:rPr>
        <w:t xml:space="preserve">b) Ngừng ký mới hợp đồng </w:t>
      </w:r>
      <w:r w:rsidR="00300DBC" w:rsidRPr="006234AA">
        <w:rPr>
          <w:lang w:val="nl-NL"/>
        </w:rPr>
        <w:t>ủy thác bù trừ, thanh toán</w:t>
      </w:r>
      <w:r w:rsidRPr="006234AA">
        <w:rPr>
          <w:lang w:val="nl-NL"/>
        </w:rPr>
        <w:t xml:space="preserve"> chứng khoán phái sinh và các hợp đồng liên quan tới </w:t>
      </w:r>
      <w:r w:rsidR="00300DBC" w:rsidRPr="006234AA">
        <w:rPr>
          <w:lang w:val="nl-NL"/>
        </w:rPr>
        <w:t xml:space="preserve">dịch vụ bù trừ thanh toán </w:t>
      </w:r>
      <w:r w:rsidRPr="006234AA">
        <w:rPr>
          <w:lang w:val="nl-NL"/>
        </w:rPr>
        <w:t xml:space="preserve">chứng khoán phái sinh; thỏa thuận, xác lập thành viên </w:t>
      </w:r>
      <w:r w:rsidR="00300DBC" w:rsidRPr="006234AA">
        <w:rPr>
          <w:lang w:val="nl-NL"/>
        </w:rPr>
        <w:t>bù trừ</w:t>
      </w:r>
      <w:r w:rsidRPr="006234AA">
        <w:rPr>
          <w:lang w:val="nl-NL"/>
        </w:rPr>
        <w:t xml:space="preserve"> thay thế để tiếp nhận quyền, nghĩa vụ đối với khách hàng;</w:t>
      </w:r>
    </w:p>
    <w:p w:rsidR="00073FDD" w:rsidRPr="006234AA" w:rsidRDefault="00073FDD" w:rsidP="003C0546">
      <w:pPr>
        <w:spacing w:after="120"/>
        <w:rPr>
          <w:lang w:val="nl-NL"/>
        </w:rPr>
      </w:pPr>
      <w:r w:rsidRPr="006234AA">
        <w:rPr>
          <w:lang w:val="nl-NL"/>
        </w:rPr>
        <w:t xml:space="preserve">c) Lập phương án xử lý các tài khoản </w:t>
      </w:r>
      <w:r w:rsidR="00300DBC" w:rsidRPr="006234AA">
        <w:rPr>
          <w:lang w:val="nl-NL"/>
        </w:rPr>
        <w:t>ký quỹ</w:t>
      </w:r>
      <w:r w:rsidRPr="006234AA">
        <w:rPr>
          <w:lang w:val="nl-NL"/>
        </w:rPr>
        <w:t xml:space="preserve"> của khách hàng với các nội dung phù hợp với quy định tại Điểm b Khoản 9 Điều 29 Thông tư này;</w:t>
      </w:r>
    </w:p>
    <w:p w:rsidR="00073FDD" w:rsidRPr="006234AA" w:rsidRDefault="00073FDD" w:rsidP="003C0546">
      <w:pPr>
        <w:spacing w:after="120"/>
        <w:rPr>
          <w:lang w:val="nl-NL"/>
        </w:rPr>
      </w:pPr>
      <w:r w:rsidRPr="006234AA">
        <w:rPr>
          <w:lang w:val="nl-NL"/>
        </w:rPr>
        <w:t>d) Thực hiện các hoạt động có liên quan theo quy định tại Điểm b, c, d Khoản 10 Điều 29</w:t>
      </w:r>
      <w:r w:rsidR="00AB2A67" w:rsidRPr="006234AA">
        <w:rPr>
          <w:lang w:val="nl-NL"/>
        </w:rPr>
        <w:t>, Khoản 5 Điều 34</w:t>
      </w:r>
      <w:r w:rsidRPr="006234AA">
        <w:rPr>
          <w:lang w:val="nl-NL"/>
        </w:rPr>
        <w:t xml:space="preserve"> Thông tư này.</w:t>
      </w:r>
    </w:p>
    <w:p w:rsidR="00073FDD" w:rsidRPr="006234AA" w:rsidRDefault="000B24DB" w:rsidP="003C0546">
      <w:pPr>
        <w:spacing w:after="120"/>
        <w:rPr>
          <w:lang w:val="nl-NL"/>
        </w:rPr>
      </w:pPr>
      <w:r w:rsidRPr="006234AA">
        <w:rPr>
          <w:lang w:val="nl-NL"/>
        </w:rPr>
        <w:t>7</w:t>
      </w:r>
      <w:r w:rsidR="00073FDD" w:rsidRPr="006234AA">
        <w:rPr>
          <w:lang w:val="nl-NL"/>
        </w:rPr>
        <w:t xml:space="preserve">. Trình tự, thủ tục, hồ sơ chấm dứt tư cách thành viên thực hiện theo quy chế của </w:t>
      </w:r>
      <w:r w:rsidR="00AB2A67" w:rsidRPr="006234AA">
        <w:rPr>
          <w:lang w:val="nl-NL"/>
        </w:rPr>
        <w:t>Trung tâm Lưu ký chứng khoán</w:t>
      </w:r>
      <w:r w:rsidR="00073FDD" w:rsidRPr="006234AA">
        <w:rPr>
          <w:lang w:val="nl-NL"/>
        </w:rPr>
        <w:t>.</w:t>
      </w:r>
    </w:p>
    <w:p w:rsidR="00D2598E" w:rsidRPr="006234AA" w:rsidRDefault="000B24DB" w:rsidP="003C0546">
      <w:pPr>
        <w:spacing w:after="120"/>
        <w:rPr>
          <w:lang w:val="nl-NL"/>
        </w:rPr>
      </w:pPr>
      <w:r w:rsidRPr="006234AA">
        <w:rPr>
          <w:lang w:val="nl-NL"/>
        </w:rPr>
        <w:t>8</w:t>
      </w:r>
      <w:r w:rsidR="00D2598E" w:rsidRPr="006234AA">
        <w:rPr>
          <w:lang w:val="nl-NL"/>
        </w:rPr>
        <w:t xml:space="preserve">. </w:t>
      </w:r>
      <w:r w:rsidR="008573AD" w:rsidRPr="006234AA">
        <w:rPr>
          <w:lang w:val="nl-NL"/>
        </w:rPr>
        <w:t>Trung tâm lưu ký chứng khoán</w:t>
      </w:r>
      <w:r w:rsidR="00D2598E" w:rsidRPr="006234AA">
        <w:rPr>
          <w:lang w:val="nl-NL"/>
        </w:rPr>
        <w:t xml:space="preserve"> chỉ </w:t>
      </w:r>
      <w:r w:rsidR="00493760" w:rsidRPr="006234AA">
        <w:rPr>
          <w:lang w:val="nl-NL"/>
        </w:rPr>
        <w:t>được</w:t>
      </w:r>
      <w:r w:rsidR="00D2598E" w:rsidRPr="006234AA">
        <w:rPr>
          <w:lang w:val="nl-NL"/>
        </w:rPr>
        <w:t xml:space="preserve"> chấm dứt tư cách thành viên khi thành viên đó đáp ứng đầy đủ các điều kiện sau:</w:t>
      </w:r>
    </w:p>
    <w:p w:rsidR="00F45FC9" w:rsidRPr="006234AA" w:rsidRDefault="00D2598E" w:rsidP="003C0546">
      <w:pPr>
        <w:spacing w:after="120"/>
        <w:rPr>
          <w:lang w:val="nl-NL"/>
        </w:rPr>
      </w:pPr>
      <w:r w:rsidRPr="006234AA">
        <w:rPr>
          <w:lang w:val="nl-NL"/>
        </w:rPr>
        <w:t xml:space="preserve">a) Tất cả các </w:t>
      </w:r>
      <w:r w:rsidR="00F45FC9" w:rsidRPr="006234AA">
        <w:rPr>
          <w:lang w:val="nl-NL"/>
        </w:rPr>
        <w:t xml:space="preserve">vị thế </w:t>
      </w:r>
      <w:r w:rsidRPr="006234AA">
        <w:rPr>
          <w:lang w:val="nl-NL"/>
        </w:rPr>
        <w:t xml:space="preserve">mở </w:t>
      </w:r>
      <w:r w:rsidR="00F45FC9" w:rsidRPr="006234AA">
        <w:rPr>
          <w:lang w:val="nl-NL"/>
        </w:rPr>
        <w:t xml:space="preserve">đứng tên </w:t>
      </w:r>
      <w:r w:rsidRPr="006234AA">
        <w:rPr>
          <w:lang w:val="nl-NL"/>
        </w:rPr>
        <w:t>thành viên bù trừ đều đã được đóng hoặc được thanh lý</w:t>
      </w:r>
      <w:r w:rsidR="00F45FC9" w:rsidRPr="006234AA">
        <w:rPr>
          <w:lang w:val="nl-NL"/>
        </w:rPr>
        <w:t>;</w:t>
      </w:r>
      <w:r w:rsidRPr="006234AA">
        <w:rPr>
          <w:lang w:val="nl-NL"/>
        </w:rPr>
        <w:t xml:space="preserve"> </w:t>
      </w:r>
    </w:p>
    <w:p w:rsidR="00D2598E" w:rsidRPr="006234AA" w:rsidRDefault="00F45FC9" w:rsidP="003C0546">
      <w:pPr>
        <w:spacing w:after="120"/>
        <w:rPr>
          <w:lang w:val="nl-NL"/>
        </w:rPr>
      </w:pPr>
      <w:r w:rsidRPr="006234AA">
        <w:rPr>
          <w:lang w:val="nl-NL"/>
        </w:rPr>
        <w:t>b) T</w:t>
      </w:r>
      <w:r w:rsidR="00D2598E" w:rsidRPr="006234AA">
        <w:rPr>
          <w:lang w:val="nl-NL"/>
        </w:rPr>
        <w:t xml:space="preserve">ài khoản và tài sản </w:t>
      </w:r>
      <w:r w:rsidRPr="006234AA">
        <w:rPr>
          <w:lang w:val="nl-NL"/>
        </w:rPr>
        <w:t xml:space="preserve">ký quỹ </w:t>
      </w:r>
      <w:r w:rsidR="00D2598E" w:rsidRPr="006234AA">
        <w:rPr>
          <w:lang w:val="nl-NL"/>
        </w:rPr>
        <w:t xml:space="preserve">của khách hàng </w:t>
      </w:r>
      <w:r w:rsidRPr="006234AA">
        <w:rPr>
          <w:lang w:val="nl-NL"/>
        </w:rPr>
        <w:t xml:space="preserve">đã </w:t>
      </w:r>
      <w:r w:rsidR="00D2598E" w:rsidRPr="006234AA">
        <w:rPr>
          <w:lang w:val="nl-NL"/>
        </w:rPr>
        <w:t>được bàn giao đầy đủ cho thành viên thay thế;</w:t>
      </w:r>
    </w:p>
    <w:p w:rsidR="00D2598E" w:rsidRPr="006234AA" w:rsidRDefault="00F326EC" w:rsidP="003C0546">
      <w:pPr>
        <w:spacing w:after="120"/>
        <w:rPr>
          <w:lang w:val="nl-NL"/>
        </w:rPr>
      </w:pPr>
      <w:r w:rsidRPr="006234AA">
        <w:rPr>
          <w:lang w:val="nl-NL"/>
        </w:rPr>
        <w:t>c</w:t>
      </w:r>
      <w:r w:rsidR="00D2598E" w:rsidRPr="006234AA">
        <w:rPr>
          <w:lang w:val="nl-NL"/>
        </w:rPr>
        <w:t xml:space="preserve">) Thành viên bù trừ đã thanh toán đầy đủ mọi nghĩa vụ tài chính, pháp lý đối với </w:t>
      </w:r>
      <w:r w:rsidR="008573AD" w:rsidRPr="006234AA">
        <w:rPr>
          <w:lang w:val="nl-NL"/>
        </w:rPr>
        <w:t>Trung tâm lưu ký chứng khoán</w:t>
      </w:r>
      <w:r w:rsidR="000B24DB" w:rsidRPr="006234AA">
        <w:rPr>
          <w:lang w:val="nl-NL"/>
        </w:rPr>
        <w:t>.</w:t>
      </w:r>
    </w:p>
    <w:p w:rsidR="00D2598E" w:rsidRPr="006234AA" w:rsidRDefault="000B24DB" w:rsidP="003C0546">
      <w:pPr>
        <w:spacing w:after="120"/>
        <w:rPr>
          <w:lang w:val="nl-NL"/>
        </w:rPr>
      </w:pPr>
      <w:r w:rsidRPr="006234AA">
        <w:rPr>
          <w:lang w:val="nl-NL"/>
        </w:rPr>
        <w:t>9</w:t>
      </w:r>
      <w:r w:rsidR="00D2598E" w:rsidRPr="006234AA">
        <w:rPr>
          <w:lang w:val="nl-NL"/>
        </w:rPr>
        <w:t xml:space="preserve">. Trong </w:t>
      </w:r>
      <w:r w:rsidR="007C3706" w:rsidRPr="006234AA">
        <w:rPr>
          <w:lang w:val="nl-NL"/>
        </w:rPr>
        <w:t>thời hạn</w:t>
      </w:r>
      <w:r w:rsidR="00D2598E" w:rsidRPr="006234AA">
        <w:rPr>
          <w:lang w:val="nl-NL"/>
        </w:rPr>
        <w:t xml:space="preserve"> năm (05) ngày làm việc, kể từ ngày ban hành quyết định chấm dứt tư cách thành viên, </w:t>
      </w:r>
      <w:r w:rsidR="008573AD" w:rsidRPr="006234AA">
        <w:rPr>
          <w:lang w:val="nl-NL"/>
        </w:rPr>
        <w:t>Trung tâm lưu ký chứng khoán</w:t>
      </w:r>
      <w:r w:rsidR="00D2598E" w:rsidRPr="006234AA">
        <w:rPr>
          <w:lang w:val="nl-NL"/>
        </w:rPr>
        <w:t xml:space="preserve"> </w:t>
      </w:r>
      <w:r w:rsidR="006E481D" w:rsidRPr="006234AA">
        <w:rPr>
          <w:lang w:val="nl-NL"/>
        </w:rPr>
        <w:t>hoàn trả thành viên bù trừ phần tài sản ký quỹ và khoản đóng góp vào Quỹ bù trừ còn dư, sau khi đã trừ các khoản phí, lệ phí, nghĩa vụ tài chính mà thành viên đã hoàn tất hoặc còn chưa thực hiện theo quy định của pháp luật liên quan</w:t>
      </w:r>
      <w:r w:rsidR="00D2598E" w:rsidRPr="006234AA">
        <w:rPr>
          <w:lang w:val="nl-NL"/>
        </w:rPr>
        <w:t>.</w:t>
      </w:r>
    </w:p>
    <w:p w:rsidR="008C3975" w:rsidRPr="006234AA" w:rsidRDefault="008C3975" w:rsidP="003C0546">
      <w:pPr>
        <w:spacing w:after="120"/>
        <w:ind w:firstLine="0"/>
        <w:rPr>
          <w:lang w:val="nl-NL"/>
        </w:rPr>
      </w:pPr>
    </w:p>
    <w:p w:rsidR="008C3975" w:rsidRPr="006234AA" w:rsidRDefault="00A25B28" w:rsidP="003C0546">
      <w:pPr>
        <w:pStyle w:val="Heading2"/>
        <w:spacing w:after="120"/>
      </w:pPr>
      <w:bookmarkStart w:id="172" w:name="_Toc397003379"/>
      <w:bookmarkStart w:id="173" w:name="_Toc422671997"/>
      <w:r w:rsidRPr="006234AA">
        <w:t>Mục 2</w:t>
      </w:r>
      <w:bookmarkEnd w:id="172"/>
      <w:bookmarkEnd w:id="173"/>
    </w:p>
    <w:p w:rsidR="008C3975" w:rsidRPr="006234AA" w:rsidRDefault="00A33995" w:rsidP="003C0546">
      <w:pPr>
        <w:pStyle w:val="Heading2"/>
        <w:spacing w:after="120"/>
      </w:pPr>
      <w:bookmarkStart w:id="174" w:name="_Toc422671998"/>
      <w:r w:rsidRPr="006234AA">
        <w:t>HOẠT ĐỘNG NGHIỆP VỤ GIAO DỊCH, BÙ TRỪ, THANH TOÁN</w:t>
      </w:r>
      <w:bookmarkEnd w:id="174"/>
    </w:p>
    <w:p w:rsidR="00B614BC" w:rsidRPr="006234AA" w:rsidRDefault="00B614BC" w:rsidP="003C0546">
      <w:pPr>
        <w:pStyle w:val="Heading4"/>
        <w:spacing w:after="120"/>
        <w:ind w:left="0" w:firstLine="851"/>
      </w:pPr>
      <w:bookmarkStart w:id="175" w:name="_Toc397003388"/>
      <w:bookmarkStart w:id="176" w:name="_Toc422671999"/>
      <w:bookmarkStart w:id="177" w:name="_Toc397003381"/>
      <w:bookmarkStart w:id="178" w:name="_Toc385602468"/>
      <w:r w:rsidRPr="006234AA">
        <w:t>Nguyên tắc bù trừ, thanh toán</w:t>
      </w:r>
      <w:bookmarkEnd w:id="175"/>
      <w:r w:rsidRPr="006234AA">
        <w:t xml:space="preserve"> giao dịch chứng khoán phái sinh</w:t>
      </w:r>
      <w:bookmarkEnd w:id="176"/>
    </w:p>
    <w:p w:rsidR="00B614BC" w:rsidRPr="006234AA" w:rsidRDefault="00B614BC" w:rsidP="003C0546">
      <w:pPr>
        <w:pStyle w:val="ListParagraph"/>
        <w:numPr>
          <w:ilvl w:val="3"/>
          <w:numId w:val="2"/>
        </w:numPr>
        <w:tabs>
          <w:tab w:val="left" w:pos="1134"/>
        </w:tabs>
        <w:spacing w:after="120"/>
        <w:ind w:left="0" w:firstLine="708"/>
      </w:pPr>
      <w:r w:rsidRPr="006234AA">
        <w:rPr>
          <w:spacing w:val="-1"/>
        </w:rPr>
        <w:t>T</w:t>
      </w:r>
      <w:r w:rsidRPr="006234AA">
        <w:t>r</w:t>
      </w:r>
      <w:r w:rsidRPr="006234AA">
        <w:rPr>
          <w:spacing w:val="1"/>
        </w:rPr>
        <w:t>u</w:t>
      </w:r>
      <w:r w:rsidRPr="006234AA">
        <w:rPr>
          <w:spacing w:val="-1"/>
        </w:rPr>
        <w:t>n</w:t>
      </w:r>
      <w:r w:rsidRPr="006234AA">
        <w:t>g</w:t>
      </w:r>
      <w:r w:rsidRPr="006234AA">
        <w:rPr>
          <w:spacing w:val="1"/>
        </w:rPr>
        <w:t xml:space="preserve"> t</w:t>
      </w:r>
      <w:r w:rsidRPr="006234AA">
        <w:t>âm</w:t>
      </w:r>
      <w:r w:rsidRPr="006234AA">
        <w:rPr>
          <w:spacing w:val="-5"/>
        </w:rPr>
        <w:t xml:space="preserve"> </w:t>
      </w:r>
      <w:r w:rsidRPr="006234AA">
        <w:rPr>
          <w:spacing w:val="1"/>
        </w:rPr>
        <w:t>L</w:t>
      </w:r>
      <w:r w:rsidRPr="006234AA">
        <w:rPr>
          <w:spacing w:val="-1"/>
        </w:rPr>
        <w:t>ư</w:t>
      </w:r>
      <w:r w:rsidRPr="006234AA">
        <w:t>u</w:t>
      </w:r>
      <w:r w:rsidRPr="006234AA">
        <w:rPr>
          <w:spacing w:val="1"/>
        </w:rPr>
        <w:t xml:space="preserve"> k</w:t>
      </w:r>
      <w:r w:rsidRPr="006234AA">
        <w:t>ý</w:t>
      </w:r>
      <w:r w:rsidRPr="006234AA">
        <w:rPr>
          <w:spacing w:val="1"/>
        </w:rPr>
        <w:t xml:space="preserve"> </w:t>
      </w:r>
      <w:r w:rsidRPr="006234AA">
        <w:t>c</w:t>
      </w:r>
      <w:r w:rsidRPr="006234AA">
        <w:rPr>
          <w:spacing w:val="-1"/>
        </w:rPr>
        <w:t>hứ</w:t>
      </w:r>
      <w:r w:rsidRPr="006234AA">
        <w:rPr>
          <w:spacing w:val="1"/>
        </w:rPr>
        <w:t>n</w:t>
      </w:r>
      <w:r w:rsidRPr="006234AA">
        <w:t>g</w:t>
      </w:r>
      <w:r w:rsidRPr="006234AA">
        <w:rPr>
          <w:spacing w:val="1"/>
        </w:rPr>
        <w:t xml:space="preserve"> </w:t>
      </w:r>
      <w:r w:rsidRPr="006234AA">
        <w:rPr>
          <w:spacing w:val="-1"/>
        </w:rPr>
        <w:t>kh</w:t>
      </w:r>
      <w:r w:rsidRPr="006234AA">
        <w:rPr>
          <w:spacing w:val="1"/>
        </w:rPr>
        <w:t>o</w:t>
      </w:r>
      <w:r w:rsidRPr="006234AA">
        <w:t>án</w:t>
      </w:r>
      <w:r w:rsidRPr="006234AA">
        <w:rPr>
          <w:spacing w:val="1"/>
        </w:rPr>
        <w:t xml:space="preserve"> </w:t>
      </w:r>
      <w:r w:rsidRPr="006234AA">
        <w:rPr>
          <w:spacing w:val="-1"/>
        </w:rPr>
        <w:t>Vi</w:t>
      </w:r>
      <w:r w:rsidRPr="006234AA">
        <w:t>ệt</w:t>
      </w:r>
      <w:r w:rsidRPr="006234AA">
        <w:rPr>
          <w:spacing w:val="1"/>
        </w:rPr>
        <w:t xml:space="preserve"> </w:t>
      </w:r>
      <w:r w:rsidRPr="006234AA">
        <w:rPr>
          <w:spacing w:val="-1"/>
        </w:rPr>
        <w:t>N</w:t>
      </w:r>
      <w:r w:rsidRPr="006234AA">
        <w:t xml:space="preserve">am là tổ chức duy nhất được </w:t>
      </w:r>
      <w:r w:rsidRPr="006234AA">
        <w:rPr>
          <w:spacing w:val="1"/>
        </w:rPr>
        <w:t>thực hiện</w:t>
      </w:r>
      <w:r w:rsidRPr="006234AA">
        <w:rPr>
          <w:spacing w:val="3"/>
        </w:rPr>
        <w:t xml:space="preserve"> </w:t>
      </w:r>
      <w:r w:rsidRPr="006234AA">
        <w:rPr>
          <w:spacing w:val="1"/>
        </w:rPr>
        <w:t>h</w:t>
      </w:r>
      <w:r w:rsidRPr="006234AA">
        <w:rPr>
          <w:spacing w:val="-1"/>
        </w:rPr>
        <w:t>o</w:t>
      </w:r>
      <w:r w:rsidRPr="006234AA">
        <w:t>ạt</w:t>
      </w:r>
      <w:r w:rsidRPr="006234AA">
        <w:rPr>
          <w:spacing w:val="3"/>
        </w:rPr>
        <w:t xml:space="preserve"> </w:t>
      </w:r>
      <w:r w:rsidRPr="006234AA">
        <w:rPr>
          <w:spacing w:val="1"/>
        </w:rPr>
        <w:t>đ</w:t>
      </w:r>
      <w:r w:rsidRPr="006234AA">
        <w:rPr>
          <w:spacing w:val="-1"/>
        </w:rPr>
        <w:t>ộn</w:t>
      </w:r>
      <w:r w:rsidRPr="006234AA">
        <w:t>g</w:t>
      </w:r>
      <w:r w:rsidRPr="006234AA">
        <w:rPr>
          <w:spacing w:val="5"/>
        </w:rPr>
        <w:t xml:space="preserve"> </w:t>
      </w:r>
      <w:r w:rsidRPr="006234AA">
        <w:rPr>
          <w:spacing w:val="-1"/>
        </w:rPr>
        <w:t xml:space="preserve">bù trừ, </w:t>
      </w:r>
      <w:r w:rsidRPr="006234AA">
        <w:rPr>
          <w:spacing w:val="4"/>
        </w:rPr>
        <w:t xml:space="preserve">thanh toán giao dịch chứng khoán phái </w:t>
      </w:r>
      <w:r w:rsidRPr="006234AA">
        <w:t xml:space="preserve">sinh niêm </w:t>
      </w:r>
      <w:r w:rsidRPr="006234AA">
        <w:lastRenderedPageBreak/>
        <w:t xml:space="preserve">yết trên Sở giao dịch chứng khoán theo cơ chế đối tác bù trừ trung tâm, </w:t>
      </w:r>
      <w:r w:rsidRPr="006234AA">
        <w:rPr>
          <w:spacing w:val="4"/>
        </w:rPr>
        <w:t>trong đó Trung tâm lưu ký chứng khoán</w:t>
      </w:r>
      <w:r w:rsidRPr="006234AA">
        <w:t xml:space="preserve"> là một đối tác giao dịch, thành viên bù trừ là đối tác còn lại của giao dịch, kể cả trong trường hợp giao dịch do bên thứ ba (khách hàng). </w:t>
      </w:r>
    </w:p>
    <w:p w:rsidR="00B614BC" w:rsidRPr="006234AA" w:rsidRDefault="00B614BC" w:rsidP="003C0546">
      <w:pPr>
        <w:pStyle w:val="ListParagraph"/>
        <w:numPr>
          <w:ilvl w:val="3"/>
          <w:numId w:val="2"/>
        </w:numPr>
        <w:tabs>
          <w:tab w:val="left" w:pos="1134"/>
        </w:tabs>
        <w:spacing w:after="120"/>
        <w:ind w:left="0" w:firstLine="708"/>
      </w:pPr>
      <w:r w:rsidRPr="006234AA">
        <w:t>Trung tâm Lưu ký chứng khoán được cung cấp dịch vụ bù trừ, thanh toán giao dịch các chứng khoán phái sinh không niêm yết trên cơ sở thỏa thuận với các bên tham gia giao dịch.</w:t>
      </w:r>
    </w:p>
    <w:p w:rsidR="00B614BC" w:rsidRPr="006234AA" w:rsidRDefault="00B614BC" w:rsidP="003C0546">
      <w:pPr>
        <w:pStyle w:val="ListParagraph"/>
        <w:numPr>
          <w:ilvl w:val="3"/>
          <w:numId w:val="2"/>
        </w:numPr>
        <w:tabs>
          <w:tab w:val="left" w:pos="1134"/>
        </w:tabs>
        <w:spacing w:after="120"/>
        <w:ind w:left="0" w:firstLine="708"/>
      </w:pPr>
      <w:r w:rsidRPr="006234AA">
        <w:t>Đăng ký chứng khoán phái sinh theo cơ chế đối tác trung tâm:</w:t>
      </w:r>
    </w:p>
    <w:p w:rsidR="00B614BC" w:rsidRPr="006234AA" w:rsidRDefault="00B614BC" w:rsidP="003C0546">
      <w:pPr>
        <w:spacing w:after="120"/>
        <w:rPr>
          <w:lang w:val="nl-NL"/>
        </w:rPr>
      </w:pPr>
      <w:r w:rsidRPr="006234AA">
        <w:rPr>
          <w:lang w:val="nl-NL"/>
        </w:rPr>
        <w:t xml:space="preserve">a) Sau khi hoàn tất giao dịch trên hệ thống giao dịch của Sở giao dịch chứng khoán, kết quả khớp lệnh giao dịch giữa các nhà đầu tư (hợp đồng thị trường) được Sở giao dịch chứng khoán  chuyển cho Trung tâm lưu ký chứng khoán để đăng ký. Trường hợp phát hiện lỗi giao dịch, việc sửa lỗi thực hiện theo quy chế của Trung tâm Lưu ký chứng khoán và Sở giao dịch chứng khoán. </w:t>
      </w:r>
    </w:p>
    <w:p w:rsidR="00B614BC" w:rsidRPr="006234AA" w:rsidRDefault="00B614BC" w:rsidP="003C0546">
      <w:pPr>
        <w:spacing w:after="120"/>
        <w:rPr>
          <w:lang w:val="nl-NL"/>
        </w:rPr>
      </w:pPr>
      <w:r w:rsidRPr="006234AA">
        <w:rPr>
          <w:lang w:val="nl-NL"/>
        </w:rPr>
        <w:t>b) Sau khi hoàn tất việc đăng ký chứng khoán phái sinh, mỗi hợp đồng thị trường được thay thế bởi hai hợp đồng mở có cùng nội dung và điều khoản: (i) một hợp đồng giữa Trung tâm lưu ký chứng khoán đóng vai trò là Bên Bán với một thành viên bù trừ là Bên Mua; và (ii) một hợp đồng giữa Trung tâm lưu ký chứng khoán đóng vai trò Bên Mua và một thành viên bù trừ là Bên Bán;</w:t>
      </w:r>
    </w:p>
    <w:p w:rsidR="00B614BC" w:rsidRPr="006234AA" w:rsidRDefault="00B614BC" w:rsidP="003C0546">
      <w:pPr>
        <w:spacing w:after="120"/>
        <w:rPr>
          <w:lang w:val="nl-NL"/>
        </w:rPr>
      </w:pPr>
      <w:r w:rsidRPr="006234AA">
        <w:rPr>
          <w:lang w:val="nl-NL"/>
        </w:rPr>
        <w:t>4.  Bù trừ, thanh toán chứng khoán phái sinh không niêm yết dựa trên tài sản cơ sở là chứng khoán niêm yết:</w:t>
      </w:r>
    </w:p>
    <w:p w:rsidR="00B614BC" w:rsidRPr="006234AA" w:rsidRDefault="00B614BC" w:rsidP="003C0546">
      <w:pPr>
        <w:spacing w:after="120"/>
        <w:rPr>
          <w:lang w:val="nl-NL"/>
        </w:rPr>
      </w:pPr>
      <w:r w:rsidRPr="006234AA">
        <w:rPr>
          <w:lang w:val="nl-NL"/>
        </w:rPr>
        <w:t>a) Sau khi hoàn tất giao dịch, hợp đồng thị trường được một trong hai bên tham gia giao dịch chuyển cho Trung tâm Lưu ký chứng khoán để đăng ký. Các bên tham gia giao dịch hoàn toàn chịu trách nhiệm trước pháp luật về nội dung hợp đồng. Trường hợp phát sinh lỗi giao dịch, các bên tham gia hợp đồng được hoàn chỉnh lại hợp đồng và đăng ký lại theo hướng dẫn của Trung tâm lưu ký chứng khoán;</w:t>
      </w:r>
    </w:p>
    <w:p w:rsidR="00B614BC" w:rsidRPr="006234AA" w:rsidRDefault="00B614BC" w:rsidP="003C0546">
      <w:pPr>
        <w:spacing w:after="120"/>
        <w:rPr>
          <w:lang w:val="nl-NL"/>
        </w:rPr>
      </w:pPr>
      <w:r w:rsidRPr="006234AA">
        <w:rPr>
          <w:lang w:val="nl-NL"/>
        </w:rPr>
        <w:t>b) Tùy vào nội dung hợp đồng, Trung tâm Lưu ký chứng khoán quyết định mức ký quỹ của các bên tham gia giao dịch;</w:t>
      </w:r>
    </w:p>
    <w:p w:rsidR="00B614BC" w:rsidRPr="006234AA" w:rsidRDefault="00B614BC" w:rsidP="003C0546">
      <w:pPr>
        <w:spacing w:after="120"/>
        <w:rPr>
          <w:lang w:val="nl-NL"/>
        </w:rPr>
      </w:pPr>
      <w:r w:rsidRPr="006234AA">
        <w:rPr>
          <w:lang w:val="nl-NL"/>
        </w:rPr>
        <w:t>c) Trong trường hợp thanh lý hợp đồng dưới hình thức chuyển giao tài sản cơ sở, bên tiếp nhận tài sản cơ sở có trách nhiệm thực hiện đầy đủ và kịp thời các nghĩa vụ cổ đông lớn khi kết quả thực hiện hợp đồng dẫn tới bên mua trở thành đối tượng báo cáo về sở hữu theo quy định của pháp luật chứng khoán về công bố thông tin.</w:t>
      </w:r>
    </w:p>
    <w:p w:rsidR="00B614BC" w:rsidRPr="006234AA" w:rsidRDefault="00B614BC" w:rsidP="003C0546">
      <w:pPr>
        <w:spacing w:after="120"/>
        <w:rPr>
          <w:lang w:val="nl-NL"/>
        </w:rPr>
      </w:pPr>
      <w:r w:rsidRPr="006234AA">
        <w:rPr>
          <w:lang w:val="nl-NL"/>
        </w:rPr>
        <w:t xml:space="preserve">5. Trách nhiệm của thành viên bù trừ trong cơ chế đối tác trung tâm </w:t>
      </w:r>
    </w:p>
    <w:p w:rsidR="00B614BC" w:rsidRPr="006234AA" w:rsidRDefault="00B614BC" w:rsidP="003C0546">
      <w:pPr>
        <w:spacing w:after="120"/>
        <w:rPr>
          <w:lang w:val="nl-NL"/>
        </w:rPr>
      </w:pPr>
      <w:r w:rsidRPr="006234AA">
        <w:rPr>
          <w:lang w:val="nl-NL"/>
        </w:rPr>
        <w:t xml:space="preserve">a) Thành viên bù trừ tham gia hợp đồng có trách nhiệm cung cấp đầy đủ, kịp thời mọi thông tin cần thiết về bên hưởng lợi (nhà đầu tư) để Trung tâm lưu ký chứng khoán cập nhật thông tin vị thế trên tài khoản của nhà đầu tư. Trường hợp thành viên bù trừ không cung cấp thông tin này, Trung tâm lưu ký chứng khoán cập nhật vị thế mở trên tài khoản tự doanh của thành viên bù trừ; </w:t>
      </w:r>
    </w:p>
    <w:p w:rsidR="00B614BC" w:rsidRPr="006234AA" w:rsidRDefault="00B614BC" w:rsidP="003C0546">
      <w:pPr>
        <w:spacing w:after="120"/>
        <w:rPr>
          <w:lang w:val="nl-NL"/>
        </w:rPr>
      </w:pPr>
      <w:r w:rsidRPr="006234AA">
        <w:rPr>
          <w:lang w:val="nl-NL"/>
        </w:rPr>
        <w:lastRenderedPageBreak/>
        <w:t xml:space="preserve">b) Thành viên bù trừ </w:t>
      </w:r>
      <w:r w:rsidR="00FB44D1" w:rsidRPr="006234AA">
        <w:rPr>
          <w:lang w:val="nl-NL"/>
        </w:rPr>
        <w:t xml:space="preserve">là tổ chức đã được nhà đầu tư ủy quyền, </w:t>
      </w:r>
      <w:r w:rsidRPr="006234AA">
        <w:rPr>
          <w:lang w:val="nl-NL"/>
        </w:rPr>
        <w:t>có trách nhiệm tuân thủ đầy đủ các điều khoản tại Hợp đồng mở</w:t>
      </w:r>
      <w:r w:rsidR="00FB44D1" w:rsidRPr="006234AA">
        <w:rPr>
          <w:lang w:val="nl-NL"/>
        </w:rPr>
        <w:t>, thực hiện mọi quyền, nghĩa vụ phát sinh từ hợp đồng đối với Trung tâm lưu ký chứng khoán.</w:t>
      </w:r>
      <w:r w:rsidRPr="006234AA">
        <w:rPr>
          <w:lang w:val="nl-NL"/>
        </w:rPr>
        <w:t xml:space="preserve"> Trường hợp nhà đầu tư mất khả năng thanh toán, thành viên bù trừ có trách nhiệm kịp thời thực hiện đầy đủ các nghĩa vụ tài chính và pháp lý đối với Trung tâm lưu ký chứng khoán bằng nguồn vốn của chính mình. Trường hợp thành viên bù trừ không kịp thời thực hiện các nghĩa vụ của mình, kể cả do khách hàng mất khả năng thanh toán, Trung tâm Lưu ký chứng khoán được thực hiện các biện pháp quy định tại Điều 50, 51 Thông tư này;</w:t>
      </w:r>
    </w:p>
    <w:p w:rsidR="00B614BC" w:rsidRPr="006234AA" w:rsidRDefault="00B614BC" w:rsidP="003C0546">
      <w:pPr>
        <w:spacing w:after="120"/>
        <w:rPr>
          <w:lang w:val="nl-NL"/>
        </w:rPr>
      </w:pPr>
      <w:r w:rsidRPr="006234AA">
        <w:rPr>
          <w:lang w:val="nl-NL"/>
        </w:rPr>
        <w:t>c) Thành viên bù trừ có trách nhiệm yêu cầu khách hàng ký quỹ để bảo đảm khả năng thanh toán đối với các vị thế mở của khách hàng theo quy định tại Điều ... Thông tư này</w:t>
      </w:r>
      <w:r w:rsidR="00CD2890" w:rsidRPr="006234AA">
        <w:rPr>
          <w:lang w:val="nl-NL"/>
        </w:rPr>
        <w:t>; hạch toán kịp thời, cập nhật thông tin đầy đủ cho Trung tâm Lưu ký chứng khoán về các khoản ký quỹ trên tài khoản ký quỹ của khách hàng;</w:t>
      </w:r>
    </w:p>
    <w:p w:rsidR="00B614BC" w:rsidRPr="006234AA" w:rsidRDefault="00B614BC" w:rsidP="003C0546">
      <w:pPr>
        <w:spacing w:after="120"/>
        <w:rPr>
          <w:lang w:val="nl-NL"/>
        </w:rPr>
      </w:pPr>
      <w:r w:rsidRPr="006234AA">
        <w:rPr>
          <w:lang w:val="nl-NL"/>
        </w:rPr>
        <w:t>d) Tài sản mà nhà đầu tư ký quỹ được thành viên bù trừ sử dụng để ký quỹ, hỗ trợ thanh toán cho vị thế của chính nhà đầu tư đó, không được sử dụng để ký quỹ, hỗ trợ thanh toán cho vị thế của nhà đầu tư khác hoặc vị thế của thành viên bù trừ;</w:t>
      </w:r>
    </w:p>
    <w:p w:rsidR="00B614BC" w:rsidRPr="006234AA" w:rsidRDefault="00B614BC" w:rsidP="003C0546">
      <w:pPr>
        <w:spacing w:after="120"/>
        <w:rPr>
          <w:lang w:val="nl-NL"/>
        </w:rPr>
      </w:pPr>
      <w:r w:rsidRPr="006234AA">
        <w:rPr>
          <w:lang w:val="nl-NL"/>
        </w:rPr>
        <w:t>đ) Thành viên bù trừ có trách nhiệm xác định và đối soát với Trung tâm Lưu ký chứng khoán các thông tin về vị thế, lãi lỗ vị thế, giá trị tài sản ký quỹ và mức ký quỹ bổ sung (nếu có) của từng tài khoản giao dịch theo quy chế của Trung tâm Lưu ký chứng khoán</w:t>
      </w:r>
      <w:r w:rsidR="00CD2890" w:rsidRPr="006234AA">
        <w:rPr>
          <w:lang w:val="nl-NL"/>
        </w:rPr>
        <w:t>;</w:t>
      </w:r>
      <w:r w:rsidRPr="006234AA">
        <w:rPr>
          <w:lang w:val="nl-NL"/>
        </w:rPr>
        <w:t xml:space="preserve"> hạch toán lãi lỗ vị thế về tài khoản ký quỹ của từng nhà đầu tư.</w:t>
      </w:r>
    </w:p>
    <w:p w:rsidR="00B614BC" w:rsidRPr="006234AA" w:rsidRDefault="00B614BC" w:rsidP="003C0546">
      <w:pPr>
        <w:spacing w:after="120"/>
        <w:rPr>
          <w:lang w:val="nl-NL"/>
        </w:rPr>
      </w:pPr>
      <w:r w:rsidRPr="006234AA">
        <w:rPr>
          <w:lang w:val="nl-NL"/>
        </w:rPr>
        <w:t>6. Trách nhiệm của Trung tâm Lưu ký chứng khoán trong cơ chế đối tác trung tâm</w:t>
      </w:r>
    </w:p>
    <w:p w:rsidR="00B614BC" w:rsidRPr="006234AA" w:rsidRDefault="00B614BC" w:rsidP="003C0546">
      <w:pPr>
        <w:spacing w:after="120"/>
        <w:rPr>
          <w:lang w:val="nl-NL"/>
        </w:rPr>
      </w:pPr>
      <w:r w:rsidRPr="006234AA">
        <w:rPr>
          <w:lang w:val="nl-NL"/>
        </w:rPr>
        <w:t>a)  Trung tâm lưu ký chứng khoán có trách nhiệm thiết kế hệ thống tài khoản</w:t>
      </w:r>
      <w:r w:rsidR="00CD2890" w:rsidRPr="006234AA">
        <w:rPr>
          <w:lang w:val="nl-NL"/>
        </w:rPr>
        <w:t xml:space="preserve"> bù trừ, thanh toán</w:t>
      </w:r>
      <w:r w:rsidRPr="006234AA">
        <w:rPr>
          <w:lang w:val="nl-NL"/>
        </w:rPr>
        <w:t xml:space="preserve"> </w:t>
      </w:r>
      <w:r w:rsidR="00CD2890" w:rsidRPr="006234AA">
        <w:rPr>
          <w:lang w:val="nl-NL"/>
        </w:rPr>
        <w:t xml:space="preserve">bảo đảm theo dõi được tới tài khoản </w:t>
      </w:r>
      <w:r w:rsidRPr="006234AA">
        <w:rPr>
          <w:lang w:val="nl-NL"/>
        </w:rPr>
        <w:t xml:space="preserve">ký quỹ </w:t>
      </w:r>
      <w:r w:rsidR="00CD2890" w:rsidRPr="006234AA">
        <w:rPr>
          <w:lang w:val="nl-NL"/>
        </w:rPr>
        <w:t xml:space="preserve">của </w:t>
      </w:r>
      <w:r w:rsidRPr="006234AA">
        <w:rPr>
          <w:lang w:val="nl-NL"/>
        </w:rPr>
        <w:t>từng nhà đầu tư theo quy định tại Điều 4</w:t>
      </w:r>
      <w:r w:rsidR="00CD2890" w:rsidRPr="006234AA">
        <w:rPr>
          <w:lang w:val="nl-NL"/>
        </w:rPr>
        <w:t>7</w:t>
      </w:r>
      <w:r w:rsidRPr="006234AA">
        <w:rPr>
          <w:lang w:val="nl-NL"/>
        </w:rPr>
        <w:t xml:space="preserve"> Thông tư này;</w:t>
      </w:r>
    </w:p>
    <w:p w:rsidR="00B614BC" w:rsidRPr="006234AA" w:rsidRDefault="00B614BC" w:rsidP="003C0546">
      <w:pPr>
        <w:tabs>
          <w:tab w:val="left" w:pos="993"/>
        </w:tabs>
        <w:spacing w:after="120"/>
        <w:rPr>
          <w:lang w:val="nl-NL"/>
        </w:rPr>
      </w:pPr>
      <w:r w:rsidRPr="006234AA">
        <w:rPr>
          <w:lang w:val="nl-NL"/>
        </w:rPr>
        <w:t xml:space="preserve">b) Trung tâm Lưu ký chứng khoán có trách nhiệm xác định vị thế trên từng tài khoản giao dịch </w:t>
      </w:r>
      <w:r w:rsidR="00CD2890" w:rsidRPr="006234AA">
        <w:rPr>
          <w:lang w:val="nl-NL"/>
        </w:rPr>
        <w:t xml:space="preserve">của nhà đầu tư </w:t>
      </w:r>
      <w:r w:rsidRPr="006234AA">
        <w:rPr>
          <w:lang w:val="nl-NL"/>
        </w:rPr>
        <w:t>theo theo nguyên tắc sau:</w:t>
      </w:r>
    </w:p>
    <w:p w:rsidR="00B614BC" w:rsidRPr="006234AA" w:rsidRDefault="00B614BC" w:rsidP="003C0546">
      <w:pPr>
        <w:tabs>
          <w:tab w:val="left" w:pos="993"/>
        </w:tabs>
        <w:spacing w:after="120"/>
        <w:rPr>
          <w:rFonts w:eastAsia="+mn-ea"/>
          <w:lang w:val="nl-NL"/>
        </w:rPr>
      </w:pPr>
      <w:r w:rsidRPr="006234AA">
        <w:rPr>
          <w:rFonts w:eastAsia="+mn-ea"/>
          <w:lang w:val="nl-NL"/>
        </w:rPr>
        <w:t>- Đối với chứng khoán phái sinh thanh toán bằng tiền, các vị thế đối ứng của cùng một chứng khoán phái sinh trên cùng một tài khoản giao dịch được tự động cấn trừ trực tiếp. Đối với chứng khoán phái sinh thanh toán bằng chuyển giao vật chất, việc bù trừ các vị thế đối ứng của cùng một chứng khoán phái sinh chỉ được thực hiện nếu lệnh giao dịch có chỉ thị rõ về việc bù trừ;</w:t>
      </w:r>
    </w:p>
    <w:p w:rsidR="00B614BC" w:rsidRPr="006234AA" w:rsidRDefault="00B614BC" w:rsidP="003C0546">
      <w:pPr>
        <w:spacing w:after="120"/>
        <w:rPr>
          <w:lang w:val="nl-NL"/>
        </w:rPr>
      </w:pPr>
      <w:r w:rsidRPr="006234AA">
        <w:rPr>
          <w:rFonts w:eastAsia="+mn-ea"/>
          <w:lang w:val="nl-NL"/>
        </w:rPr>
        <w:t xml:space="preserve">- Việc bù trừ ròng chỉ được thực hiện trên tài khoản giao dịch của </w:t>
      </w:r>
      <w:r w:rsidR="00CD2890" w:rsidRPr="006234AA">
        <w:rPr>
          <w:rFonts w:eastAsia="+mn-ea"/>
          <w:lang w:val="nl-NL"/>
        </w:rPr>
        <w:t>nhà đầu tư</w:t>
      </w:r>
      <w:r w:rsidRPr="006234AA">
        <w:rPr>
          <w:rFonts w:eastAsia="+mn-ea"/>
          <w:lang w:val="nl-NL"/>
        </w:rPr>
        <w:t>, tài khoản giao dịch tự doanh và tài khoản giao dịch tạo lập thị trường của thành viên giao dịch. Không được bù trừ các vị thế đối ứng trên các tài khoản giao dịch khác nhau, kể cả trong trường hợp các tài  khoản đó thuộc sở hữu của cùng một nhà đầu tư;</w:t>
      </w:r>
    </w:p>
    <w:p w:rsidR="00B614BC" w:rsidRPr="006234AA" w:rsidRDefault="00B614BC" w:rsidP="003C0546">
      <w:pPr>
        <w:spacing w:after="120"/>
        <w:rPr>
          <w:lang w:val="nl-NL"/>
        </w:rPr>
      </w:pPr>
      <w:r w:rsidRPr="006234AA">
        <w:rPr>
          <w:lang w:val="nl-NL"/>
        </w:rPr>
        <w:lastRenderedPageBreak/>
        <w:t xml:space="preserve">c) Căn cứ vào vị thế ròng trên từng tài khoản giao dịch, Trung tâm Lưu ký chứng khoán có trách nhiệm đánh giá giá trị vị thế, tính toán lãi lỗ vị thế; xác định giá trị tài sản ký quỹ duy trì tối thiểu trên từng tài khoản giao dịch của nhà đầu tư và của thành viên bù trừ; thông báo cho thành viên bù trừ về tổng giá trị tài sản ký quỹ duy trì tối thiểu và giá trị tài sản ký quỹ bổ sung mà thành viên bù trừ phải ký quỹ cho các vị thế mở đứng tên thành viên bù trừ, bao gồm cả các tài khoản giao dịch của </w:t>
      </w:r>
      <w:r w:rsidR="00CD2890" w:rsidRPr="006234AA">
        <w:rPr>
          <w:lang w:val="nl-NL"/>
        </w:rPr>
        <w:t>nhà đầu tư</w:t>
      </w:r>
      <w:r w:rsidRPr="006234AA">
        <w:rPr>
          <w:lang w:val="nl-NL"/>
        </w:rPr>
        <w:t>;</w:t>
      </w:r>
    </w:p>
    <w:p w:rsidR="00B614BC" w:rsidRPr="006234AA" w:rsidRDefault="00B614BC" w:rsidP="003C0546">
      <w:pPr>
        <w:spacing w:after="120"/>
        <w:rPr>
          <w:lang w:val="nl-NL"/>
        </w:rPr>
      </w:pPr>
      <w:r w:rsidRPr="006234AA">
        <w:rPr>
          <w:lang w:val="nl-NL"/>
        </w:rPr>
        <w:t>Việc xác định vị thế, tính toán lãi lỗ, đánh giá lại giá trị tài sản ký quỹ và xác định mức ký quỹ bổ sung (nếu có) cho từng tài khoản giao dịch được thực hiện theo thời gian thực và quy chế của Trung tâm Lưu ký chứng khoán.</w:t>
      </w:r>
    </w:p>
    <w:p w:rsidR="00B614BC" w:rsidRPr="006234AA" w:rsidRDefault="00B614BC" w:rsidP="003C0546">
      <w:pPr>
        <w:spacing w:after="120"/>
        <w:rPr>
          <w:lang w:val="nl-NL"/>
        </w:rPr>
      </w:pPr>
      <w:r w:rsidRPr="006234AA">
        <w:rPr>
          <w:lang w:val="nl-NL"/>
        </w:rPr>
        <w:t>d) Trung tâm Lưu ký chứng khoán có quyền yêu cầu và thành viên bù trừ có trách nhiệm bổ sung ký quỹ trong trường hợp tổng giá trị tài sản ký quỹ của thành viên xuống thấp hơn mức ký quỹ duy trì theo yêu cầu của Trung tâm Lưu ký chứng khoán Việt Nam. Giá trị tài sản ký quỹ mà thành viên bù trừ phải bổ sung để duy trì các vị thế mở đứng tên thành viên bù trừ được xác định trên cơ sở tổng giá trị tài sản ký quỹ bổ sung trên các tài khoản giao dịch phát sinh yêu cầu bổ sung ký quỹ. Trường hợp thành viên bù trừ không bổ sung đầy đủ, kịp thời, Trung tâm Lưu ký chứng khoán thực hiện các biện pháp theo quy định tại Điều 50, Điều 51 Thông tư này;</w:t>
      </w:r>
    </w:p>
    <w:p w:rsidR="00B614BC" w:rsidRPr="006234AA" w:rsidRDefault="00B614BC" w:rsidP="003C0546">
      <w:pPr>
        <w:spacing w:after="120"/>
        <w:rPr>
          <w:lang w:val="nl-NL"/>
        </w:rPr>
      </w:pPr>
      <w:r w:rsidRPr="006234AA">
        <w:rPr>
          <w:lang w:val="nl-NL"/>
        </w:rPr>
        <w:t>c)  Trường hợp giá trị tài sản ký quỹ của thành viên lớn hơn mức ký quỹ theo yêu cầu của Trung tâm Lưu ký chứng khoán, thành viên bù trừ được rút bớt tài sản ký quỹ theo hướng dẫn của Trung tâm Lưu ký chứng khoán.</w:t>
      </w:r>
    </w:p>
    <w:p w:rsidR="00B614BC" w:rsidRPr="006234AA" w:rsidRDefault="00B614BC" w:rsidP="003C0546">
      <w:pPr>
        <w:spacing w:after="120"/>
        <w:rPr>
          <w:lang w:val="nl-NL"/>
        </w:rPr>
      </w:pPr>
      <w:r w:rsidRPr="006234AA">
        <w:rPr>
          <w:lang w:val="nl-NL"/>
        </w:rPr>
        <w:t>d) Sau khi được Ủy ban Chứng khoán Nhà nước chấp thuận, Trung tâm Lưu ký chứng khoán có trách nhiệm quy định về mức ký quỹ ban đầu tối thiểu, mức ký quỹ duy trì tối thiểu, loại chứng khoán được chấp nhận ký quỹ, phương thức ký quỹ, thời hạn ký quỹ, bổ sung ký quỹ, thay đổi chứng khoán ký quỹ, chuyển giao tài sản ký quỹ, phương thức định giá tài sản ký quỹ, xác định lãi lỗ vị thế, hoạt động quản lý tài khoản và tài sản ký quỹ của nhà đầu tư và của thành viên bù trừ;</w:t>
      </w:r>
    </w:p>
    <w:p w:rsidR="00B614BC" w:rsidRPr="006234AA" w:rsidRDefault="00B614BC" w:rsidP="003C0546">
      <w:pPr>
        <w:spacing w:after="120"/>
        <w:rPr>
          <w:lang w:val="nl-NL"/>
        </w:rPr>
      </w:pPr>
      <w:r w:rsidRPr="006234AA">
        <w:rPr>
          <w:lang w:val="nl-NL"/>
        </w:rPr>
        <w:t xml:space="preserve">đ) </w:t>
      </w:r>
      <w:r w:rsidR="00FB44D1" w:rsidRPr="006234AA">
        <w:rPr>
          <w:lang w:val="nl-NL"/>
        </w:rPr>
        <w:t xml:space="preserve">Trung tâm lưu ký chứng khoán chỉ chịu trách nhiệm thực hiện mọi quyền, nghĩa vụ phát sinh từ hợp đồng đối với thành viên bù trừ.  </w:t>
      </w:r>
      <w:r w:rsidRPr="006234AA">
        <w:rPr>
          <w:lang w:val="nl-NL"/>
        </w:rPr>
        <w:t>Ngoại trừ đối với thành viên bù trừ, Trung tâm lưu ký chứng khoán không công nhận và không chịu trách nhiệm thực hiện các nội dung của hợp đồng mở với bất cứ bên thứ ba nào khác</w:t>
      </w:r>
      <w:r w:rsidR="00FB44D1" w:rsidRPr="006234AA">
        <w:rPr>
          <w:lang w:val="nl-NL"/>
        </w:rPr>
        <w:t>.</w:t>
      </w:r>
    </w:p>
    <w:p w:rsidR="00B614BC" w:rsidRPr="006234AA" w:rsidRDefault="00B614BC" w:rsidP="003C0546">
      <w:pPr>
        <w:spacing w:after="120"/>
        <w:rPr>
          <w:lang w:val="nl-NL"/>
        </w:rPr>
      </w:pPr>
      <w:r w:rsidRPr="006234AA">
        <w:rPr>
          <w:lang w:val="nl-NL"/>
        </w:rPr>
        <w:t xml:space="preserve">e) Trong trường hợp thành viên bù trừ mất khả năng thanh toán, </w:t>
      </w:r>
      <w:r w:rsidR="00CD2890" w:rsidRPr="006234AA">
        <w:rPr>
          <w:lang w:val="nl-NL"/>
        </w:rPr>
        <w:t>nhà đầu tư</w:t>
      </w:r>
      <w:r w:rsidRPr="006234AA">
        <w:rPr>
          <w:lang w:val="nl-NL"/>
        </w:rPr>
        <w:t xml:space="preserve"> mất khả năng thanh toán, Trung tâm Lưu ký chứng khoán được sử dụng tài sản ký quỹ trên tài khoản bù trừ, thanh toán của thành viên bù trừ, kể cả tài sản do nhà đầu tư ký quỹ cho vị thế mở của mình thông qua thành viên bù trừ theo quy định tại Điểm c Khoản 4 Điều này. Việc sử dụng tài sản ký quỹ trên tài khoản bù trừ, thanh toán thực hiện theo quy định tại Điều 50, Điều 51 Thông tư này.</w:t>
      </w:r>
    </w:p>
    <w:p w:rsidR="00B5108A" w:rsidRPr="006234AA" w:rsidRDefault="00442F70" w:rsidP="003C0546">
      <w:pPr>
        <w:pStyle w:val="Heading4"/>
        <w:spacing w:after="120"/>
      </w:pPr>
      <w:bookmarkStart w:id="179" w:name="_Toc422672000"/>
      <w:bookmarkStart w:id="180" w:name="_Toc383551251"/>
      <w:bookmarkStart w:id="181" w:name="_Toc383932765"/>
      <w:bookmarkStart w:id="182" w:name="_Toc385602494"/>
      <w:bookmarkStart w:id="183" w:name="_Toc387730764"/>
      <w:bookmarkStart w:id="184" w:name="_Toc383551222"/>
      <w:bookmarkStart w:id="185" w:name="_Toc383932738"/>
      <w:bookmarkEnd w:id="158"/>
      <w:bookmarkEnd w:id="177"/>
      <w:bookmarkEnd w:id="178"/>
      <w:r w:rsidRPr="006234AA">
        <w:t>T</w:t>
      </w:r>
      <w:r w:rsidR="00A33995" w:rsidRPr="006234AA">
        <w:t xml:space="preserve">ài </w:t>
      </w:r>
      <w:r w:rsidRPr="006234AA">
        <w:t>khoản bù trừ, thanh toán của</w:t>
      </w:r>
      <w:r w:rsidR="00A33995" w:rsidRPr="006234AA">
        <w:t xml:space="preserve"> thành viên</w:t>
      </w:r>
      <w:r w:rsidRPr="006234AA">
        <w:t xml:space="preserve"> bù trừ</w:t>
      </w:r>
      <w:bookmarkEnd w:id="179"/>
    </w:p>
    <w:p w:rsidR="00ED3E72" w:rsidRPr="006234AA" w:rsidRDefault="00F641C2" w:rsidP="003C0546">
      <w:pPr>
        <w:pStyle w:val="ListParagraph"/>
        <w:numPr>
          <w:ilvl w:val="3"/>
          <w:numId w:val="2"/>
        </w:numPr>
        <w:tabs>
          <w:tab w:val="left" w:pos="993"/>
        </w:tabs>
        <w:spacing w:after="120"/>
        <w:ind w:left="0" w:firstLine="567"/>
      </w:pPr>
      <w:r w:rsidRPr="006234AA">
        <w:lastRenderedPageBreak/>
        <w:t xml:space="preserve">Trung tâm lưu ký chứng khoán </w:t>
      </w:r>
      <w:r w:rsidR="001A17AF" w:rsidRPr="006234AA">
        <w:t xml:space="preserve">có trách nhiệm cấp mã số định danh cho từng nhà đầu tư và </w:t>
      </w:r>
      <w:r w:rsidR="00CD2890" w:rsidRPr="006234AA">
        <w:t>thiết lập và</w:t>
      </w:r>
      <w:r w:rsidRPr="006234AA">
        <w:t xml:space="preserve"> vận hành hệ thống tài khoản bù trừ, thanh toán của thành viên bù trừ</w:t>
      </w:r>
      <w:r w:rsidR="00CD2890" w:rsidRPr="006234AA">
        <w:t xml:space="preserve"> như</w:t>
      </w:r>
      <w:r w:rsidR="00ED3E72" w:rsidRPr="006234AA">
        <w:t xml:space="preserve"> sau:</w:t>
      </w:r>
    </w:p>
    <w:p w:rsidR="00ED3E72" w:rsidRPr="006234AA" w:rsidRDefault="00ED3E72" w:rsidP="003C0546">
      <w:pPr>
        <w:spacing w:after="120"/>
        <w:ind w:firstLine="709"/>
        <w:rPr>
          <w:lang w:val="nl-NL"/>
        </w:rPr>
      </w:pPr>
      <w:r w:rsidRPr="006234AA">
        <w:rPr>
          <w:lang w:val="nl-NL"/>
        </w:rPr>
        <w:t xml:space="preserve">a) Mỗi thành viên bù trừ được mở một tài khoản tổng. Tài khoản tổng bù trừ, thanh toán bao gồm một hoặc một số tài khoản tổng tiền gửi bù trừ, thanh toán mở tại các ngân hàng thanh toán và tài khoản tổng chứng khoán thế chấp tại Trung tâm Lưu ký chứng khoán. </w:t>
      </w:r>
    </w:p>
    <w:p w:rsidR="00ED3E72" w:rsidRPr="006234AA" w:rsidRDefault="00ED3E72" w:rsidP="003C0546">
      <w:pPr>
        <w:spacing w:after="120"/>
        <w:ind w:firstLine="709"/>
        <w:rPr>
          <w:lang w:val="nl-NL"/>
        </w:rPr>
      </w:pPr>
      <w:r w:rsidRPr="006234AA">
        <w:rPr>
          <w:lang w:val="nl-NL"/>
        </w:rPr>
        <w:t>b) Tài khoản tổng tiền gửi bù trừ, thanh toán phải được tách biệt với các tài khoản tiền gửi khác của Trung tâm Lưu ký chứng khoán, và được chia thành các tài khoản cho từng hoạt động sau:</w:t>
      </w:r>
    </w:p>
    <w:p w:rsidR="00ED3E72" w:rsidRPr="006234AA" w:rsidRDefault="00ED3E72" w:rsidP="003C0546">
      <w:pPr>
        <w:spacing w:after="120"/>
        <w:ind w:firstLine="709"/>
        <w:rPr>
          <w:lang w:val="nl-NL"/>
        </w:rPr>
      </w:pPr>
      <w:r w:rsidRPr="006234AA">
        <w:rPr>
          <w:lang w:val="nl-NL"/>
        </w:rPr>
        <w:t xml:space="preserve">- Bù trừ, thanh toán cho hoạt động tự doanh, kinh doanh của thành viên bù trừ; </w:t>
      </w:r>
    </w:p>
    <w:p w:rsidR="00ED3E72" w:rsidRPr="006234AA" w:rsidRDefault="00ED3E72" w:rsidP="003C0546">
      <w:pPr>
        <w:spacing w:after="120"/>
        <w:ind w:firstLine="709"/>
        <w:rPr>
          <w:lang w:val="nl-NL"/>
        </w:rPr>
      </w:pPr>
      <w:r w:rsidRPr="006234AA">
        <w:rPr>
          <w:lang w:val="nl-NL"/>
        </w:rPr>
        <w:t>- Bù trừ, thanh toán cho hoạt động tạo lập thị trường của thành viên bù trừ;</w:t>
      </w:r>
    </w:p>
    <w:p w:rsidR="00ED3E72" w:rsidRPr="006234AA" w:rsidRDefault="00ED3E72" w:rsidP="003C0546">
      <w:pPr>
        <w:spacing w:after="120"/>
        <w:ind w:firstLine="709"/>
        <w:rPr>
          <w:lang w:val="nl-NL"/>
        </w:rPr>
      </w:pPr>
      <w:r w:rsidRPr="006234AA">
        <w:rPr>
          <w:lang w:val="nl-NL"/>
        </w:rPr>
        <w:t>- Bù trừ, thanh toán cho hoạt động môi giới cho khách hàng của thành viên bù trừ</w:t>
      </w:r>
      <w:r w:rsidR="00677061" w:rsidRPr="006234AA">
        <w:rPr>
          <w:lang w:val="nl-NL"/>
        </w:rPr>
        <w:t>. Đối với tài khoản này, thành viên bù trừ có trách nhiệm thiết kế hệ thống bảo đảm tài khoản này phải được quản lý tách biệt tới tài khoản (hoặc tiểu khoản) tiền gửi ký quỹ của từng khách hàng;</w:t>
      </w:r>
    </w:p>
    <w:p w:rsidR="00ED3E72" w:rsidRPr="006234AA" w:rsidRDefault="00ED3E72" w:rsidP="003C0546">
      <w:pPr>
        <w:spacing w:after="120"/>
        <w:ind w:firstLine="709"/>
        <w:rPr>
          <w:lang w:val="nl-NL"/>
        </w:rPr>
      </w:pPr>
      <w:r w:rsidRPr="006234AA">
        <w:rPr>
          <w:lang w:val="nl-NL"/>
        </w:rPr>
        <w:t>- Bù trừ, thanh toán cho hoạt động tự doanh của thành viên không bù trừ là khách hàng ủy thác bù trừ, thanh toán;</w:t>
      </w:r>
    </w:p>
    <w:p w:rsidR="00ED3E72" w:rsidRPr="006234AA" w:rsidRDefault="00ED3E72" w:rsidP="003C0546">
      <w:pPr>
        <w:spacing w:after="120"/>
        <w:ind w:firstLine="709"/>
        <w:rPr>
          <w:lang w:val="nl-NL"/>
        </w:rPr>
      </w:pPr>
      <w:r w:rsidRPr="006234AA">
        <w:rPr>
          <w:lang w:val="nl-NL"/>
        </w:rPr>
        <w:t>- Bù trừ, thanh toán cho hoạt động tạo lập thị trường của thành viên không bù trừ là khách hàng ủy thác bù trừ, thanh toán;</w:t>
      </w:r>
    </w:p>
    <w:p w:rsidR="00ED3E72" w:rsidRPr="006234AA" w:rsidRDefault="00ED3E72" w:rsidP="003C0546">
      <w:pPr>
        <w:spacing w:after="120"/>
        <w:ind w:firstLine="709"/>
        <w:rPr>
          <w:lang w:val="nl-NL"/>
        </w:rPr>
      </w:pPr>
      <w:r w:rsidRPr="006234AA">
        <w:rPr>
          <w:lang w:val="nl-NL"/>
        </w:rPr>
        <w:t>-  Bù trừ, thanh toán cho hoạt động môi giới cho khách hàng môi giới của thành viên không bù trừ là khách hàng ủy thác bù trừ, thanh toán.</w:t>
      </w:r>
      <w:r w:rsidR="00677061" w:rsidRPr="006234AA">
        <w:rPr>
          <w:lang w:val="nl-NL"/>
        </w:rPr>
        <w:t xml:space="preserve"> Đối với tài khoản này, thành viên bù trừ có trách nhiệm phối hợp với thành viên giao dịch thiết kế hệ thống bảo đảm tài khoản này phải được quản lý tách biệt tới tài khoản (hoặc tiểu khoản) tiền gửi ký quỹ của từng khách hàng;</w:t>
      </w:r>
    </w:p>
    <w:p w:rsidR="00ED3E72" w:rsidRPr="006234AA" w:rsidRDefault="00ED3E72" w:rsidP="003C0546">
      <w:pPr>
        <w:spacing w:after="120"/>
        <w:ind w:firstLine="709"/>
        <w:rPr>
          <w:lang w:val="nl-NL"/>
        </w:rPr>
      </w:pPr>
      <w:r w:rsidRPr="006234AA">
        <w:rPr>
          <w:lang w:val="nl-NL"/>
        </w:rPr>
        <w:t xml:space="preserve">c) Tài khoản tổng chứng khoán thế chấp được thiết kế trên hệ thống tài khoản lưu ký, bao gồm các tài khoản chứng khoán thế chấp trên tài khoản lưu ký của các nhà đầu tư; </w:t>
      </w:r>
    </w:p>
    <w:p w:rsidR="00ED3E72" w:rsidRPr="006234AA" w:rsidRDefault="00ED3E72" w:rsidP="003C0546">
      <w:pPr>
        <w:spacing w:after="120"/>
        <w:ind w:firstLine="709"/>
        <w:rPr>
          <w:lang w:val="nl-NL"/>
        </w:rPr>
      </w:pPr>
      <w:r w:rsidRPr="006234AA">
        <w:rPr>
          <w:lang w:val="nl-NL"/>
        </w:rPr>
        <w:t xml:space="preserve">d) Mỗi tài khoản tổng bù trừ, thanh toán của mỗi thành viên bù trừ </w:t>
      </w:r>
      <w:r w:rsidR="00EF727E" w:rsidRPr="006234AA">
        <w:rPr>
          <w:lang w:val="nl-NL"/>
        </w:rPr>
        <w:t>là một</w:t>
      </w:r>
      <w:r w:rsidRPr="006234AA">
        <w:rPr>
          <w:lang w:val="nl-NL"/>
        </w:rPr>
        <w:t xml:space="preserve"> hệ thống </w:t>
      </w:r>
      <w:r w:rsidR="00EF727E" w:rsidRPr="006234AA">
        <w:rPr>
          <w:lang w:val="nl-NL"/>
        </w:rPr>
        <w:t xml:space="preserve">bao gồm </w:t>
      </w:r>
      <w:r w:rsidRPr="006234AA">
        <w:rPr>
          <w:lang w:val="nl-NL"/>
        </w:rPr>
        <w:t xml:space="preserve">các tài khoản ký quỹ của từng </w:t>
      </w:r>
      <w:r w:rsidR="00EF727E" w:rsidRPr="006234AA">
        <w:rPr>
          <w:lang w:val="nl-NL"/>
        </w:rPr>
        <w:t>nhà đầu tư,</w:t>
      </w:r>
      <w:r w:rsidRPr="006234AA">
        <w:rPr>
          <w:lang w:val="nl-NL"/>
        </w:rPr>
        <w:t xml:space="preserve"> được thiết kế bảo đảm</w:t>
      </w:r>
      <w:r w:rsidR="006A7C69" w:rsidRPr="006234AA">
        <w:rPr>
          <w:lang w:val="nl-NL"/>
        </w:rPr>
        <w:t xml:space="preserve"> mỗi tài khoản giao dịch có một tài khoản ký quỹ được quản lý tách biệt và </w:t>
      </w:r>
      <w:r w:rsidRPr="006234AA">
        <w:rPr>
          <w:lang w:val="nl-NL"/>
        </w:rPr>
        <w:t>:</w:t>
      </w:r>
    </w:p>
    <w:p w:rsidR="00ED3E72" w:rsidRPr="006234AA" w:rsidRDefault="00ED3E72" w:rsidP="003C0546">
      <w:pPr>
        <w:spacing w:after="120"/>
        <w:ind w:firstLine="709"/>
        <w:rPr>
          <w:lang w:val="nl-NL"/>
        </w:rPr>
      </w:pPr>
      <w:r w:rsidRPr="006234AA">
        <w:rPr>
          <w:lang w:val="nl-NL"/>
        </w:rPr>
        <w:t xml:space="preserve">- </w:t>
      </w:r>
      <w:r w:rsidR="00DB1EAC" w:rsidRPr="006234AA">
        <w:rPr>
          <w:lang w:val="nl-NL"/>
        </w:rPr>
        <w:t xml:space="preserve">Trung tâm lưu ký chứng khoán </w:t>
      </w:r>
      <w:r w:rsidRPr="006234AA">
        <w:rPr>
          <w:lang w:val="nl-NL"/>
        </w:rPr>
        <w:t xml:space="preserve">có thể </w:t>
      </w:r>
      <w:r w:rsidR="006D3297" w:rsidRPr="006234AA">
        <w:rPr>
          <w:lang w:val="nl-NL"/>
        </w:rPr>
        <w:t>theo dõi</w:t>
      </w:r>
      <w:r w:rsidR="00EF727E" w:rsidRPr="006234AA">
        <w:rPr>
          <w:lang w:val="nl-NL"/>
        </w:rPr>
        <w:t>, giám sát</w:t>
      </w:r>
      <w:r w:rsidR="006D3297" w:rsidRPr="006234AA">
        <w:rPr>
          <w:lang w:val="nl-NL"/>
        </w:rPr>
        <w:t xml:space="preserve"> và tổng hợp được đầy đủ thông tin </w:t>
      </w:r>
      <w:r w:rsidR="00F038B2" w:rsidRPr="006234AA">
        <w:rPr>
          <w:lang w:val="nl-NL"/>
        </w:rPr>
        <w:t>về vị thế</w:t>
      </w:r>
      <w:r w:rsidR="00DB1EAC" w:rsidRPr="006234AA">
        <w:rPr>
          <w:lang w:val="nl-NL"/>
        </w:rPr>
        <w:t>,</w:t>
      </w:r>
      <w:r w:rsidR="006D3297" w:rsidRPr="006234AA">
        <w:rPr>
          <w:lang w:val="nl-NL"/>
        </w:rPr>
        <w:t xml:space="preserve"> </w:t>
      </w:r>
      <w:r w:rsidR="00F038B2" w:rsidRPr="006234AA">
        <w:rPr>
          <w:lang w:val="nl-NL"/>
        </w:rPr>
        <w:t xml:space="preserve">danh mục tài sản </w:t>
      </w:r>
      <w:r w:rsidR="006D3297" w:rsidRPr="006234AA">
        <w:rPr>
          <w:lang w:val="nl-NL"/>
        </w:rPr>
        <w:t>ký quỹ</w:t>
      </w:r>
      <w:r w:rsidR="00F038B2" w:rsidRPr="006234AA">
        <w:rPr>
          <w:lang w:val="nl-NL"/>
        </w:rPr>
        <w:t xml:space="preserve"> </w:t>
      </w:r>
      <w:r w:rsidR="005E6740" w:rsidRPr="006234AA">
        <w:rPr>
          <w:lang w:val="nl-NL"/>
        </w:rPr>
        <w:t>trên từng</w:t>
      </w:r>
      <w:r w:rsidR="00F038B2" w:rsidRPr="006234AA">
        <w:rPr>
          <w:lang w:val="nl-NL"/>
        </w:rPr>
        <w:t xml:space="preserve"> tài khoản </w:t>
      </w:r>
      <w:r w:rsidR="00EF727E" w:rsidRPr="006234AA">
        <w:rPr>
          <w:lang w:val="nl-NL"/>
        </w:rPr>
        <w:t>nhà đầu tư</w:t>
      </w:r>
      <w:r w:rsidRPr="006234AA">
        <w:rPr>
          <w:lang w:val="nl-NL"/>
        </w:rPr>
        <w:t>;</w:t>
      </w:r>
    </w:p>
    <w:p w:rsidR="006A7C69" w:rsidRPr="006234AA" w:rsidRDefault="00ED3E72" w:rsidP="003C0546">
      <w:pPr>
        <w:spacing w:after="120"/>
        <w:ind w:firstLine="709"/>
        <w:rPr>
          <w:lang w:val="nl-NL"/>
        </w:rPr>
      </w:pPr>
      <w:r w:rsidRPr="006234AA">
        <w:rPr>
          <w:lang w:val="nl-NL"/>
        </w:rPr>
        <w:t xml:space="preserve">- Trung tâm lưu ký chứng khoán xác định được giá trị ký quỹ duy trì tối thiểu cho từng tài khoản ký quỹ của </w:t>
      </w:r>
      <w:r w:rsidR="00EF727E" w:rsidRPr="006234AA">
        <w:rPr>
          <w:lang w:val="nl-NL"/>
        </w:rPr>
        <w:t>nhà đầu tư</w:t>
      </w:r>
      <w:r w:rsidR="006A7C69" w:rsidRPr="006234AA">
        <w:rPr>
          <w:lang w:val="nl-NL"/>
        </w:rPr>
        <w:t xml:space="preserve">, </w:t>
      </w:r>
      <w:r w:rsidR="00AC32AF" w:rsidRPr="006234AA">
        <w:rPr>
          <w:lang w:val="nl-NL"/>
        </w:rPr>
        <w:t xml:space="preserve">trên cơ sở đó xác định đươc tổng </w:t>
      </w:r>
      <w:r w:rsidR="006A7C69" w:rsidRPr="006234AA">
        <w:rPr>
          <w:lang w:val="nl-NL"/>
        </w:rPr>
        <w:t>giá trị ký quỹ duy trì từ các vị thế đứng tên từng thành viên bù trừ</w:t>
      </w:r>
      <w:r w:rsidRPr="006234AA">
        <w:rPr>
          <w:lang w:val="nl-NL"/>
        </w:rPr>
        <w:t xml:space="preserve">. Trường </w:t>
      </w:r>
      <w:r w:rsidRPr="006234AA">
        <w:rPr>
          <w:lang w:val="nl-NL"/>
        </w:rPr>
        <w:lastRenderedPageBreak/>
        <w:t>hợp cần thiết, Trung tâm Lưu ký chứng khoán có thể thông báo ngay trong phiên giao dịch và yêu cầu thành viên bù trừ thực hiện bổ sung ký quỹ theo quy định tại Thông tư này;</w:t>
      </w:r>
    </w:p>
    <w:p w:rsidR="00ED3E72" w:rsidRPr="006234AA" w:rsidRDefault="006A7C69" w:rsidP="003C0546">
      <w:pPr>
        <w:spacing w:after="120"/>
        <w:ind w:firstLine="709"/>
        <w:rPr>
          <w:lang w:val="nl-NL"/>
        </w:rPr>
      </w:pPr>
      <w:r w:rsidRPr="006234AA">
        <w:rPr>
          <w:lang w:val="nl-NL"/>
        </w:rPr>
        <w:t xml:space="preserve">đ) </w:t>
      </w:r>
      <w:r w:rsidR="00ED3E72" w:rsidRPr="006234AA">
        <w:rPr>
          <w:lang w:val="nl-NL"/>
        </w:rPr>
        <w:t>Tại mọi thời điểm, Trung tâm Lưu ký chứng khoán có quyền yêu cầu thành viên bù trừ cung cấp thông tin chi tiết trên tài khoản bù trừ, bao gồm mã số định danh, số tài khoản ký quỹ, vị thế và danh mục tài sản ký quỹ của từng khách hàng (số tài khoản lưu ký và số lượng, mã chứng khoán ký quỹ, số tài khoản và số dư tài khoản tiền gửi ký quỹ).</w:t>
      </w:r>
    </w:p>
    <w:p w:rsidR="001A17AF" w:rsidRPr="006234AA" w:rsidRDefault="001A17AF" w:rsidP="003C0546">
      <w:pPr>
        <w:tabs>
          <w:tab w:val="left" w:pos="1134"/>
        </w:tabs>
        <w:spacing w:after="120"/>
        <w:rPr>
          <w:lang w:val="id-ID"/>
        </w:rPr>
      </w:pPr>
      <w:r w:rsidRPr="006234AA">
        <w:rPr>
          <w:lang w:val="nl-NL"/>
        </w:rPr>
        <w:t>2. Tài khoản tổng bù trừ, thanh toán của thành viên bù trừ</w:t>
      </w:r>
      <w:r w:rsidR="00AC6E99" w:rsidRPr="006234AA">
        <w:rPr>
          <w:lang w:val="nl-NL"/>
        </w:rPr>
        <w:t xml:space="preserve"> để theo dõi vị thế đứng tên thành viên bù trừ, quản lý thu, chi ký quỹ, thanh toán và hạch toán lãi lỗ vị thế phái sinh giữa các thành viên bù trừ và </w:t>
      </w:r>
      <w:r w:rsidRPr="006234AA">
        <w:rPr>
          <w:lang w:val="id-ID"/>
        </w:rPr>
        <w:t>bao gồm các nội dung sau đây:</w:t>
      </w:r>
    </w:p>
    <w:p w:rsidR="001A17AF" w:rsidRPr="006234AA" w:rsidRDefault="001A17AF" w:rsidP="003C0546">
      <w:pPr>
        <w:tabs>
          <w:tab w:val="left" w:pos="709"/>
        </w:tabs>
        <w:spacing w:after="120"/>
        <w:ind w:firstLine="0"/>
        <w:rPr>
          <w:lang w:val="pt-BR"/>
        </w:rPr>
      </w:pPr>
      <w:r w:rsidRPr="006234AA">
        <w:rPr>
          <w:lang w:val="pt-BR"/>
        </w:rPr>
        <w:tab/>
        <w:t>a) Thông tin nhận diện thành viên bù trừ: tên đầy đủ, tên viết tắt, tên giao dịch, địa chỉ trụ sở chính, số giấy phép thành lập và hoạt động/giấy chứng nhận đăng ký kinh doanh; họ và tên, số chứng minh nhân dân hoặc số thẻ công dân (nếu có) hoặc số hộ chiếu còn hiệu lực, số điện thoại liên lạc, địa chỉ email của người đại diện theo pháp luật, Chủ tịch Hội đồng quản trị, Hội đồng thành viên hoặc Chủ tịch công ty, Tổng giám đốc hoặc Giám đốc công ty, người được ủy quyền công bố thông tin;</w:t>
      </w:r>
    </w:p>
    <w:p w:rsidR="001A17AF" w:rsidRPr="006234AA" w:rsidRDefault="001A17AF" w:rsidP="003C0546">
      <w:pPr>
        <w:tabs>
          <w:tab w:val="left" w:pos="709"/>
        </w:tabs>
        <w:spacing w:after="120"/>
        <w:ind w:firstLine="0"/>
        <w:rPr>
          <w:lang w:val="pt-BR"/>
        </w:rPr>
      </w:pPr>
      <w:r w:rsidRPr="006234AA">
        <w:rPr>
          <w:lang w:val="pt-BR"/>
        </w:rPr>
        <w:tab/>
        <w:t xml:space="preserve">b) Thông tin về </w:t>
      </w:r>
      <w:r w:rsidR="005848E1" w:rsidRPr="006234AA">
        <w:rPr>
          <w:lang w:val="pt-BR"/>
        </w:rPr>
        <w:t xml:space="preserve">hoạt động </w:t>
      </w:r>
      <w:r w:rsidR="003F011B" w:rsidRPr="006234AA">
        <w:rPr>
          <w:lang w:val="pt-BR"/>
        </w:rPr>
        <w:t>trên tài khoản tự doanh, tạo lập thị trường</w:t>
      </w:r>
      <w:r w:rsidRPr="006234AA">
        <w:rPr>
          <w:lang w:val="pt-BR"/>
        </w:rPr>
        <w:t>: Mã số định danh, s</w:t>
      </w:r>
      <w:r w:rsidRPr="006234AA">
        <w:rPr>
          <w:lang w:val="id-ID"/>
        </w:rPr>
        <w:t>ố tài khoản giao dịch tự doanh, số tài khoản giao dịch tạo lập thị trường, số tài khoản giao dịch chứng khoán cơ sở, số tài khoản lưu ký chứng khoán (nếu có);</w:t>
      </w:r>
      <w:r w:rsidR="005848E1" w:rsidRPr="006234AA">
        <w:rPr>
          <w:lang w:val="pt-BR"/>
        </w:rPr>
        <w:t xml:space="preserve"> v</w:t>
      </w:r>
      <w:r w:rsidR="005848E1" w:rsidRPr="006234AA">
        <w:rPr>
          <w:lang w:val="id-ID"/>
        </w:rPr>
        <w:t>ị thế tự doanh, vị thế tạo lập thị trường hiện tại của thành viên (số lượng hợp đồng, loại hợp đồng, quy mô của hợp đồng, giá thanh toán, vị thế giao dịch, kỳ chuyển giao)</w:t>
      </w:r>
      <w:r w:rsidR="003F011B" w:rsidRPr="006234AA">
        <w:rPr>
          <w:lang w:val="pt-BR"/>
        </w:rPr>
        <w:t>, danh mục tài sản ký quỹ (</w:t>
      </w:r>
      <w:r w:rsidR="003F011B" w:rsidRPr="006234AA">
        <w:rPr>
          <w:lang w:val="id-ID"/>
        </w:rPr>
        <w:t xml:space="preserve">số dư tài khoản tiền gửi </w:t>
      </w:r>
      <w:r w:rsidR="003F011B" w:rsidRPr="006234AA">
        <w:rPr>
          <w:lang w:val="pt-BR"/>
        </w:rPr>
        <w:t>bù trừ thanh toán của hoạt động tự doanh, tạo lập thị trường</w:t>
      </w:r>
      <w:r w:rsidR="008F783E" w:rsidRPr="006234AA">
        <w:rPr>
          <w:lang w:val="pt-BR"/>
        </w:rPr>
        <w:t>;</w:t>
      </w:r>
      <w:r w:rsidR="003F011B" w:rsidRPr="006234AA">
        <w:rPr>
          <w:lang w:val="id-ID"/>
        </w:rPr>
        <w:t xml:space="preserve"> </w:t>
      </w:r>
      <w:r w:rsidR="008F783E" w:rsidRPr="006234AA">
        <w:t xml:space="preserve">danh mục </w:t>
      </w:r>
      <w:r w:rsidR="003F011B" w:rsidRPr="006234AA">
        <w:rPr>
          <w:lang w:val="id-ID"/>
        </w:rPr>
        <w:t>chứng khoán</w:t>
      </w:r>
      <w:r w:rsidR="003F011B" w:rsidRPr="006234AA">
        <w:rPr>
          <w:lang w:val="pt-BR"/>
        </w:rPr>
        <w:t xml:space="preserve"> ký quỹ</w:t>
      </w:r>
      <w:r w:rsidR="003F011B" w:rsidRPr="006234AA">
        <w:rPr>
          <w:lang w:val="id-ID"/>
        </w:rPr>
        <w:t>, số lượng, giá trị định giá tại thời điểm gần nhất)</w:t>
      </w:r>
      <w:r w:rsidR="003F011B" w:rsidRPr="006234AA">
        <w:rPr>
          <w:lang w:val="pt-BR"/>
        </w:rPr>
        <w:t>;</w:t>
      </w:r>
    </w:p>
    <w:p w:rsidR="003F011B" w:rsidRPr="006234AA" w:rsidRDefault="001A17AF" w:rsidP="003C0546">
      <w:pPr>
        <w:tabs>
          <w:tab w:val="left" w:pos="709"/>
        </w:tabs>
        <w:spacing w:after="120"/>
        <w:ind w:firstLine="0"/>
        <w:rPr>
          <w:lang w:val="id-ID"/>
        </w:rPr>
      </w:pPr>
      <w:r w:rsidRPr="006234AA">
        <w:rPr>
          <w:lang w:val="id-ID"/>
        </w:rPr>
        <w:tab/>
        <w:t xml:space="preserve">c) Thông tin về </w:t>
      </w:r>
      <w:r w:rsidR="003F011B" w:rsidRPr="006234AA">
        <w:rPr>
          <w:lang w:val="id-ID"/>
        </w:rPr>
        <w:t>hoạt động trên tài khoản môi giới: mã số định danh và số tài khoản ký quỹ, vị thế và danh mục tài sản ký quỹ của từng khách hàng;</w:t>
      </w:r>
    </w:p>
    <w:p w:rsidR="001A17AF" w:rsidRPr="006234AA" w:rsidRDefault="003F011B" w:rsidP="003C0546">
      <w:pPr>
        <w:tabs>
          <w:tab w:val="left" w:pos="709"/>
        </w:tabs>
        <w:spacing w:after="120"/>
        <w:ind w:firstLine="0"/>
        <w:rPr>
          <w:lang w:val="id-ID"/>
        </w:rPr>
      </w:pPr>
      <w:r w:rsidRPr="006234AA">
        <w:rPr>
          <w:lang w:val="id-ID"/>
        </w:rPr>
        <w:tab/>
        <w:t xml:space="preserve">d) Thông tin về hoạt động trên tài khoản dịch vụ bù trừ thanh toán: mã số định danh và số tài khoản ký quỹ, vị thế và danh mục tài sản ký quỹ của từng khách hàng, thông tin nhận diện thành viên giao dịch của khách hàng đó. </w:t>
      </w:r>
    </w:p>
    <w:p w:rsidR="001A17AF" w:rsidRPr="006234AA" w:rsidRDefault="00677061" w:rsidP="003C0546">
      <w:pPr>
        <w:tabs>
          <w:tab w:val="left" w:pos="993"/>
        </w:tabs>
        <w:spacing w:after="120"/>
        <w:rPr>
          <w:lang w:val="id-ID"/>
        </w:rPr>
      </w:pPr>
      <w:r w:rsidRPr="006234AA">
        <w:rPr>
          <w:lang w:val="nl-NL"/>
        </w:rPr>
        <w:t xml:space="preserve"> </w:t>
      </w:r>
      <w:r w:rsidR="003F011B" w:rsidRPr="006234AA">
        <w:rPr>
          <w:lang w:val="nl-NL"/>
        </w:rPr>
        <w:t>3. Thành viên bù trừ có trách nhiệm</w:t>
      </w:r>
      <w:r w:rsidR="0012413A" w:rsidRPr="006234AA">
        <w:rPr>
          <w:lang w:val="nl-NL"/>
        </w:rPr>
        <w:t xml:space="preserve"> tiếp nhận tiền gửi ký quỹ, chứng khoán ký quỹ từ khách hàng và thông báo cho Trung tâm Lưu ký chứng khoán theo quy chế của Trung tâm Lưu ký chứng khoán. Thành viên bù trừ</w:t>
      </w:r>
      <w:r w:rsidR="003F011B" w:rsidRPr="006234AA">
        <w:rPr>
          <w:lang w:val="nl-NL"/>
        </w:rPr>
        <w:t xml:space="preserve"> bảo đảm các khoản ký quỹ </w:t>
      </w:r>
      <w:r w:rsidRPr="006234AA">
        <w:rPr>
          <w:lang w:val="nl-NL"/>
        </w:rPr>
        <w:t xml:space="preserve">của khách hàng </w:t>
      </w:r>
      <w:r w:rsidR="003F011B" w:rsidRPr="006234AA">
        <w:rPr>
          <w:lang w:val="nl-NL"/>
        </w:rPr>
        <w:t>chuyển vào tài khoản tổng tiền gửi bù trừ, thanh toán phải được bóc tách tới tài khoản tiền gửi ký quỹ của từng nhà đầu tư.</w:t>
      </w:r>
      <w:r w:rsidR="001A17AF" w:rsidRPr="006234AA">
        <w:rPr>
          <w:lang w:val="nl-NL"/>
        </w:rPr>
        <w:t xml:space="preserve"> </w:t>
      </w:r>
      <w:r w:rsidR="001A17AF" w:rsidRPr="006234AA">
        <w:rPr>
          <w:lang w:val="id-ID"/>
        </w:rPr>
        <w:t xml:space="preserve">Số dư tài khoản </w:t>
      </w:r>
      <w:r w:rsidR="003F011B" w:rsidRPr="006234AA">
        <w:rPr>
          <w:lang w:val="id-ID"/>
        </w:rPr>
        <w:t xml:space="preserve">ký quỹ </w:t>
      </w:r>
      <w:r w:rsidR="001A17AF" w:rsidRPr="006234AA">
        <w:rPr>
          <w:lang w:val="id-ID"/>
        </w:rPr>
        <w:t xml:space="preserve">của </w:t>
      </w:r>
      <w:r w:rsidR="003F011B" w:rsidRPr="006234AA">
        <w:rPr>
          <w:lang w:val="id-ID"/>
        </w:rPr>
        <w:t>từng khách hàng</w:t>
      </w:r>
      <w:r w:rsidR="001A17AF" w:rsidRPr="006234AA">
        <w:rPr>
          <w:lang w:val="id-ID"/>
        </w:rPr>
        <w:t xml:space="preserve"> bao gồm số dư tài khoản tiền gửi </w:t>
      </w:r>
      <w:r w:rsidR="003F011B" w:rsidRPr="006234AA">
        <w:rPr>
          <w:lang w:val="id-ID"/>
        </w:rPr>
        <w:t xml:space="preserve">ký quỹ </w:t>
      </w:r>
      <w:r w:rsidR="001A17AF" w:rsidRPr="006234AA">
        <w:rPr>
          <w:lang w:val="id-ID"/>
        </w:rPr>
        <w:t>và giá trị danh mục</w:t>
      </w:r>
      <w:r w:rsidR="008F783E" w:rsidRPr="006234AA">
        <w:t xml:space="preserve"> chứng khoán</w:t>
      </w:r>
      <w:r w:rsidR="001A17AF" w:rsidRPr="006234AA">
        <w:rPr>
          <w:lang w:val="id-ID"/>
        </w:rPr>
        <w:t xml:space="preserve"> ký quỹ </w:t>
      </w:r>
      <w:r w:rsidR="003F011B" w:rsidRPr="006234AA">
        <w:rPr>
          <w:lang w:val="id-ID"/>
        </w:rPr>
        <w:t>của khách hàng được định giá theo quy định tại Phụ lục số</w:t>
      </w:r>
      <w:r w:rsidR="00E2247D" w:rsidRPr="006234AA">
        <w:t xml:space="preserve"> 9 </w:t>
      </w:r>
      <w:r w:rsidR="003F011B" w:rsidRPr="006234AA">
        <w:rPr>
          <w:lang w:val="id-ID"/>
        </w:rPr>
        <w:t>ban hành kèm theo Thông tư này</w:t>
      </w:r>
      <w:r w:rsidR="001A17AF" w:rsidRPr="006234AA">
        <w:rPr>
          <w:lang w:val="id-ID"/>
        </w:rPr>
        <w:t>.</w:t>
      </w:r>
    </w:p>
    <w:p w:rsidR="00BD469F" w:rsidRPr="006234AA" w:rsidRDefault="003F011B" w:rsidP="003C0546">
      <w:pPr>
        <w:spacing w:after="120"/>
        <w:ind w:firstLine="709"/>
        <w:rPr>
          <w:lang w:val="nl-NL"/>
        </w:rPr>
      </w:pPr>
      <w:r w:rsidRPr="006234AA">
        <w:rPr>
          <w:lang w:val="nl-NL"/>
        </w:rPr>
        <w:lastRenderedPageBreak/>
        <w:t>4</w:t>
      </w:r>
      <w:r w:rsidR="00827574" w:rsidRPr="006234AA">
        <w:rPr>
          <w:lang w:val="nl-NL"/>
        </w:rPr>
        <w:t>. Tài khoản tổng tiền gửi bù trừ, thanh toán chỉ được thực hiện các hoạt động sau:</w:t>
      </w:r>
    </w:p>
    <w:p w:rsidR="00827574" w:rsidRPr="006234AA" w:rsidRDefault="00827574" w:rsidP="003C0546">
      <w:pPr>
        <w:pStyle w:val="BodyText"/>
        <w:widowControl w:val="0"/>
        <w:tabs>
          <w:tab w:val="left" w:pos="994"/>
        </w:tabs>
        <w:rPr>
          <w:lang w:val="nl-NL"/>
        </w:rPr>
      </w:pPr>
      <w:r w:rsidRPr="006234AA">
        <w:rPr>
          <w:lang w:val="nl-NL"/>
        </w:rPr>
        <w:t xml:space="preserve">a) Tiếp nhận tiền gửi ký quỹ từ </w:t>
      </w:r>
      <w:r w:rsidR="00AC6E99" w:rsidRPr="006234AA">
        <w:rPr>
          <w:lang w:val="nl-NL"/>
        </w:rPr>
        <w:t xml:space="preserve">khách hàng, </w:t>
      </w:r>
      <w:r w:rsidRPr="006234AA">
        <w:rPr>
          <w:lang w:val="nl-NL"/>
        </w:rPr>
        <w:t>thành viên bù trừ</w:t>
      </w:r>
      <w:r w:rsidR="00AC32AF" w:rsidRPr="006234AA">
        <w:rPr>
          <w:lang w:val="nl-NL"/>
        </w:rPr>
        <w:t xml:space="preserve"> cho các vị thế mở đứng tên thành viên bù trừ</w:t>
      </w:r>
      <w:r w:rsidRPr="006234AA">
        <w:rPr>
          <w:lang w:val="nl-NL"/>
        </w:rPr>
        <w:t xml:space="preserve">; thanh toán, hoàn trả tiền gửi ký quỹ cho </w:t>
      </w:r>
      <w:r w:rsidR="00AC6E99" w:rsidRPr="006234AA">
        <w:rPr>
          <w:lang w:val="nl-NL"/>
        </w:rPr>
        <w:t xml:space="preserve">khách hàng, </w:t>
      </w:r>
      <w:r w:rsidRPr="006234AA">
        <w:rPr>
          <w:lang w:val="nl-NL"/>
        </w:rPr>
        <w:t>thành viên bù trừ. Việc thanh toán được thực hiện dưới hình thức chuyển khoản tới tài khoản ký quỹ của thành viên bù trừ</w:t>
      </w:r>
      <w:r w:rsidR="00AC6E99" w:rsidRPr="006234AA">
        <w:rPr>
          <w:lang w:val="nl-NL"/>
        </w:rPr>
        <w:t>, khách hàng</w:t>
      </w:r>
      <w:r w:rsidRPr="006234AA">
        <w:rPr>
          <w:lang w:val="nl-NL"/>
        </w:rPr>
        <w:t>;</w:t>
      </w:r>
    </w:p>
    <w:p w:rsidR="006D3297" w:rsidRPr="006234AA" w:rsidRDefault="00827574" w:rsidP="003C0546">
      <w:pPr>
        <w:pStyle w:val="BodyText"/>
        <w:widowControl w:val="0"/>
        <w:tabs>
          <w:tab w:val="left" w:pos="994"/>
        </w:tabs>
        <w:rPr>
          <w:lang w:val="nl-NL"/>
        </w:rPr>
      </w:pPr>
      <w:r w:rsidRPr="006234AA">
        <w:rPr>
          <w:lang w:val="nl-NL"/>
        </w:rPr>
        <w:t>b) Nhận thanh toán lãi suất tiền gửi từ ngân hàng</w:t>
      </w:r>
      <w:r w:rsidR="00AC6E99" w:rsidRPr="006234AA">
        <w:rPr>
          <w:lang w:val="nl-NL"/>
        </w:rPr>
        <w:t xml:space="preserve"> với mức lãi suất theo thỏa thuận với ngân hàng;</w:t>
      </w:r>
    </w:p>
    <w:p w:rsidR="00AC32AF" w:rsidRPr="006234AA" w:rsidRDefault="00AC32AF" w:rsidP="003C0546">
      <w:pPr>
        <w:spacing w:after="120"/>
        <w:rPr>
          <w:lang w:val="nl-NL"/>
        </w:rPr>
      </w:pPr>
      <w:r w:rsidRPr="006234AA">
        <w:rPr>
          <w:lang w:val="nl-NL"/>
        </w:rPr>
        <w:t xml:space="preserve">c) </w:t>
      </w:r>
      <w:r w:rsidR="00E2247D" w:rsidRPr="006234AA">
        <w:rPr>
          <w:lang w:val="nl-NL"/>
        </w:rPr>
        <w:t>Chuyển khoản, h</w:t>
      </w:r>
      <w:r w:rsidRPr="006234AA">
        <w:rPr>
          <w:lang w:val="nl-NL"/>
        </w:rPr>
        <w:t>ạch toán lỗ, lãi vị thế cho các vị thế mở đứng tên thành viên bù trừ</w:t>
      </w:r>
      <w:r w:rsidR="00AC6E99" w:rsidRPr="006234AA">
        <w:rPr>
          <w:lang w:val="nl-NL"/>
        </w:rPr>
        <w:t>, bao gồm cả các vị thế mở khách hàng; t</w:t>
      </w:r>
      <w:r w:rsidRPr="006234AA">
        <w:rPr>
          <w:lang w:val="nl-NL"/>
        </w:rPr>
        <w:t>hanh toán, tiếp nhận thanh toán giao dịch từ các vị thế chứng khoán phái sinh đứng tên thành viên bù trừ</w:t>
      </w:r>
      <w:r w:rsidR="00AC6E99" w:rsidRPr="006234AA">
        <w:rPr>
          <w:lang w:val="nl-NL"/>
        </w:rPr>
        <w:t>.</w:t>
      </w:r>
    </w:p>
    <w:p w:rsidR="00AC6E99" w:rsidRPr="006234AA" w:rsidRDefault="00AC6E99" w:rsidP="003C0546">
      <w:pPr>
        <w:spacing w:after="120"/>
        <w:rPr>
          <w:lang w:val="nl-NL"/>
        </w:rPr>
      </w:pPr>
      <w:r w:rsidRPr="006234AA">
        <w:rPr>
          <w:lang w:val="nl-NL"/>
        </w:rPr>
        <w:t xml:space="preserve">5. </w:t>
      </w:r>
      <w:r w:rsidRPr="006234AA">
        <w:rPr>
          <w:lang w:val="pt-BR"/>
        </w:rPr>
        <w:t>Trường hợp thành viên bù trừ bị phá sản, tài sản ký quỹ của khách hàng trên tài khoản bù trừ, thanh toán của thành viên bù trừ không được coi là tài sản của doanh nghiệp bị mất khả năng thanh toán và phải được hoàn trả hết cho khách hàng.</w:t>
      </w:r>
    </w:p>
    <w:p w:rsidR="00DB0DA5" w:rsidRPr="006234AA" w:rsidRDefault="00AC6E99" w:rsidP="003C0546">
      <w:pPr>
        <w:tabs>
          <w:tab w:val="left" w:pos="993"/>
        </w:tabs>
        <w:spacing w:after="120"/>
        <w:rPr>
          <w:lang w:val="nl-NL"/>
        </w:rPr>
      </w:pPr>
      <w:r w:rsidRPr="006234AA">
        <w:rPr>
          <w:lang w:val="nl-NL"/>
        </w:rPr>
        <w:t>6</w:t>
      </w:r>
      <w:r w:rsidR="00DB0DA5" w:rsidRPr="006234AA">
        <w:rPr>
          <w:lang w:val="nl-NL"/>
        </w:rPr>
        <w:t xml:space="preserve">. Trung tâm Lưu ký chứng khoán có quyền sử dụng tài sản ký quỹ </w:t>
      </w:r>
      <w:r w:rsidR="00677061" w:rsidRPr="006234AA">
        <w:rPr>
          <w:lang w:val="nl-NL"/>
        </w:rPr>
        <w:t>của khách hàng và của thành viên đã</w:t>
      </w:r>
      <w:r w:rsidR="00DB0DA5" w:rsidRPr="006234AA">
        <w:rPr>
          <w:lang w:val="nl-NL"/>
        </w:rPr>
        <w:t xml:space="preserve"> nộp vào tài khoản tổng bù trừ, thanh toán để </w:t>
      </w:r>
      <w:r w:rsidR="00810009" w:rsidRPr="006234AA">
        <w:rPr>
          <w:lang w:val="nl-NL"/>
        </w:rPr>
        <w:t xml:space="preserve">hỗ trợ thanh toán, </w:t>
      </w:r>
      <w:r w:rsidR="00DB0DA5" w:rsidRPr="006234AA">
        <w:rPr>
          <w:lang w:val="nl-NL"/>
        </w:rPr>
        <w:t>bù đắp thiệt hại</w:t>
      </w:r>
      <w:r w:rsidR="00810009" w:rsidRPr="006234AA">
        <w:rPr>
          <w:lang w:val="nl-NL"/>
        </w:rPr>
        <w:t xml:space="preserve"> từ</w:t>
      </w:r>
      <w:r w:rsidR="00DB0DA5" w:rsidRPr="006234AA">
        <w:rPr>
          <w:lang w:val="nl-NL"/>
        </w:rPr>
        <w:t xml:space="preserve"> các vị thế mở của </w:t>
      </w:r>
      <w:r w:rsidR="00810009" w:rsidRPr="006234AA">
        <w:rPr>
          <w:lang w:val="nl-NL"/>
        </w:rPr>
        <w:t xml:space="preserve">khách hàng và của </w:t>
      </w:r>
      <w:r w:rsidR="00DB0DA5" w:rsidRPr="006234AA">
        <w:rPr>
          <w:lang w:val="nl-NL"/>
        </w:rPr>
        <w:t xml:space="preserve">thành viên bù trừ theo quy định tại Điều </w:t>
      </w:r>
      <w:r w:rsidR="00810009" w:rsidRPr="006234AA">
        <w:rPr>
          <w:lang w:val="nl-NL"/>
        </w:rPr>
        <w:t>5</w:t>
      </w:r>
      <w:r w:rsidR="00B614BC" w:rsidRPr="006234AA">
        <w:rPr>
          <w:lang w:val="nl-NL"/>
        </w:rPr>
        <w:t>1</w:t>
      </w:r>
      <w:r w:rsidR="00DB0DA5" w:rsidRPr="006234AA">
        <w:rPr>
          <w:lang w:val="nl-NL"/>
        </w:rPr>
        <w:t xml:space="preserve"> Thông tư này.</w:t>
      </w:r>
      <w:r w:rsidR="0012413A" w:rsidRPr="006234AA">
        <w:rPr>
          <w:lang w:val="nl-NL"/>
        </w:rPr>
        <w:t xml:space="preserve"> Việc sử dụng các tài sản này phải bảo đảm nguyên tắc sau:</w:t>
      </w:r>
    </w:p>
    <w:p w:rsidR="0012413A" w:rsidRPr="006234AA" w:rsidRDefault="0012413A" w:rsidP="003C0546">
      <w:pPr>
        <w:spacing w:after="120"/>
        <w:rPr>
          <w:lang w:val="nl-NL"/>
        </w:rPr>
      </w:pPr>
      <w:r w:rsidRPr="006234AA">
        <w:rPr>
          <w:lang w:val="nl-NL"/>
        </w:rPr>
        <w:t xml:space="preserve">a) Tài sản ký quỹ của khách hàng không được sử dụng để </w:t>
      </w:r>
      <w:r w:rsidR="00B85F4E" w:rsidRPr="006234AA">
        <w:rPr>
          <w:lang w:val="nl-NL"/>
        </w:rPr>
        <w:t xml:space="preserve">hỗ trợ thanh toán </w:t>
      </w:r>
      <w:r w:rsidRPr="006234AA">
        <w:rPr>
          <w:lang w:val="nl-NL"/>
        </w:rPr>
        <w:t>các nghĩa vụ tài chính từ các vị thế tự doanh, tạo lập thị trường của thành viên</w:t>
      </w:r>
      <w:r w:rsidR="00B85F4E" w:rsidRPr="006234AA">
        <w:rPr>
          <w:lang w:val="nl-NL"/>
        </w:rPr>
        <w:t>, và chỉ được sử dụng để hỗ trợ thanh toán  cho các vị thế của khách hàng;</w:t>
      </w:r>
    </w:p>
    <w:p w:rsidR="0012413A" w:rsidRPr="006234AA" w:rsidRDefault="0012413A" w:rsidP="003C0546">
      <w:pPr>
        <w:spacing w:after="120"/>
        <w:rPr>
          <w:lang w:val="nl-NL"/>
        </w:rPr>
      </w:pPr>
      <w:r w:rsidRPr="006234AA">
        <w:rPr>
          <w:lang w:val="nl-NL"/>
        </w:rPr>
        <w:t>b) Phần tài sản ký quỹ được sử dụng (nếu có), không được vượt quá mức ký quỹ duy trì tối thiểu xác định trên cơ sở vị thế hiện tại của tài khoản</w:t>
      </w:r>
      <w:r w:rsidR="00B85F4E" w:rsidRPr="006234AA">
        <w:rPr>
          <w:lang w:val="nl-NL"/>
        </w:rPr>
        <w:t xml:space="preserve"> khách hàng</w:t>
      </w:r>
      <w:r w:rsidRPr="006234AA">
        <w:rPr>
          <w:lang w:val="nl-NL"/>
        </w:rPr>
        <w:t xml:space="preserve"> đó và theo quy chế của Trung tâm Lưu ký chứng khoán;</w:t>
      </w:r>
    </w:p>
    <w:p w:rsidR="0012413A" w:rsidRPr="006234AA" w:rsidRDefault="00B85F4E" w:rsidP="003C0546">
      <w:pPr>
        <w:spacing w:after="120"/>
        <w:rPr>
          <w:lang w:val="nl-NL"/>
        </w:rPr>
      </w:pPr>
      <w:r w:rsidRPr="006234AA">
        <w:rPr>
          <w:lang w:val="nl-NL"/>
        </w:rPr>
        <w:t xml:space="preserve">c) </w:t>
      </w:r>
      <w:r w:rsidR="00810009" w:rsidRPr="006234AA">
        <w:rPr>
          <w:lang w:val="nl-NL"/>
        </w:rPr>
        <w:t>Hình thức sử dụng theo q</w:t>
      </w:r>
      <w:r w:rsidR="0012413A" w:rsidRPr="006234AA">
        <w:rPr>
          <w:lang w:val="nl-NL"/>
        </w:rPr>
        <w:t>uy chế của Trung tâm lưu ký chứng khoán.</w:t>
      </w:r>
    </w:p>
    <w:p w:rsidR="00B614BC" w:rsidRPr="006234AA" w:rsidRDefault="000C2E05" w:rsidP="003C0546">
      <w:pPr>
        <w:spacing w:after="120"/>
        <w:rPr>
          <w:lang w:val="nl-NL"/>
        </w:rPr>
      </w:pPr>
      <w:r w:rsidRPr="006234AA">
        <w:rPr>
          <w:lang w:val="nl-NL"/>
        </w:rPr>
        <w:t>6</w:t>
      </w:r>
      <w:r w:rsidR="00DB0DA5" w:rsidRPr="006234AA">
        <w:rPr>
          <w:lang w:val="nl-NL"/>
        </w:rPr>
        <w:t xml:space="preserve">. Sau khi có chấp thuận của Ủy ban Chứng khoán Nhà nước, Trung tâm lưu ký chứng khoán có quyền điều chỉnh các thông số kỹ thuật, phương thức, thuật toán xác định </w:t>
      </w:r>
      <w:r w:rsidR="00810009" w:rsidRPr="006234AA">
        <w:rPr>
          <w:lang w:val="nl-NL"/>
        </w:rPr>
        <w:t xml:space="preserve">các </w:t>
      </w:r>
      <w:r w:rsidR="00DB0DA5" w:rsidRPr="006234AA">
        <w:rPr>
          <w:lang w:val="nl-NL"/>
        </w:rPr>
        <w:t xml:space="preserve">mức ký quỹ. Trung tâm lưu ký chứng khoán có quyền áp dụng các mức ký quỹ khác nhau tùy thuộc </w:t>
      </w:r>
      <w:r w:rsidR="00D9720F" w:rsidRPr="006234AA">
        <w:rPr>
          <w:lang w:val="nl-NL"/>
        </w:rPr>
        <w:t>hình thức giao dịch (giao dịch chứng khoán phái sinh không niêm yết hoặc giao dịch chứng khoán phái sinh niêm yết)</w:t>
      </w:r>
      <w:r w:rsidR="00DB0DA5" w:rsidRPr="006234AA">
        <w:rPr>
          <w:lang w:val="nl-NL"/>
        </w:rPr>
        <w:t xml:space="preserve">, </w:t>
      </w:r>
      <w:r w:rsidR="00D9720F" w:rsidRPr="006234AA">
        <w:rPr>
          <w:lang w:val="nl-NL"/>
        </w:rPr>
        <w:t>mục tiêu giao dịch (giao dịch phòng ngừa rủi ro, giao dịch hạn chế chênh lệch giá, giao dịch thông thường)</w:t>
      </w:r>
      <w:r w:rsidR="00DB0DA5" w:rsidRPr="006234AA">
        <w:rPr>
          <w:lang w:val="nl-NL"/>
        </w:rPr>
        <w:t>.</w:t>
      </w:r>
    </w:p>
    <w:p w:rsidR="00B614BC" w:rsidRPr="006234AA" w:rsidRDefault="00B614BC" w:rsidP="003C0546">
      <w:pPr>
        <w:pStyle w:val="Heading4"/>
        <w:spacing w:after="120"/>
      </w:pPr>
      <w:bookmarkStart w:id="186" w:name="_Toc422672001"/>
      <w:r w:rsidRPr="006234AA">
        <w:t>Quỹ bù trừ</w:t>
      </w:r>
      <w:bookmarkEnd w:id="186"/>
    </w:p>
    <w:p w:rsidR="00B614BC" w:rsidRPr="006234AA" w:rsidRDefault="00B614BC" w:rsidP="003C0546">
      <w:pPr>
        <w:pStyle w:val="ListParagraph"/>
        <w:numPr>
          <w:ilvl w:val="3"/>
          <w:numId w:val="2"/>
        </w:numPr>
        <w:tabs>
          <w:tab w:val="left" w:pos="1080"/>
        </w:tabs>
        <w:spacing w:after="120"/>
        <w:ind w:left="0" w:firstLine="720"/>
      </w:pPr>
      <w:r w:rsidRPr="006234AA">
        <w:t xml:space="preserve">Thành viên bù trừ phải đóng góp vào Quỹ bù trừ nhằm bù đắp thiệt hại phát sinh trong trường hợp nhà đầu tư mất khả năng thanh toán, thành viên bù trừ khác mất khả năng thanh toán. </w:t>
      </w:r>
    </w:p>
    <w:p w:rsidR="00B614BC" w:rsidRPr="006234AA" w:rsidRDefault="00B614BC" w:rsidP="003C0546">
      <w:pPr>
        <w:pStyle w:val="ListParagraph"/>
        <w:numPr>
          <w:ilvl w:val="3"/>
          <w:numId w:val="2"/>
        </w:numPr>
        <w:tabs>
          <w:tab w:val="left" w:pos="1080"/>
        </w:tabs>
        <w:spacing w:after="120"/>
        <w:ind w:left="0" w:firstLine="720"/>
      </w:pPr>
      <w:r w:rsidRPr="006234AA">
        <w:lastRenderedPageBreak/>
        <w:t>Căn cứ vào quy mô giao dịch của thị trường, mức biến động giá, nghĩa vụ tài chính, mức độ rủi ro và các tiêu chí khác, Trung tâm lưu ký chứng khoán quyết định quy mô Quỹ bù trừ sau khi được Ủy ban Chứng khoán Nhà nước chấp thuận</w:t>
      </w:r>
    </w:p>
    <w:p w:rsidR="00B614BC" w:rsidRPr="006234AA" w:rsidRDefault="00B614BC" w:rsidP="003C0546">
      <w:pPr>
        <w:pStyle w:val="ListParagraph"/>
        <w:numPr>
          <w:ilvl w:val="3"/>
          <w:numId w:val="2"/>
        </w:numPr>
        <w:tabs>
          <w:tab w:val="left" w:pos="1080"/>
        </w:tabs>
        <w:spacing w:after="120"/>
        <w:ind w:left="0" w:firstLine="720"/>
      </w:pPr>
      <w:r w:rsidRPr="006234AA">
        <w:t xml:space="preserve">Khoản đóng góp vào Quỹ bù trừ được thực hiện bằng tiền, chứng khoán được chấp nhận ký quỹ. Chứng khoán được thành viên bù trừ đưa vào Quỹ bù trừ phải thuộc sở hữu của thành viên bù trừ và đáp ứng quy định tại Khoản 1 Điều 48 Thông tư này. </w:t>
      </w:r>
    </w:p>
    <w:p w:rsidR="00B614BC" w:rsidRPr="006234AA" w:rsidRDefault="00B614BC" w:rsidP="003C0546">
      <w:pPr>
        <w:spacing w:after="120"/>
        <w:rPr>
          <w:lang w:val="nl-NL"/>
        </w:rPr>
      </w:pPr>
      <w:r w:rsidRPr="006234AA">
        <w:rPr>
          <w:lang w:val="nl-NL"/>
        </w:rPr>
        <w:t xml:space="preserve"> 4. Mức đóng góp của mỗi thành viên bù trừ bao gồm phần đóng góp cố định và phần đóng góp biến động như sau:</w:t>
      </w:r>
    </w:p>
    <w:p w:rsidR="00B614BC" w:rsidRPr="006234AA" w:rsidRDefault="00B614BC" w:rsidP="003C0546">
      <w:pPr>
        <w:spacing w:after="120"/>
        <w:rPr>
          <w:lang w:val="nl-NL"/>
        </w:rPr>
      </w:pPr>
      <w:r w:rsidRPr="006234AA">
        <w:rPr>
          <w:lang w:val="nl-NL"/>
        </w:rPr>
        <w:t xml:space="preserve">a) Mức đóng góp cố định là 200 tỷ đ đối với thành viên bù trừ chung và 100 tỷ đ đối với thành viên bù trừ trực tiếp; </w:t>
      </w:r>
    </w:p>
    <w:p w:rsidR="00B614BC" w:rsidRPr="006234AA" w:rsidRDefault="00B614BC" w:rsidP="003C0546">
      <w:pPr>
        <w:spacing w:after="120"/>
        <w:rPr>
          <w:lang w:val="nl-NL"/>
        </w:rPr>
      </w:pPr>
      <w:r w:rsidRPr="006234AA">
        <w:rPr>
          <w:lang w:val="nl-NL"/>
        </w:rPr>
        <w:t>b) Mức đóng góp biến động được xác định theo công thức sau:</w:t>
      </w:r>
    </w:p>
    <w:p w:rsidR="00B614BC" w:rsidRPr="006234AA" w:rsidRDefault="00B614BC" w:rsidP="003C0546">
      <w:pPr>
        <w:pStyle w:val="ListParagraph"/>
        <w:numPr>
          <w:ilvl w:val="0"/>
          <w:numId w:val="0"/>
        </w:numPr>
        <w:tabs>
          <w:tab w:val="left" w:pos="1134"/>
        </w:tabs>
        <w:spacing w:after="120"/>
        <w:ind w:left="709"/>
      </w:pPr>
      <m:oMathPara>
        <m:oMath>
          <m:r>
            <w:rPr>
              <w:rFonts w:ascii="Cambria Math" w:hAnsi="Cambria Math"/>
            </w:rPr>
            <m:t>VC=</m:t>
          </m:r>
          <m:f>
            <m:fPr>
              <m:ctrlPr>
                <w:rPr>
                  <w:rFonts w:ascii="Cambria Math" w:hAnsi="Cambria Math"/>
                  <w:i/>
                </w:rPr>
              </m:ctrlPr>
            </m:fPr>
            <m:num>
              <m:r>
                <w:rPr>
                  <w:rFonts w:ascii="Cambria Math" w:hAnsi="Cambria Math"/>
                </w:rPr>
                <m:t>CMM</m:t>
              </m:r>
            </m:num>
            <m:den>
              <m:r>
                <w:rPr>
                  <w:rFonts w:ascii="Cambria Math" w:hAnsi="Cambria Math"/>
                </w:rPr>
                <m:t>TM</m:t>
              </m:r>
            </m:den>
          </m:f>
          <m:r>
            <w:rPr>
              <w:rFonts w:ascii="Cambria Math" w:hAnsi="Cambria Math"/>
            </w:rPr>
            <m:t>×</m:t>
          </m:r>
          <m:d>
            <m:dPr>
              <m:ctrlPr>
                <w:rPr>
                  <w:rFonts w:ascii="Cambria Math" w:hAnsi="Cambria Math"/>
                  <w:i/>
                </w:rPr>
              </m:ctrlPr>
            </m:dPr>
            <m:e>
              <m:r>
                <w:rPr>
                  <w:rFonts w:ascii="Cambria Math" w:hAnsi="Cambria Math"/>
                </w:rPr>
                <m:t>TS-TF</m:t>
              </m:r>
            </m:e>
          </m:d>
        </m:oMath>
      </m:oMathPara>
    </w:p>
    <w:p w:rsidR="00B614BC" w:rsidRPr="006234AA" w:rsidRDefault="00B614BC" w:rsidP="003C0546">
      <w:pPr>
        <w:tabs>
          <w:tab w:val="left" w:pos="1134"/>
        </w:tabs>
        <w:spacing w:after="120"/>
        <w:ind w:firstLine="0"/>
        <w:rPr>
          <w:lang w:val="nl-NL"/>
        </w:rPr>
      </w:pPr>
      <w:r w:rsidRPr="006234AA">
        <w:rPr>
          <w:lang w:val="nl-NL"/>
        </w:rPr>
        <w:t xml:space="preserve">trong đó,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761"/>
      </w:tblGrid>
      <w:tr w:rsidR="00B614BC" w:rsidRPr="006234AA" w:rsidTr="00CB45C6">
        <w:tc>
          <w:tcPr>
            <w:tcW w:w="1526" w:type="dxa"/>
          </w:tcPr>
          <w:p w:rsidR="00B614BC" w:rsidRPr="006234AA" w:rsidRDefault="00B614BC" w:rsidP="003C0546">
            <w:pPr>
              <w:tabs>
                <w:tab w:val="left" w:pos="1134"/>
              </w:tabs>
              <w:spacing w:after="120"/>
              <w:ind w:firstLine="0"/>
            </w:pPr>
            <w:r w:rsidRPr="006234AA">
              <w:t>VC</w:t>
            </w:r>
          </w:p>
        </w:tc>
        <w:tc>
          <w:tcPr>
            <w:tcW w:w="7761" w:type="dxa"/>
          </w:tcPr>
          <w:p w:rsidR="00B614BC" w:rsidRPr="006234AA" w:rsidRDefault="00B614BC" w:rsidP="003C0546">
            <w:pPr>
              <w:tabs>
                <w:tab w:val="left" w:pos="1134"/>
              </w:tabs>
              <w:spacing w:after="120"/>
              <w:ind w:firstLine="0"/>
              <w:rPr>
                <w:lang w:val="nl-NL"/>
              </w:rPr>
            </w:pPr>
            <w:r w:rsidRPr="006234AA">
              <w:rPr>
                <w:lang w:val="nl-NL"/>
              </w:rPr>
              <w:t>Mức đóng góp biến động của mỗi thành viên bù trừ;</w:t>
            </w:r>
          </w:p>
        </w:tc>
      </w:tr>
      <w:tr w:rsidR="00B614BC" w:rsidRPr="006234AA" w:rsidTr="00CB45C6">
        <w:tc>
          <w:tcPr>
            <w:tcW w:w="1526" w:type="dxa"/>
          </w:tcPr>
          <w:p w:rsidR="00B614BC" w:rsidRPr="006234AA" w:rsidRDefault="00B614BC" w:rsidP="003C0546">
            <w:pPr>
              <w:tabs>
                <w:tab w:val="left" w:pos="1134"/>
              </w:tabs>
              <w:spacing w:after="120"/>
              <w:ind w:firstLine="0"/>
            </w:pPr>
            <w:r w:rsidRPr="006234AA">
              <w:t>TM</w:t>
            </w:r>
          </w:p>
        </w:tc>
        <w:tc>
          <w:tcPr>
            <w:tcW w:w="7761" w:type="dxa"/>
          </w:tcPr>
          <w:p w:rsidR="00B614BC" w:rsidRPr="006234AA" w:rsidRDefault="00B614BC" w:rsidP="003C0546">
            <w:pPr>
              <w:tabs>
                <w:tab w:val="left" w:pos="1134"/>
              </w:tabs>
              <w:spacing w:after="120"/>
              <w:ind w:firstLine="0"/>
            </w:pPr>
            <w:r w:rsidRPr="006234AA">
              <w:t>Tổng mức ký quỹ bình quân của tất cả các thành viên bù trừ trong các ngày giao dịch của tháng trước;</w:t>
            </w:r>
          </w:p>
        </w:tc>
      </w:tr>
      <w:tr w:rsidR="00B614BC" w:rsidRPr="006234AA" w:rsidTr="00CB45C6">
        <w:tc>
          <w:tcPr>
            <w:tcW w:w="1526" w:type="dxa"/>
          </w:tcPr>
          <w:p w:rsidR="00B614BC" w:rsidRPr="006234AA" w:rsidRDefault="00B614BC" w:rsidP="003C0546">
            <w:pPr>
              <w:tabs>
                <w:tab w:val="left" w:pos="1134"/>
              </w:tabs>
              <w:spacing w:after="120"/>
              <w:ind w:firstLine="0"/>
            </w:pPr>
            <w:r w:rsidRPr="006234AA">
              <w:t>CMM</w:t>
            </w:r>
          </w:p>
        </w:tc>
        <w:tc>
          <w:tcPr>
            <w:tcW w:w="7761" w:type="dxa"/>
          </w:tcPr>
          <w:p w:rsidR="00B614BC" w:rsidRPr="006234AA" w:rsidRDefault="00B614BC" w:rsidP="003C0546">
            <w:pPr>
              <w:tabs>
                <w:tab w:val="left" w:pos="1134"/>
              </w:tabs>
              <w:spacing w:after="120"/>
              <w:ind w:firstLine="0"/>
            </w:pPr>
            <w:r w:rsidRPr="006234AA">
              <w:t>Tổng mức ký quỹ của thành viên bù trừ đó tại các ngày giao dịch của tháng trước</w:t>
            </w:r>
          </w:p>
        </w:tc>
      </w:tr>
      <w:tr w:rsidR="00B614BC" w:rsidRPr="006234AA" w:rsidTr="00CB45C6">
        <w:tc>
          <w:tcPr>
            <w:tcW w:w="1526" w:type="dxa"/>
          </w:tcPr>
          <w:p w:rsidR="00B614BC" w:rsidRPr="006234AA" w:rsidRDefault="00B614BC" w:rsidP="003C0546">
            <w:pPr>
              <w:tabs>
                <w:tab w:val="left" w:pos="1134"/>
              </w:tabs>
              <w:spacing w:after="120"/>
              <w:ind w:firstLine="0"/>
            </w:pPr>
            <w:r w:rsidRPr="006234AA">
              <w:t>TS</w:t>
            </w:r>
          </w:p>
        </w:tc>
        <w:tc>
          <w:tcPr>
            <w:tcW w:w="7761" w:type="dxa"/>
          </w:tcPr>
          <w:p w:rsidR="00B614BC" w:rsidRPr="006234AA" w:rsidRDefault="00B614BC" w:rsidP="003C0546">
            <w:pPr>
              <w:tabs>
                <w:tab w:val="left" w:pos="1134"/>
              </w:tabs>
              <w:spacing w:after="120"/>
              <w:ind w:firstLine="0"/>
            </w:pPr>
            <w:r w:rsidRPr="006234AA">
              <w:t>Quy mô quỹ bù trừ theo quy định tại khoản 2 Điều này.</w:t>
            </w:r>
          </w:p>
        </w:tc>
      </w:tr>
      <w:tr w:rsidR="00B614BC" w:rsidRPr="006234AA" w:rsidTr="00CB45C6">
        <w:tc>
          <w:tcPr>
            <w:tcW w:w="1526" w:type="dxa"/>
          </w:tcPr>
          <w:p w:rsidR="00B614BC" w:rsidRPr="006234AA" w:rsidRDefault="00B614BC" w:rsidP="003C0546">
            <w:pPr>
              <w:tabs>
                <w:tab w:val="left" w:pos="1134"/>
              </w:tabs>
              <w:spacing w:after="120"/>
              <w:ind w:firstLine="0"/>
            </w:pPr>
            <w:r w:rsidRPr="006234AA">
              <w:t>TF</w:t>
            </w:r>
          </w:p>
        </w:tc>
        <w:tc>
          <w:tcPr>
            <w:tcW w:w="7761" w:type="dxa"/>
          </w:tcPr>
          <w:p w:rsidR="00B614BC" w:rsidRPr="006234AA" w:rsidRDefault="00B614BC" w:rsidP="003C0546">
            <w:pPr>
              <w:tabs>
                <w:tab w:val="left" w:pos="1134"/>
              </w:tabs>
              <w:spacing w:after="120"/>
              <w:ind w:firstLine="0"/>
            </w:pPr>
            <w:r w:rsidRPr="006234AA">
              <w:t xml:space="preserve">Tổng mức đóng góp cố định của tất cả các thành viên bù trừ </w:t>
            </w:r>
          </w:p>
        </w:tc>
      </w:tr>
    </w:tbl>
    <w:p w:rsidR="00B614BC" w:rsidRPr="006234AA" w:rsidRDefault="00B614BC" w:rsidP="003C0546">
      <w:pPr>
        <w:spacing w:after="120"/>
        <w:rPr>
          <w:lang w:val="nl-NL"/>
        </w:rPr>
      </w:pPr>
      <w:r w:rsidRPr="006234AA">
        <w:rPr>
          <w:lang w:val="nl-NL"/>
        </w:rPr>
        <w:t>Phần đóng góp biến động được điều chỉnh tăng trong các trường hợp quy định tại Khoản 9 Điều này.</w:t>
      </w:r>
    </w:p>
    <w:p w:rsidR="00B614BC" w:rsidRPr="006234AA" w:rsidRDefault="00B614BC" w:rsidP="003C0546">
      <w:pPr>
        <w:spacing w:after="120"/>
        <w:rPr>
          <w:lang w:val="nl-NL"/>
        </w:rPr>
      </w:pPr>
      <w:r w:rsidRPr="006234AA">
        <w:rPr>
          <w:lang w:val="nl-NL"/>
        </w:rPr>
        <w:t>5. Điều chỉnh mức đóng góp vào Quỹ bù trừ:</w:t>
      </w:r>
    </w:p>
    <w:p w:rsidR="00B614BC" w:rsidRPr="006234AA" w:rsidRDefault="00B614BC" w:rsidP="003C0546">
      <w:pPr>
        <w:spacing w:after="120"/>
        <w:rPr>
          <w:lang w:val="nl-NL"/>
        </w:rPr>
      </w:pPr>
      <w:r w:rsidRPr="006234AA">
        <w:rPr>
          <w:lang w:val="nl-NL"/>
        </w:rPr>
        <w:t xml:space="preserve">a) Định kỳ hàng tháng và trong các thời điểm xét thấy là cần thiết, Trung tâm lưu ký chứng khoán đánh giá lại khoản đóng góp của thành viên bù trừ vào Quỹ bù trừ theo phương thức quy định tại Phụ lục số 10 ban hành kèm theo Thông tư này; </w:t>
      </w:r>
    </w:p>
    <w:p w:rsidR="00B614BC" w:rsidRPr="006234AA" w:rsidRDefault="00B614BC" w:rsidP="003C0546">
      <w:pPr>
        <w:spacing w:after="120"/>
        <w:rPr>
          <w:lang w:val="nl-NL"/>
        </w:rPr>
      </w:pPr>
      <w:r w:rsidRPr="006234AA">
        <w:rPr>
          <w:lang w:val="nl-NL"/>
        </w:rPr>
        <w:t xml:space="preserve">b) Trường hợp sau khi đánh giá lại, giá trị khoản đóng góp hiện có của thành viên bù trừ thấp hơn mức đóng góp phải có của thành viên đó xác định theo quy định tại khoản 3 Điều này, Trung tâm lưu ký chứng khoán có quyền yêu cầu thành viên bù trừ bổ sung vào Quỹ bù trừ. Thành viên bù trừ có trách nhiệm thực hiện trong vòng 24 giờ, kể từ khi tiếp nhận thông báo của Trung tâm </w:t>
      </w:r>
      <w:r w:rsidRPr="006234AA">
        <w:rPr>
          <w:lang w:val="nl-NL"/>
        </w:rPr>
        <w:lastRenderedPageBreak/>
        <w:t>lưu ký chứng khoán. Phần đóng góp bổ sung được thực hiện bằng tiền, chứng khoán được chấp nhận ký quỹ;</w:t>
      </w:r>
    </w:p>
    <w:p w:rsidR="00B614BC" w:rsidRPr="006234AA" w:rsidRDefault="00B614BC" w:rsidP="003C0546">
      <w:pPr>
        <w:spacing w:after="120"/>
        <w:rPr>
          <w:lang w:val="nl-NL"/>
        </w:rPr>
      </w:pPr>
      <w:r w:rsidRPr="006234AA">
        <w:rPr>
          <w:lang w:val="nl-NL"/>
        </w:rPr>
        <w:t>c) Trường hợp sau khi đánh giá lại, giá trị khoản đóng góp hiện có của thành viên bù trừ cao hơn mức đóng góp của thành viên đó xác định theo quy định tại khoản 3 Điều này, thành viên bù trừ có quyền yêu cầu Trung tâm lưu ký chứng khoán hoàn trả phần vượt trội. Trung tâm lưu ký chứng khoán có trách nhiệm đáp ứng yêu cầu này trong vòng 24 giờ, kể từ khi tiếp nhận được yêu cầu bằng văn bản của thành viên bù trừ. Giá trị tài sản được nhận lại tối đa không vượt quá mức chênh lệch giữa giá trị khoản đóng góp đánh giá lại và mức đóng góp của thành viên bù trừ xác định theo quy định tại khoản 3 Điều này.</w:t>
      </w:r>
    </w:p>
    <w:p w:rsidR="00B614BC" w:rsidRPr="006234AA" w:rsidRDefault="00B614BC" w:rsidP="003C0546">
      <w:pPr>
        <w:spacing w:after="120"/>
        <w:rPr>
          <w:lang w:val="nl-NL"/>
        </w:rPr>
      </w:pPr>
      <w:r w:rsidRPr="006234AA">
        <w:rPr>
          <w:lang w:val="nl-NL"/>
        </w:rPr>
        <w:t>6. Quản lý Quỹ bù trừ:</w:t>
      </w:r>
    </w:p>
    <w:p w:rsidR="00B614BC" w:rsidRPr="006234AA" w:rsidRDefault="00B614BC" w:rsidP="003C0546">
      <w:pPr>
        <w:spacing w:after="120"/>
        <w:rPr>
          <w:lang w:val="nl-NL"/>
        </w:rPr>
      </w:pPr>
      <w:r w:rsidRPr="006234AA">
        <w:rPr>
          <w:lang w:val="nl-NL"/>
        </w:rPr>
        <w:t>a) Tài sản mà mỗi thành viên bù trừ đóng góp vào Quỹ bù trừ thuộc sở hữu của chính thành viên bù trừ đó và được Trung tâm lưu ký chứng khoán quản lý tách biệt với tài sản của Trung tâm lưu ký chứng khoán. Thành viên bù trừ phải ký cam kết cho phép Trung tâm lưu ký chứng khoán toàn quyền sử dụng, kể cả bán các tài sản đóng góp vào Quỹ bù trừ để thực hiện các vị thế mở đứng tên thành viên bù trừ;</w:t>
      </w:r>
    </w:p>
    <w:p w:rsidR="00B614BC" w:rsidRPr="006234AA" w:rsidRDefault="00B614BC" w:rsidP="003C0546">
      <w:pPr>
        <w:spacing w:after="120"/>
        <w:rPr>
          <w:lang w:val="nl-NL"/>
        </w:rPr>
      </w:pPr>
      <w:r w:rsidRPr="006234AA">
        <w:rPr>
          <w:lang w:val="nl-NL"/>
        </w:rPr>
        <w:t>b) Đối với khoản đóng góp bằng tiền, Trung tâm lưu ký chứng khoán mở một tài khoản tiền gửi đứng tên Trung tâm lưu ký chứng khoán tại ngân hàng thanh toán để quản lý tiền của các thành viên bù trừ đóng góp vào Quỹ bù trừ;</w:t>
      </w:r>
    </w:p>
    <w:p w:rsidR="00B614BC" w:rsidRPr="006234AA" w:rsidRDefault="00B614BC" w:rsidP="003C0546">
      <w:pPr>
        <w:spacing w:after="120"/>
        <w:rPr>
          <w:lang w:val="nl-NL"/>
        </w:rPr>
      </w:pPr>
      <w:r w:rsidRPr="006234AA">
        <w:rPr>
          <w:lang w:val="nl-NL"/>
        </w:rPr>
        <w:t>Đối với khoản đóng góp bằng chứng khoán, việc quản lý thực hiện theo hướng dẫn của Trung tâm Lưu ký chứng khoán. Cổ tức, trái tức và các quyền lợi khác phát sinh từ việc sở hữu chứng khoán phải được hoàn trả cho thành viên đóng góp, sau khi trừ đi các chi phí và thuế liên quan.</w:t>
      </w:r>
    </w:p>
    <w:p w:rsidR="00B614BC" w:rsidRPr="006234AA" w:rsidRDefault="00B614BC" w:rsidP="003C0546">
      <w:pPr>
        <w:spacing w:after="120"/>
        <w:rPr>
          <w:lang w:val="nl-NL"/>
        </w:rPr>
      </w:pPr>
      <w:r w:rsidRPr="006234AA">
        <w:rPr>
          <w:lang w:val="nl-NL"/>
        </w:rPr>
        <w:t>c) Trung tâm lưu ký chứng khoán được sử dụng tiền từ Quỹ bù trừ để đầu tư vào chứng chỉ tiền gửi, công cụ thị trường tiền tệ, giấy tờ có giá, công cụ chuyển nhượng theo quy định pháp luật về ngân hàng và trái phiếu Chính phủ theo nguyên tắc bảo đảm an toàn vốn. Mọi lợi nhuận phát sinh từ việc đầu tư từ Quỹ bù trừ phải được thanh toán đầy đủ, kịp thời và hạch toán vào Quỹ.</w:t>
      </w:r>
    </w:p>
    <w:p w:rsidR="00B614BC" w:rsidRPr="006234AA" w:rsidRDefault="00B614BC" w:rsidP="003C0546">
      <w:pPr>
        <w:spacing w:after="120"/>
        <w:rPr>
          <w:lang w:val="nl-NL"/>
        </w:rPr>
      </w:pPr>
      <w:r w:rsidRPr="006234AA">
        <w:rPr>
          <w:lang w:val="nl-NL"/>
        </w:rPr>
        <w:t xml:space="preserve">Lợi nhuận phát sinh bao gồm lãi tiền gửi, trái tức và lãi thu từ việc sử dụng Quỹ bù trừ do thành viên bù trừ đóng góp được tính toán 01 năm một lần và sau khi trừ các chi phí và thuế liên quan sẽ được phân bổ cho các thành viên bù trừ theo tỷ lệ đóng góp; </w:t>
      </w:r>
    </w:p>
    <w:p w:rsidR="00B614BC" w:rsidRPr="006234AA" w:rsidRDefault="00B614BC" w:rsidP="003C0546">
      <w:pPr>
        <w:spacing w:after="120"/>
        <w:rPr>
          <w:lang w:val="nl-NL"/>
        </w:rPr>
      </w:pPr>
      <w:r w:rsidRPr="006234AA">
        <w:rPr>
          <w:lang w:val="nl-NL"/>
        </w:rPr>
        <w:t>d) Định kỳ hàng tháng, Trung tâm lưu ký chứng khoán báo cáo về tình hình hoạt động của Quỹ bù trừ cho từng thành viên bù trừ. Báo cáo phải bao gồm các thông tin sau:</w:t>
      </w:r>
    </w:p>
    <w:p w:rsidR="00B614BC" w:rsidRPr="006234AA" w:rsidRDefault="00B614BC" w:rsidP="003C0546">
      <w:pPr>
        <w:spacing w:after="120"/>
        <w:rPr>
          <w:lang w:val="nl-NL"/>
        </w:rPr>
      </w:pPr>
      <w:r w:rsidRPr="006234AA">
        <w:rPr>
          <w:lang w:val="nl-NL"/>
        </w:rPr>
        <w:t>- Mức đóng góp của thành viên, bao gồm mức đóng góp cố định và mức đóng góp biến động được xác định theo quy định tại khoản 3 Điều này;</w:t>
      </w:r>
    </w:p>
    <w:p w:rsidR="00B614BC" w:rsidRPr="006234AA" w:rsidRDefault="00B614BC" w:rsidP="003C0546">
      <w:pPr>
        <w:spacing w:after="120"/>
        <w:rPr>
          <w:lang w:val="nl-NL"/>
        </w:rPr>
      </w:pPr>
      <w:r w:rsidRPr="006234AA">
        <w:rPr>
          <w:lang w:val="nl-NL"/>
        </w:rPr>
        <w:lastRenderedPageBreak/>
        <w:t>- Cơ cấu danh mục và giá trị khoản đóng góp của từng thành viên, bao gồm tiền và giá trị định giá lại của tài sản mà thành viên đóng góp vào Quỹ, được xác định theo quy định tại Phụ lục số 9 ban hành kèm theo Thông tư này;</w:t>
      </w:r>
    </w:p>
    <w:p w:rsidR="00B614BC" w:rsidRPr="006234AA" w:rsidRDefault="00B614BC" w:rsidP="003C0546">
      <w:pPr>
        <w:spacing w:after="120"/>
        <w:rPr>
          <w:lang w:val="nl-NL"/>
        </w:rPr>
      </w:pPr>
      <w:r w:rsidRPr="006234AA">
        <w:rPr>
          <w:lang w:val="nl-NL"/>
        </w:rPr>
        <w:t>- Khoản đóng góp cần bổ sung hoặc có thể được rút ra được xác định theo quy định tại khoản 4 Điều này;</w:t>
      </w:r>
    </w:p>
    <w:p w:rsidR="00B614BC" w:rsidRPr="006234AA" w:rsidRDefault="00B614BC" w:rsidP="003C0546">
      <w:pPr>
        <w:spacing w:after="120"/>
        <w:rPr>
          <w:lang w:val="nl-NL"/>
        </w:rPr>
      </w:pPr>
      <w:r w:rsidRPr="006234AA">
        <w:rPr>
          <w:lang w:val="nl-NL"/>
        </w:rPr>
        <w:t>7. Phần đóng góp của thành viên vào Quỹ bù trừ được Trung tâm Lưu ký chứng khoán sử dụng như sau:</w:t>
      </w:r>
    </w:p>
    <w:p w:rsidR="00B614BC" w:rsidRPr="006234AA" w:rsidRDefault="00B614BC" w:rsidP="003C0546">
      <w:pPr>
        <w:spacing w:after="120"/>
        <w:rPr>
          <w:lang w:val="nl-NL"/>
        </w:rPr>
      </w:pPr>
      <w:r w:rsidRPr="006234AA">
        <w:rPr>
          <w:lang w:val="nl-NL"/>
        </w:rPr>
        <w:t>a) Trường hợp thành viên bù trừ mất khả năng thanh toán, Trung tâm lưu ký chứng khoán được quyền sử dụng, kể cả sử dụng làm tài sản đảm bảo cho các khoản vay, được quyền chuyển nhượng, quyền chuyển giao các tài sản đóng góp của thành viên để thực hiện vị thế mở đứng tên thành viên này;</w:t>
      </w:r>
    </w:p>
    <w:p w:rsidR="00B614BC" w:rsidRPr="006234AA" w:rsidRDefault="00B614BC" w:rsidP="003C0546">
      <w:pPr>
        <w:spacing w:after="120"/>
        <w:rPr>
          <w:lang w:val="nl-NL"/>
        </w:rPr>
      </w:pPr>
      <w:r w:rsidRPr="006234AA">
        <w:rPr>
          <w:lang w:val="nl-NL"/>
        </w:rPr>
        <w:t>b) Thành viên bù trừ mất khả năng thanh toán có trách nhiệm đóng góp bổ sung vào Quỹ bù trừ trong thời gian theo quy chế của Trung tâm lưu ký chứng khoán, bảo đảm đáp ứng quy định tại Khoản 4 Điều này.</w:t>
      </w:r>
    </w:p>
    <w:p w:rsidR="00B614BC" w:rsidRPr="006234AA" w:rsidRDefault="00B614BC" w:rsidP="003C0546">
      <w:pPr>
        <w:spacing w:after="120"/>
        <w:rPr>
          <w:lang w:val="nl-NL"/>
        </w:rPr>
      </w:pPr>
      <w:r w:rsidRPr="006234AA">
        <w:rPr>
          <w:lang w:val="nl-NL"/>
        </w:rPr>
        <w:t>8. Hoàn trả Quỹ bù trừ</w:t>
      </w:r>
    </w:p>
    <w:p w:rsidR="00B614BC" w:rsidRPr="006234AA" w:rsidRDefault="00B614BC" w:rsidP="003C0546">
      <w:pPr>
        <w:spacing w:after="120"/>
        <w:rPr>
          <w:lang w:val="nl-NL"/>
        </w:rPr>
      </w:pPr>
      <w:r w:rsidRPr="006234AA">
        <w:rPr>
          <w:lang w:val="nl-NL"/>
        </w:rPr>
        <w:t xml:space="preserve">a) Thành viên bù trừ chỉ được hoàn trả lại tài sản đóng góp vào Quỹ bù trừ sau khi Thành viên đó đã được chấm dứt tư cách thành viên bù trừ; </w:t>
      </w:r>
    </w:p>
    <w:p w:rsidR="00B614BC" w:rsidRPr="006234AA" w:rsidRDefault="00B614BC" w:rsidP="003C0546">
      <w:pPr>
        <w:spacing w:after="120"/>
        <w:rPr>
          <w:lang w:val="nl-NL"/>
        </w:rPr>
      </w:pPr>
      <w:r w:rsidRPr="006234AA">
        <w:rPr>
          <w:lang w:val="nl-NL"/>
        </w:rPr>
        <w:t>b) Trung tâm lưu ký chứng khoán chỉ hoàn trả phần tài sản còn lại của khoản đóng góp vào Quỹ bù trừ sau khi đã khấu trừ mọi khoản phải trả, phải thu và các khoản đã thanh toán để thực hiện các vị thế mở đứng tên thành viên đó theo quy định tại Khoản 7 Điều này.</w:t>
      </w:r>
    </w:p>
    <w:p w:rsidR="00B614BC" w:rsidRPr="006234AA" w:rsidRDefault="00B614BC" w:rsidP="003C0546">
      <w:pPr>
        <w:spacing w:after="120"/>
        <w:rPr>
          <w:lang w:val="nl-NL"/>
        </w:rPr>
      </w:pPr>
      <w:r w:rsidRPr="006234AA">
        <w:rPr>
          <w:lang w:val="nl-NL"/>
        </w:rPr>
        <w:t>9. Thành viên bù trừ có trách nhiệm đóng góp bổ sung vào Quỹ bù trừ trong thời gian theo quy chế của Trung tâm lưu ký chứng khoán trong các trường hợp sau đây:</w:t>
      </w:r>
    </w:p>
    <w:p w:rsidR="00B614BC" w:rsidRPr="006234AA" w:rsidRDefault="00B614BC" w:rsidP="003C0546">
      <w:pPr>
        <w:spacing w:after="120"/>
        <w:rPr>
          <w:lang w:val="nl-NL"/>
        </w:rPr>
      </w:pPr>
      <w:r w:rsidRPr="006234AA">
        <w:rPr>
          <w:lang w:val="nl-NL"/>
        </w:rPr>
        <w:t xml:space="preserve">a) Trung tâm lưu ký chứng khoán xét thấy là cần thiết nhằm ngăn ngừa rủi ro: </w:t>
      </w:r>
    </w:p>
    <w:p w:rsidR="00B614BC" w:rsidRPr="006234AA" w:rsidRDefault="00B614BC" w:rsidP="003C0546">
      <w:pPr>
        <w:spacing w:after="120"/>
        <w:rPr>
          <w:lang w:val="nl-NL"/>
        </w:rPr>
      </w:pPr>
      <w:r w:rsidRPr="006234AA">
        <w:rPr>
          <w:lang w:val="nl-NL"/>
        </w:rPr>
        <w:t>- Thành viên bị đặt vào các tình trạng cảnh báo theo quy định của pháp luật chứng khoán về an toàn tài chính, quy định của pháp luật ngân hàng về an toàn vốn;</w:t>
      </w:r>
    </w:p>
    <w:p w:rsidR="00B614BC" w:rsidRPr="006234AA" w:rsidRDefault="00B614BC" w:rsidP="003C0546">
      <w:pPr>
        <w:spacing w:after="120"/>
        <w:rPr>
          <w:lang w:val="nl-NL"/>
        </w:rPr>
      </w:pPr>
      <w:r w:rsidRPr="006234AA">
        <w:rPr>
          <w:lang w:val="nl-NL"/>
        </w:rPr>
        <w:t>- Thành viên vi phạm nhiều lần quy định của pháp luật chứng khoán, các quy định về thanh toán, bù trừ của Trung tâm lưu ký chứng khoán;</w:t>
      </w:r>
    </w:p>
    <w:p w:rsidR="00B614BC" w:rsidRPr="006234AA" w:rsidRDefault="00B614BC" w:rsidP="003C0546">
      <w:pPr>
        <w:spacing w:after="120"/>
        <w:rPr>
          <w:lang w:val="nl-NL"/>
        </w:rPr>
      </w:pPr>
      <w:r w:rsidRPr="006234AA">
        <w:rPr>
          <w:lang w:val="nl-NL"/>
        </w:rPr>
        <w:t>- Khi Trung tâm lưu ký chứng khoán nhận thấy quy mô quỹ bù trừ không đủ để ngăn ngừa các rủi ro của thị trường;</w:t>
      </w:r>
    </w:p>
    <w:p w:rsidR="00B614BC" w:rsidRPr="006234AA" w:rsidRDefault="00B614BC" w:rsidP="003C0546">
      <w:pPr>
        <w:spacing w:after="120"/>
        <w:rPr>
          <w:lang w:val="nl-NL"/>
        </w:rPr>
      </w:pPr>
      <w:r w:rsidRPr="006234AA">
        <w:rPr>
          <w:lang w:val="nl-NL"/>
        </w:rPr>
        <w:t>b) Thành viên để xảy ra các sự cố nghiêm trọng làm ảnh hưởng đến hoạt động thanh toán giao dịch chứng khoán phái sinh;</w:t>
      </w:r>
    </w:p>
    <w:p w:rsidR="00B614BC" w:rsidRPr="006234AA" w:rsidRDefault="00B614BC" w:rsidP="003C0546">
      <w:pPr>
        <w:spacing w:after="120"/>
        <w:rPr>
          <w:lang w:val="nl-NL"/>
        </w:rPr>
      </w:pPr>
      <w:r w:rsidRPr="006234AA">
        <w:rPr>
          <w:lang w:val="nl-NL"/>
        </w:rPr>
        <w:t>c) Tài sản đóng góp của thành viên bị tịch thu bởi cơ quan nhà nước có thẩm quyền hoặc theo quyết định của Tòa án.</w:t>
      </w:r>
    </w:p>
    <w:p w:rsidR="00B614BC" w:rsidRPr="006234AA" w:rsidRDefault="00B614BC" w:rsidP="003C0546">
      <w:pPr>
        <w:spacing w:after="120"/>
        <w:rPr>
          <w:lang w:val="nl-NL"/>
        </w:rPr>
      </w:pPr>
      <w:r w:rsidRPr="006234AA">
        <w:rPr>
          <w:lang w:val="nl-NL"/>
        </w:rPr>
        <w:lastRenderedPageBreak/>
        <w:t>10. Trung tâm lưu ký chứng khoán ban hành quy chế về việc lập, quản lý và sử dụng quỹ bù trừ sau khi được Ủy ban Chứng khoán Nhà nước chấp thuận.</w:t>
      </w:r>
    </w:p>
    <w:p w:rsidR="0069681C" w:rsidRPr="006234AA" w:rsidRDefault="00B84486" w:rsidP="003C0546">
      <w:pPr>
        <w:pStyle w:val="Heading4"/>
        <w:spacing w:after="120"/>
      </w:pPr>
      <w:bookmarkStart w:id="187" w:name="_Toc422672002"/>
      <w:r w:rsidRPr="006234AA">
        <w:t xml:space="preserve">Chứng khoán </w:t>
      </w:r>
      <w:r w:rsidR="0020601F" w:rsidRPr="006234AA">
        <w:t>được chấp nhận ký quỹ</w:t>
      </w:r>
      <w:bookmarkEnd w:id="187"/>
    </w:p>
    <w:p w:rsidR="00B11C7E" w:rsidRPr="006234AA" w:rsidRDefault="00B11C7E" w:rsidP="003C0546">
      <w:pPr>
        <w:spacing w:after="120"/>
        <w:rPr>
          <w:lang w:val="nl-NL"/>
        </w:rPr>
      </w:pPr>
      <w:r w:rsidRPr="006234AA">
        <w:rPr>
          <w:lang w:val="nl-NL"/>
        </w:rPr>
        <w:t xml:space="preserve">1. </w:t>
      </w:r>
      <w:r w:rsidR="00B84486" w:rsidRPr="006234AA">
        <w:rPr>
          <w:lang w:val="nl-NL"/>
        </w:rPr>
        <w:t xml:space="preserve">Chứng khoán </w:t>
      </w:r>
      <w:r w:rsidR="0020601F" w:rsidRPr="006234AA">
        <w:rPr>
          <w:lang w:val="nl-NL"/>
        </w:rPr>
        <w:t>được</w:t>
      </w:r>
      <w:r w:rsidR="00DF0F5F" w:rsidRPr="006234AA">
        <w:rPr>
          <w:lang w:val="nl-NL"/>
        </w:rPr>
        <w:t xml:space="preserve"> Trung tâm Lưu ký chứng khoán, thành viên bù trừ</w:t>
      </w:r>
      <w:r w:rsidR="0020601F" w:rsidRPr="006234AA">
        <w:rPr>
          <w:lang w:val="nl-NL"/>
        </w:rPr>
        <w:t xml:space="preserve"> chấp nhận </w:t>
      </w:r>
      <w:r w:rsidR="00DF0F5F" w:rsidRPr="006234AA">
        <w:rPr>
          <w:lang w:val="nl-NL"/>
        </w:rPr>
        <w:t xml:space="preserve">là tài sản </w:t>
      </w:r>
      <w:r w:rsidR="0020601F" w:rsidRPr="006234AA">
        <w:rPr>
          <w:lang w:val="nl-NL"/>
        </w:rPr>
        <w:t>ký quỹ</w:t>
      </w:r>
      <w:r w:rsidRPr="006234AA">
        <w:rPr>
          <w:lang w:val="nl-NL"/>
        </w:rPr>
        <w:t xml:space="preserve"> </w:t>
      </w:r>
      <w:r w:rsidR="00DF0F5F" w:rsidRPr="006234AA">
        <w:rPr>
          <w:lang w:val="nl-NL"/>
        </w:rPr>
        <w:t xml:space="preserve">cho các vị thế mở chứng khoán phái sinh, khoản đóng góp của thành viên bù trừ vào Quỹ bù trừ (sau đây gọi là chứng khoán được chấp nhận ký quỹ) phải </w:t>
      </w:r>
      <w:r w:rsidR="00770D1A" w:rsidRPr="006234AA">
        <w:rPr>
          <w:lang w:val="nl-NL"/>
        </w:rPr>
        <w:t>đáp ứng đầy đủ các điều kiện sau</w:t>
      </w:r>
      <w:r w:rsidRPr="006234AA">
        <w:rPr>
          <w:lang w:val="nl-NL"/>
        </w:rPr>
        <w:t>:</w:t>
      </w:r>
    </w:p>
    <w:p w:rsidR="00770D1A" w:rsidRPr="006234AA" w:rsidRDefault="00B11C7E" w:rsidP="003C0546">
      <w:pPr>
        <w:spacing w:after="120"/>
        <w:rPr>
          <w:lang w:val="nl-NL"/>
        </w:rPr>
      </w:pPr>
      <w:r w:rsidRPr="006234AA">
        <w:rPr>
          <w:lang w:val="nl-NL"/>
        </w:rPr>
        <w:t>a) Cổ phiếu</w:t>
      </w:r>
      <w:r w:rsidR="00200E67" w:rsidRPr="006234AA">
        <w:rPr>
          <w:lang w:val="nl-NL"/>
        </w:rPr>
        <w:t xml:space="preserve"> niêm yết</w:t>
      </w:r>
      <w:r w:rsidRPr="006234AA">
        <w:rPr>
          <w:lang w:val="nl-NL"/>
        </w:rPr>
        <w:t xml:space="preserve">, chứng chỉ quỹ đầu tư niêm yết </w:t>
      </w:r>
      <w:r w:rsidR="00770D1A" w:rsidRPr="006234AA">
        <w:rPr>
          <w:lang w:val="nl-NL"/>
        </w:rPr>
        <w:t xml:space="preserve">trong danh sách chứng khoán được phép ký quỹ </w:t>
      </w:r>
      <w:r w:rsidRPr="006234AA">
        <w:rPr>
          <w:lang w:val="nl-NL"/>
        </w:rPr>
        <w:t xml:space="preserve">của </w:t>
      </w:r>
      <w:r w:rsidR="0018627F" w:rsidRPr="006234AA">
        <w:rPr>
          <w:lang w:val="nl-NL"/>
        </w:rPr>
        <w:t>Sở giao dịch chứng khoán</w:t>
      </w:r>
      <w:r w:rsidR="00770D1A" w:rsidRPr="006234AA">
        <w:rPr>
          <w:lang w:val="nl-NL"/>
        </w:rPr>
        <w:t>;</w:t>
      </w:r>
      <w:r w:rsidRPr="006234AA">
        <w:rPr>
          <w:lang w:val="nl-NL"/>
        </w:rPr>
        <w:t xml:space="preserve"> </w:t>
      </w:r>
      <w:r w:rsidR="00770D1A" w:rsidRPr="006234AA">
        <w:rPr>
          <w:lang w:val="nl-NL"/>
        </w:rPr>
        <w:t xml:space="preserve">tín phiếu kho bạc </w:t>
      </w:r>
      <w:r w:rsidR="00DF0F5F" w:rsidRPr="006234AA">
        <w:rPr>
          <w:lang w:val="nl-NL"/>
        </w:rPr>
        <w:t xml:space="preserve">và trái phiếu Chính phủ </w:t>
      </w:r>
      <w:r w:rsidR="00770D1A" w:rsidRPr="006234AA">
        <w:rPr>
          <w:lang w:val="nl-NL"/>
        </w:rPr>
        <w:t>niêm yết, giao dịch trên Sở giao dịch chứng khoán</w:t>
      </w:r>
      <w:r w:rsidR="00AE1640" w:rsidRPr="006234AA">
        <w:rPr>
          <w:lang w:val="nl-NL"/>
        </w:rPr>
        <w:t>. Các tài sản này đã được đăng ký, lưu ký tập trung tại Trung tâm lưu ký chứng khoán;</w:t>
      </w:r>
    </w:p>
    <w:p w:rsidR="00B11C7E" w:rsidRPr="006234AA" w:rsidRDefault="00770D1A" w:rsidP="003C0546">
      <w:pPr>
        <w:spacing w:after="120"/>
        <w:rPr>
          <w:lang w:val="nl-NL"/>
        </w:rPr>
      </w:pPr>
      <w:r w:rsidRPr="006234AA">
        <w:rPr>
          <w:lang w:val="nl-NL"/>
        </w:rPr>
        <w:t>b) K</w:t>
      </w:r>
      <w:r w:rsidR="00B11C7E" w:rsidRPr="006234AA">
        <w:rPr>
          <w:lang w:val="nl-NL"/>
        </w:rPr>
        <w:t>hông thuộc các trường hợp sau:</w:t>
      </w:r>
    </w:p>
    <w:p w:rsidR="00B11C7E" w:rsidRPr="006234AA" w:rsidRDefault="00A96314" w:rsidP="003C0546">
      <w:pPr>
        <w:spacing w:after="120"/>
        <w:rPr>
          <w:lang w:val="nl-NL"/>
        </w:rPr>
      </w:pPr>
      <w:r w:rsidRPr="006234AA">
        <w:rPr>
          <w:lang w:val="nl-NL"/>
        </w:rPr>
        <w:t>-</w:t>
      </w:r>
      <w:r w:rsidR="00B11C7E" w:rsidRPr="006234AA">
        <w:rPr>
          <w:lang w:val="nl-NL"/>
        </w:rPr>
        <w:t xml:space="preserve"> </w:t>
      </w:r>
      <w:r w:rsidR="00DF0F5F" w:rsidRPr="006234AA">
        <w:rPr>
          <w:lang w:val="nl-NL"/>
        </w:rPr>
        <w:t>Là cổ phiếu c</w:t>
      </w:r>
      <w:r w:rsidR="00B11C7E" w:rsidRPr="006234AA">
        <w:rPr>
          <w:lang w:val="nl-NL"/>
        </w:rPr>
        <w:t xml:space="preserve">ó thời gian niêm yết dưới </w:t>
      </w:r>
      <w:r w:rsidR="00EE32AC" w:rsidRPr="006234AA">
        <w:rPr>
          <w:lang w:val="nl-NL"/>
        </w:rPr>
        <w:t>06</w:t>
      </w:r>
      <w:r w:rsidR="00B11C7E" w:rsidRPr="006234AA">
        <w:rPr>
          <w:lang w:val="nl-NL"/>
        </w:rPr>
        <w:t xml:space="preserve"> tháng tính đến thời điểm công bố danh sách; trường hợp cổ phiếu chuyển sàn niêm yết thì thời gian niêm yết được tính là tổng thời gian niêm yết ở cả hai Sở Giao dịch chứng khoán;</w:t>
      </w:r>
    </w:p>
    <w:p w:rsidR="00B11C7E" w:rsidRPr="006234AA" w:rsidRDefault="00A96314" w:rsidP="003C0546">
      <w:pPr>
        <w:spacing w:after="120"/>
        <w:rPr>
          <w:lang w:val="nl-NL"/>
        </w:rPr>
      </w:pPr>
      <w:r w:rsidRPr="006234AA">
        <w:rPr>
          <w:lang w:val="nl-NL"/>
        </w:rPr>
        <w:t>-</w:t>
      </w:r>
      <w:r w:rsidR="00B11C7E" w:rsidRPr="006234AA">
        <w:rPr>
          <w:lang w:val="nl-NL"/>
        </w:rPr>
        <w:t xml:space="preserve"> </w:t>
      </w:r>
      <w:r w:rsidR="00DF0F5F" w:rsidRPr="006234AA">
        <w:rPr>
          <w:lang w:val="nl-NL"/>
        </w:rPr>
        <w:t>B</w:t>
      </w:r>
      <w:r w:rsidR="00B11C7E" w:rsidRPr="006234AA">
        <w:rPr>
          <w:lang w:val="nl-NL"/>
        </w:rPr>
        <w:t>ị đặt trong tình trạng bị tạm ngừng giao dịch, bị đưa vào diện cảnh báo, bị hủy niêm yết, bị đưa vào diện kiểm soát; cổ phiếu của các tổ chức phát hành đang trong tình trạng thanh lý, giải thể, phá sản, hợp nhất, sáp nhập;</w:t>
      </w:r>
    </w:p>
    <w:p w:rsidR="00B11C7E" w:rsidRPr="006234AA" w:rsidRDefault="00A96314" w:rsidP="003C0546">
      <w:pPr>
        <w:spacing w:after="120"/>
        <w:rPr>
          <w:lang w:val="nl-NL"/>
        </w:rPr>
      </w:pPr>
      <w:r w:rsidRPr="006234AA">
        <w:rPr>
          <w:lang w:val="nl-NL"/>
        </w:rPr>
        <w:t>-</w:t>
      </w:r>
      <w:r w:rsidR="00B11C7E" w:rsidRPr="006234AA">
        <w:rPr>
          <w:lang w:val="nl-NL"/>
        </w:rPr>
        <w:t xml:space="preserve"> Cổ phiếu do </w:t>
      </w:r>
      <w:r w:rsidR="00770D1A" w:rsidRPr="006234AA">
        <w:rPr>
          <w:lang w:val="nl-NL"/>
        </w:rPr>
        <w:t xml:space="preserve">bên ký quỹ </w:t>
      </w:r>
      <w:r w:rsidR="00B11C7E" w:rsidRPr="006234AA">
        <w:rPr>
          <w:lang w:val="nl-NL"/>
        </w:rPr>
        <w:t>phát hành</w:t>
      </w:r>
      <w:r w:rsidR="00DF0F5F" w:rsidRPr="006234AA">
        <w:rPr>
          <w:lang w:val="nl-NL"/>
        </w:rPr>
        <w:t xml:space="preserve"> hoặc </w:t>
      </w:r>
      <w:r w:rsidR="006F244E" w:rsidRPr="006234AA">
        <w:rPr>
          <w:lang w:val="nl-NL"/>
        </w:rPr>
        <w:t xml:space="preserve">phát hành bởi (i) </w:t>
      </w:r>
      <w:r w:rsidR="00DA3DF3" w:rsidRPr="006234AA">
        <w:rPr>
          <w:lang w:val="nl-NL"/>
        </w:rPr>
        <w:t xml:space="preserve">tổ chức là </w:t>
      </w:r>
      <w:r w:rsidR="006F244E" w:rsidRPr="006234AA">
        <w:rPr>
          <w:lang w:val="nl-NL"/>
        </w:rPr>
        <w:t>công ty mẹ của bên ký quỹ; hoặc (ii) công ty mà</w:t>
      </w:r>
      <w:r w:rsidR="00DA3DF3" w:rsidRPr="006234AA">
        <w:rPr>
          <w:lang w:val="nl-NL"/>
        </w:rPr>
        <w:t xml:space="preserve"> bên ký quỹ </w:t>
      </w:r>
      <w:r w:rsidR="006F244E" w:rsidRPr="006234AA">
        <w:rPr>
          <w:lang w:val="nl-NL"/>
        </w:rPr>
        <w:t>là chủ sở hữu trên 10% số cổ phiếu lưu hành có quyền biểu quyết; hoặc (iii) tổ chức mà bên ký quỹ là thành viên Hội đồng quản trị, Ban kiểm soát, Giám đốc hoặc Tổng Giám đốc, Phó Giám đốc hoặc Phó Tổng giám đốc và các chức danh quản lý khác của tổ chức đó</w:t>
      </w:r>
      <w:r w:rsidR="00DA3DF3" w:rsidRPr="006234AA">
        <w:rPr>
          <w:lang w:val="nl-NL"/>
        </w:rPr>
        <w:t>;</w:t>
      </w:r>
    </w:p>
    <w:p w:rsidR="00770D1A" w:rsidRPr="006234AA" w:rsidRDefault="00770D1A" w:rsidP="003C0546">
      <w:pPr>
        <w:spacing w:after="120"/>
        <w:rPr>
          <w:lang w:val="nl-NL"/>
        </w:rPr>
      </w:pPr>
      <w:r w:rsidRPr="006234AA">
        <w:rPr>
          <w:lang w:val="nl-NL"/>
        </w:rPr>
        <w:t>c</w:t>
      </w:r>
      <w:r w:rsidR="00B11C7E" w:rsidRPr="006234AA">
        <w:rPr>
          <w:lang w:val="nl-NL"/>
        </w:rPr>
        <w:t>)</w:t>
      </w:r>
      <w:r w:rsidRPr="006234AA">
        <w:rPr>
          <w:lang w:val="nl-NL"/>
        </w:rPr>
        <w:t xml:space="preserve"> </w:t>
      </w:r>
      <w:r w:rsidR="006B7E9F" w:rsidRPr="006234AA">
        <w:rPr>
          <w:lang w:val="nl-NL"/>
        </w:rPr>
        <w:t>K</w:t>
      </w:r>
      <w:r w:rsidRPr="006234AA">
        <w:rPr>
          <w:lang w:val="nl-NL"/>
        </w:rPr>
        <w:t xml:space="preserve">hông </w:t>
      </w:r>
      <w:r w:rsidR="006B7E9F" w:rsidRPr="006234AA">
        <w:rPr>
          <w:lang w:val="nl-NL"/>
        </w:rPr>
        <w:t xml:space="preserve">phải </w:t>
      </w:r>
      <w:r w:rsidRPr="006234AA">
        <w:rPr>
          <w:lang w:val="nl-NL"/>
        </w:rPr>
        <w:t>là tài sản bảo đảm trong các giao dịch tài sản bảo đảm theo quy định của pháp luật dân sự về giao dịch tài sản bảo đảm của bên ký quỹ, kể cả các cổ phiếu được mua trong giao dịch vay mua ký quỹ từ nguồn vốn tài trợ bởi công ty chứng khoán;</w:t>
      </w:r>
      <w:r w:rsidR="006B7E9F" w:rsidRPr="006234AA">
        <w:rPr>
          <w:lang w:val="nl-NL"/>
        </w:rPr>
        <w:t xml:space="preserve"> không phải là tài sản đang bị phong tỏa bởi tổ chức, cơ quan quản lý nhà nước theo quy định của pháp luật liên quan hoặc không phải là tài sản đang được bên ký quỹ cho vay phù hợp với quy định của pháp luật chứng khoán;</w:t>
      </w:r>
    </w:p>
    <w:p w:rsidR="003B556E" w:rsidRPr="006234AA" w:rsidRDefault="00770D1A" w:rsidP="003C0546">
      <w:pPr>
        <w:spacing w:after="120"/>
        <w:rPr>
          <w:lang w:val="nl-NL"/>
        </w:rPr>
      </w:pPr>
      <w:r w:rsidRPr="006234AA">
        <w:rPr>
          <w:lang w:val="nl-NL"/>
        </w:rPr>
        <w:t xml:space="preserve">d) Là tài sản thuộc quyền sở hữu </w:t>
      </w:r>
      <w:r w:rsidR="003B556E" w:rsidRPr="006234AA">
        <w:rPr>
          <w:lang w:val="nl-NL"/>
        </w:rPr>
        <w:t>và quyền quản lý của bên ký quỹ theo nguyên tắc sau:</w:t>
      </w:r>
    </w:p>
    <w:p w:rsidR="003B556E" w:rsidRPr="006234AA" w:rsidRDefault="003B556E" w:rsidP="003C0546">
      <w:pPr>
        <w:spacing w:after="120"/>
        <w:rPr>
          <w:lang w:val="nl-NL"/>
        </w:rPr>
      </w:pPr>
      <w:r w:rsidRPr="006234AA">
        <w:rPr>
          <w:lang w:val="nl-NL"/>
        </w:rPr>
        <w:t xml:space="preserve">- Trường hợp bên ký quỹ là khách hàng, bên nhận ký quỹ là thành viên bù trừ: Tài sản thuộc quyền sở hữu của khách hàng </w:t>
      </w:r>
      <w:r w:rsidR="00AE1640" w:rsidRPr="006234AA">
        <w:rPr>
          <w:lang w:val="nl-NL"/>
        </w:rPr>
        <w:t xml:space="preserve">đáp ứng các điều kiện </w:t>
      </w:r>
      <w:r w:rsidRPr="006234AA">
        <w:rPr>
          <w:lang w:val="nl-NL"/>
        </w:rPr>
        <w:t>và được phép giao dịch theo quy định của pháp luật dân sự về giao dịch bảo đảm;</w:t>
      </w:r>
    </w:p>
    <w:p w:rsidR="003B556E" w:rsidRPr="006234AA" w:rsidRDefault="003B556E" w:rsidP="003C0546">
      <w:pPr>
        <w:spacing w:after="120"/>
        <w:rPr>
          <w:lang w:val="nl-NL"/>
        </w:rPr>
      </w:pPr>
      <w:r w:rsidRPr="006234AA">
        <w:rPr>
          <w:lang w:val="nl-NL"/>
        </w:rPr>
        <w:lastRenderedPageBreak/>
        <w:t xml:space="preserve">- Trường hợp bên ký quỹ là thành viên bù trừ, bên nhận ký quỹ là </w:t>
      </w:r>
      <w:r w:rsidR="008573AD" w:rsidRPr="006234AA">
        <w:rPr>
          <w:lang w:val="nl-NL"/>
        </w:rPr>
        <w:t>Trung tâm lưu ký chứng khoán</w:t>
      </w:r>
      <w:r w:rsidRPr="006234AA">
        <w:rPr>
          <w:lang w:val="nl-NL"/>
        </w:rPr>
        <w:t>: Tài sản thuộc quyền quản lý của thành viên bù trừ theo quy định tại khoản 49 Điều 2 Thông tư này</w:t>
      </w:r>
      <w:r w:rsidR="00AE1640" w:rsidRPr="006234AA">
        <w:rPr>
          <w:lang w:val="nl-NL"/>
        </w:rPr>
        <w:t>.</w:t>
      </w:r>
    </w:p>
    <w:p w:rsidR="009B455D" w:rsidRPr="006234AA" w:rsidRDefault="009B455D" w:rsidP="003C0546">
      <w:pPr>
        <w:spacing w:after="120"/>
        <w:rPr>
          <w:lang w:val="nl-NL"/>
        </w:rPr>
      </w:pPr>
      <w:r w:rsidRPr="006234AA">
        <w:rPr>
          <w:lang w:val="nl-NL"/>
        </w:rPr>
        <w:t xml:space="preserve">2. </w:t>
      </w:r>
      <w:r w:rsidR="00B10F4D" w:rsidRPr="006234AA">
        <w:rPr>
          <w:lang w:val="nl-NL"/>
        </w:rPr>
        <w:t xml:space="preserve">Danh mục chứng khoán là tài sản ký quỹ, </w:t>
      </w:r>
      <w:r w:rsidR="00A965BA" w:rsidRPr="006234AA">
        <w:rPr>
          <w:lang w:val="nl-NL"/>
        </w:rPr>
        <w:t>tài sản</w:t>
      </w:r>
      <w:r w:rsidR="00B10F4D" w:rsidRPr="006234AA">
        <w:rPr>
          <w:lang w:val="nl-NL"/>
        </w:rPr>
        <w:t xml:space="preserve"> đóng góp của </w:t>
      </w:r>
      <w:r w:rsidR="00A965BA" w:rsidRPr="006234AA">
        <w:rPr>
          <w:lang w:val="nl-NL"/>
        </w:rPr>
        <w:t xml:space="preserve">thành viên bù trừ vào </w:t>
      </w:r>
      <w:r w:rsidR="00B10F4D" w:rsidRPr="006234AA">
        <w:rPr>
          <w:lang w:val="nl-NL"/>
        </w:rPr>
        <w:t>Quỹ bù trừ đáp ứng các điều kiện sau</w:t>
      </w:r>
      <w:r w:rsidRPr="006234AA">
        <w:rPr>
          <w:lang w:val="nl-NL"/>
        </w:rPr>
        <w:t>:</w:t>
      </w:r>
    </w:p>
    <w:p w:rsidR="009B455D" w:rsidRPr="006234AA" w:rsidRDefault="009B455D" w:rsidP="003C0546">
      <w:pPr>
        <w:spacing w:after="120"/>
        <w:rPr>
          <w:lang w:val="nl-NL"/>
        </w:rPr>
      </w:pPr>
      <w:r w:rsidRPr="006234AA">
        <w:rPr>
          <w:lang w:val="nl-NL"/>
        </w:rPr>
        <w:t>a) Giá trị các chứng khoán phát hành bởi cùng một tổ chức không được vượt quá 20% tổng giá trị danh mục, trừ trường hợp trái phiếu Chính phủ, tín phiếu Kho bạc;</w:t>
      </w:r>
    </w:p>
    <w:p w:rsidR="002C485B" w:rsidRPr="006234AA" w:rsidRDefault="002C485B" w:rsidP="003C0546">
      <w:pPr>
        <w:spacing w:after="120"/>
        <w:rPr>
          <w:lang w:val="nl-NL"/>
        </w:rPr>
      </w:pPr>
      <w:r w:rsidRPr="006234AA">
        <w:rPr>
          <w:lang w:val="nl-NL"/>
        </w:rPr>
        <w:t>b) Giá trị các chứng khoán phát hành bởi các công ty có quan hệ công ty mẹ, công ty con, công ty liên doanh, công ty liên kết không được vượt quá 30% tổng giá trị danh mục, trừ trường hợp trái phiếu Chính phủ, tín phiếu Kho bạc;</w:t>
      </w:r>
    </w:p>
    <w:p w:rsidR="009B455D" w:rsidRPr="006234AA" w:rsidRDefault="002C485B" w:rsidP="003C0546">
      <w:pPr>
        <w:spacing w:after="120"/>
        <w:rPr>
          <w:lang w:val="nl-NL"/>
        </w:rPr>
      </w:pPr>
      <w:r w:rsidRPr="006234AA">
        <w:rPr>
          <w:lang w:val="nl-NL"/>
        </w:rPr>
        <w:t>c</w:t>
      </w:r>
      <w:r w:rsidR="009B455D" w:rsidRPr="006234AA">
        <w:rPr>
          <w:lang w:val="nl-NL"/>
        </w:rPr>
        <w:t xml:space="preserve">) </w:t>
      </w:r>
      <w:r w:rsidR="00B10F4D" w:rsidRPr="006234AA">
        <w:rPr>
          <w:lang w:val="nl-NL"/>
        </w:rPr>
        <w:t>Số chứng khoán ký quỹ k</w:t>
      </w:r>
      <w:r w:rsidR="009B455D" w:rsidRPr="006234AA">
        <w:rPr>
          <w:lang w:val="nl-NL"/>
        </w:rPr>
        <w:t>hông được vượt quá 20% số chứng khoán đang lưu hành của một tổ chức;</w:t>
      </w:r>
    </w:p>
    <w:p w:rsidR="009B455D" w:rsidRPr="006234AA" w:rsidRDefault="002C485B" w:rsidP="003C0546">
      <w:pPr>
        <w:spacing w:after="120"/>
        <w:rPr>
          <w:lang w:val="nl-NL"/>
        </w:rPr>
      </w:pPr>
      <w:r w:rsidRPr="006234AA">
        <w:rPr>
          <w:lang w:val="nl-NL"/>
        </w:rPr>
        <w:t>d</w:t>
      </w:r>
      <w:r w:rsidR="009B455D" w:rsidRPr="006234AA">
        <w:rPr>
          <w:lang w:val="nl-NL"/>
        </w:rPr>
        <w:t>)</w:t>
      </w:r>
      <w:r w:rsidRPr="006234AA">
        <w:rPr>
          <w:lang w:val="nl-NL"/>
        </w:rPr>
        <w:t xml:space="preserve"> Trường hợp danh mục tài sản ký quỹ ban đầu: tối thiểu 40% giá trị bằng tiền. Trư</w:t>
      </w:r>
      <w:r w:rsidR="00382A5F" w:rsidRPr="006234AA">
        <w:rPr>
          <w:lang w:val="nl-NL"/>
        </w:rPr>
        <w:t>ờng hợp danh mục tài sản đóng góp vào quỹ bù trừ: tối thiểu 10% bằng tiền.</w:t>
      </w:r>
      <w:r w:rsidRPr="006234AA">
        <w:rPr>
          <w:lang w:val="nl-NL"/>
        </w:rPr>
        <w:t xml:space="preserve"> </w:t>
      </w:r>
      <w:r w:rsidR="009B455D" w:rsidRPr="006234AA">
        <w:rPr>
          <w:lang w:val="nl-NL"/>
        </w:rPr>
        <w:t xml:space="preserve"> </w:t>
      </w:r>
    </w:p>
    <w:p w:rsidR="00B11C7E" w:rsidRPr="006234AA" w:rsidRDefault="00382A5F" w:rsidP="003C0546">
      <w:pPr>
        <w:spacing w:after="120"/>
        <w:rPr>
          <w:lang w:val="nl-NL"/>
        </w:rPr>
      </w:pPr>
      <w:r w:rsidRPr="006234AA">
        <w:rPr>
          <w:lang w:val="nl-NL"/>
        </w:rPr>
        <w:t>3</w:t>
      </w:r>
      <w:r w:rsidR="00B11C7E" w:rsidRPr="006234AA">
        <w:rPr>
          <w:lang w:val="nl-NL"/>
        </w:rPr>
        <w:t>. Trên cơ sở các điều kiện quy định tại khoản 1</w:t>
      </w:r>
      <w:r w:rsidRPr="006234AA">
        <w:rPr>
          <w:lang w:val="nl-NL"/>
        </w:rPr>
        <w:t>, 2</w:t>
      </w:r>
      <w:r w:rsidR="00B11C7E" w:rsidRPr="006234AA">
        <w:rPr>
          <w:lang w:val="nl-NL"/>
        </w:rPr>
        <w:t xml:space="preserve"> Điều này, </w:t>
      </w:r>
      <w:r w:rsidR="008573AD" w:rsidRPr="006234AA">
        <w:rPr>
          <w:lang w:val="nl-NL"/>
        </w:rPr>
        <w:t>Trung tâm lưu ký chứng khoán</w:t>
      </w:r>
      <w:r w:rsidR="00B11C7E" w:rsidRPr="006234AA">
        <w:rPr>
          <w:lang w:val="nl-NL"/>
        </w:rPr>
        <w:t xml:space="preserve"> có trách nhiệm công bố và cập nhật, điều chỉnh danh mục </w:t>
      </w:r>
      <w:r w:rsidR="00596D76" w:rsidRPr="006234AA">
        <w:rPr>
          <w:lang w:val="nl-NL"/>
        </w:rPr>
        <w:t>c</w:t>
      </w:r>
      <w:r w:rsidR="00B84486" w:rsidRPr="006234AA">
        <w:rPr>
          <w:lang w:val="nl-NL"/>
        </w:rPr>
        <w:t xml:space="preserve">hứng khoán </w:t>
      </w:r>
      <w:r w:rsidR="0020601F" w:rsidRPr="006234AA">
        <w:rPr>
          <w:lang w:val="nl-NL"/>
        </w:rPr>
        <w:t>được chấp nhận ký quỹ</w:t>
      </w:r>
      <w:r w:rsidR="00B11C7E" w:rsidRPr="006234AA">
        <w:rPr>
          <w:lang w:val="nl-NL"/>
        </w:rPr>
        <w:t xml:space="preserve">. </w:t>
      </w:r>
    </w:p>
    <w:p w:rsidR="00B11C7E" w:rsidRPr="006234AA" w:rsidRDefault="00382A5F" w:rsidP="003C0546">
      <w:pPr>
        <w:spacing w:after="120"/>
        <w:rPr>
          <w:lang w:val="nl-NL"/>
        </w:rPr>
      </w:pPr>
      <w:r w:rsidRPr="006234AA">
        <w:rPr>
          <w:lang w:val="nl-NL"/>
        </w:rPr>
        <w:t>4</w:t>
      </w:r>
      <w:r w:rsidR="00B11C7E" w:rsidRPr="006234AA">
        <w:rPr>
          <w:lang w:val="nl-NL"/>
        </w:rPr>
        <w:t xml:space="preserve">. Thành viên bù trừ được quyền yêu cầu thành viên giao dịch, khách hàng ký quỹ bằng tiền, hoặc cho phép ký quỹ một phần bằng một hay một số chứng khoán </w:t>
      </w:r>
      <w:r w:rsidR="0020601F" w:rsidRPr="006234AA">
        <w:rPr>
          <w:lang w:val="nl-NL"/>
        </w:rPr>
        <w:t>được chấp nhận ký quỹ</w:t>
      </w:r>
      <w:r w:rsidR="00B11C7E" w:rsidRPr="006234AA">
        <w:rPr>
          <w:lang w:val="nl-NL"/>
        </w:rPr>
        <w:t xml:space="preserve"> </w:t>
      </w:r>
      <w:r w:rsidR="00AE1640" w:rsidRPr="006234AA">
        <w:rPr>
          <w:lang w:val="nl-NL"/>
        </w:rPr>
        <w:t>theo quy định tại khoản 1 Điều này</w:t>
      </w:r>
      <w:r w:rsidR="00B11C7E" w:rsidRPr="006234AA">
        <w:rPr>
          <w:lang w:val="nl-NL"/>
        </w:rPr>
        <w:t>.</w:t>
      </w:r>
    </w:p>
    <w:p w:rsidR="00B11C7E" w:rsidRPr="006234AA" w:rsidRDefault="00382A5F" w:rsidP="003C0546">
      <w:pPr>
        <w:spacing w:after="120"/>
        <w:rPr>
          <w:lang w:val="nl-NL"/>
        </w:rPr>
      </w:pPr>
      <w:r w:rsidRPr="006234AA">
        <w:rPr>
          <w:lang w:val="nl-NL"/>
        </w:rPr>
        <w:t>5</w:t>
      </w:r>
      <w:r w:rsidR="00B11C7E" w:rsidRPr="006234AA">
        <w:rPr>
          <w:lang w:val="nl-NL"/>
        </w:rPr>
        <w:t xml:space="preserve">. Trường hợp </w:t>
      </w:r>
      <w:r w:rsidR="00596D76" w:rsidRPr="006234AA">
        <w:rPr>
          <w:lang w:val="nl-NL"/>
        </w:rPr>
        <w:t xml:space="preserve">chứng khoán </w:t>
      </w:r>
      <w:r w:rsidR="00B11C7E" w:rsidRPr="006234AA">
        <w:rPr>
          <w:lang w:val="nl-NL"/>
        </w:rPr>
        <w:t xml:space="preserve">không còn đáp ứng điều kiện </w:t>
      </w:r>
      <w:r w:rsidR="0020601F" w:rsidRPr="006234AA">
        <w:rPr>
          <w:lang w:val="nl-NL"/>
        </w:rPr>
        <w:t>được chấp nhận ký quỹ</w:t>
      </w:r>
      <w:r w:rsidR="00B11C7E" w:rsidRPr="006234AA">
        <w:rPr>
          <w:lang w:val="nl-NL"/>
        </w:rPr>
        <w:t xml:space="preserve">, thành viên bù trừ có trách nhiệm tiếp nhận, thay thế bằng </w:t>
      </w:r>
      <w:r w:rsidR="00596D76" w:rsidRPr="006234AA">
        <w:rPr>
          <w:lang w:val="nl-NL"/>
        </w:rPr>
        <w:t xml:space="preserve">tiền, chứng khoán </w:t>
      </w:r>
      <w:r w:rsidR="00B11C7E" w:rsidRPr="006234AA">
        <w:rPr>
          <w:lang w:val="nl-NL"/>
        </w:rPr>
        <w:t xml:space="preserve">khác đáp ứng điều kiện </w:t>
      </w:r>
      <w:r w:rsidR="0020601F" w:rsidRPr="006234AA">
        <w:rPr>
          <w:lang w:val="nl-NL"/>
        </w:rPr>
        <w:t>được chấp nhận ký quỹ</w:t>
      </w:r>
      <w:r w:rsidR="00B11C7E" w:rsidRPr="006234AA">
        <w:rPr>
          <w:lang w:val="nl-NL"/>
        </w:rPr>
        <w:t xml:space="preserve"> trong thời hạn theo quy chế </w:t>
      </w:r>
      <w:r w:rsidR="00B10F4D" w:rsidRPr="006234AA">
        <w:rPr>
          <w:lang w:val="nl-NL"/>
        </w:rPr>
        <w:t xml:space="preserve">của </w:t>
      </w:r>
      <w:r w:rsidR="008573AD" w:rsidRPr="006234AA">
        <w:rPr>
          <w:lang w:val="nl-NL"/>
        </w:rPr>
        <w:t>Trung tâm lưu ký chứng khoán</w:t>
      </w:r>
      <w:r w:rsidR="00B11C7E" w:rsidRPr="006234AA">
        <w:rPr>
          <w:lang w:val="nl-NL"/>
        </w:rPr>
        <w:t>.</w:t>
      </w:r>
    </w:p>
    <w:p w:rsidR="00B11C7E" w:rsidRPr="006234AA" w:rsidRDefault="00382A5F" w:rsidP="003C0546">
      <w:pPr>
        <w:spacing w:after="120"/>
        <w:rPr>
          <w:lang w:val="nl-NL"/>
        </w:rPr>
      </w:pPr>
      <w:r w:rsidRPr="006234AA">
        <w:rPr>
          <w:lang w:val="nl-NL"/>
        </w:rPr>
        <w:t>6</w:t>
      </w:r>
      <w:r w:rsidR="00B11C7E" w:rsidRPr="006234AA">
        <w:rPr>
          <w:lang w:val="nl-NL"/>
        </w:rPr>
        <w:t xml:space="preserve">. Cổ tức, </w:t>
      </w:r>
      <w:r w:rsidR="00596D76" w:rsidRPr="006234AA">
        <w:rPr>
          <w:lang w:val="nl-NL"/>
        </w:rPr>
        <w:t xml:space="preserve">trái tức, </w:t>
      </w:r>
      <w:r w:rsidR="00B11C7E" w:rsidRPr="006234AA">
        <w:rPr>
          <w:lang w:val="nl-NL"/>
        </w:rPr>
        <w:t xml:space="preserve">quyền mua và các lợi nhuận từ </w:t>
      </w:r>
      <w:r w:rsidR="00596D76" w:rsidRPr="006234AA">
        <w:rPr>
          <w:lang w:val="nl-NL"/>
        </w:rPr>
        <w:t>c</w:t>
      </w:r>
      <w:r w:rsidR="00B84486" w:rsidRPr="006234AA">
        <w:rPr>
          <w:lang w:val="nl-NL"/>
        </w:rPr>
        <w:t xml:space="preserve">hứng khoán </w:t>
      </w:r>
      <w:r w:rsidR="0020601F" w:rsidRPr="006234AA">
        <w:rPr>
          <w:lang w:val="nl-NL"/>
        </w:rPr>
        <w:t>được chấp nhận ký quỹ</w:t>
      </w:r>
      <w:r w:rsidR="00B11C7E" w:rsidRPr="006234AA">
        <w:rPr>
          <w:lang w:val="nl-NL"/>
        </w:rPr>
        <w:t xml:space="preserve"> phát sinh trong thời gian ký quỹ đều được hạch toán đầy đủ, kịp thời vào tài khoản của </w:t>
      </w:r>
      <w:r w:rsidR="005B6BBA" w:rsidRPr="006234AA">
        <w:rPr>
          <w:lang w:val="nl-NL"/>
        </w:rPr>
        <w:t>nhà đầu tư</w:t>
      </w:r>
      <w:r w:rsidR="00B11C7E" w:rsidRPr="006234AA">
        <w:rPr>
          <w:lang w:val="nl-NL"/>
        </w:rPr>
        <w:t>.</w:t>
      </w:r>
    </w:p>
    <w:p w:rsidR="008E5EAF" w:rsidRPr="006234AA" w:rsidRDefault="006F58DF" w:rsidP="003C0546">
      <w:pPr>
        <w:pStyle w:val="Heading4"/>
        <w:spacing w:after="120"/>
      </w:pPr>
      <w:bookmarkStart w:id="188" w:name="_Toc397003384"/>
      <w:bookmarkStart w:id="189" w:name="_Toc422672003"/>
      <w:r w:rsidRPr="006234AA">
        <w:t>T</w:t>
      </w:r>
      <w:r w:rsidR="008E5EAF" w:rsidRPr="006234AA">
        <w:t>hành viên bù trừ mất khả năng thanh toán</w:t>
      </w:r>
      <w:bookmarkEnd w:id="188"/>
      <w:bookmarkEnd w:id="189"/>
    </w:p>
    <w:p w:rsidR="00B11C7E" w:rsidRPr="006234AA" w:rsidRDefault="00B11C7E" w:rsidP="003C0546">
      <w:pPr>
        <w:spacing w:after="120"/>
        <w:rPr>
          <w:lang w:val="nl-NL"/>
        </w:rPr>
      </w:pPr>
      <w:r w:rsidRPr="006234AA">
        <w:rPr>
          <w:lang w:val="nl-NL"/>
        </w:rPr>
        <w:t xml:space="preserve">1. Thành viên bù trừ mất khả năng thanh toán </w:t>
      </w:r>
      <w:r w:rsidR="00942FA6" w:rsidRPr="006234AA">
        <w:rPr>
          <w:lang w:val="nl-NL"/>
        </w:rPr>
        <w:t xml:space="preserve">khi thuộc một </w:t>
      </w:r>
      <w:r w:rsidRPr="006234AA">
        <w:rPr>
          <w:lang w:val="nl-NL"/>
        </w:rPr>
        <w:t xml:space="preserve">trong các trường hợp sau: </w:t>
      </w:r>
    </w:p>
    <w:p w:rsidR="00B11C7E" w:rsidRPr="006234AA" w:rsidRDefault="00B11C7E" w:rsidP="003C0546">
      <w:pPr>
        <w:spacing w:after="120"/>
        <w:rPr>
          <w:lang w:val="nl-NL"/>
        </w:rPr>
      </w:pPr>
      <w:r w:rsidRPr="006234AA">
        <w:rPr>
          <w:lang w:val="nl-NL"/>
        </w:rPr>
        <w:t xml:space="preserve">a) Không kịp thời bổ sung hoặc bổ sung không đầy đủ ký quỹ </w:t>
      </w:r>
      <w:r w:rsidR="00625A1B" w:rsidRPr="006234AA">
        <w:rPr>
          <w:lang w:val="nl-NL"/>
        </w:rPr>
        <w:t xml:space="preserve">cho các vị thế mở đứng tên mình </w:t>
      </w:r>
      <w:r w:rsidRPr="006234AA">
        <w:rPr>
          <w:lang w:val="nl-NL"/>
        </w:rPr>
        <w:t xml:space="preserve">sau khi tiếp nhận lệnh gọi ký quỹ của </w:t>
      </w:r>
      <w:r w:rsidR="008573AD" w:rsidRPr="006234AA">
        <w:rPr>
          <w:lang w:val="nl-NL"/>
        </w:rPr>
        <w:t>Trung tâm lưu ký chứng khoán</w:t>
      </w:r>
      <w:r w:rsidRPr="006234AA">
        <w:rPr>
          <w:lang w:val="nl-NL"/>
        </w:rPr>
        <w:t xml:space="preserve"> tron</w:t>
      </w:r>
      <w:r w:rsidR="00173C57" w:rsidRPr="006234AA">
        <w:rPr>
          <w:lang w:val="nl-NL"/>
        </w:rPr>
        <w:t>g thời gian theo hướng dẫn tại q</w:t>
      </w:r>
      <w:r w:rsidRPr="006234AA">
        <w:rPr>
          <w:lang w:val="nl-NL"/>
        </w:rPr>
        <w:t xml:space="preserve">uy chế </w:t>
      </w:r>
      <w:r w:rsidR="00173C57" w:rsidRPr="006234AA">
        <w:rPr>
          <w:lang w:val="nl-NL"/>
        </w:rPr>
        <w:t>của</w:t>
      </w:r>
      <w:r w:rsidRPr="006234AA">
        <w:rPr>
          <w:lang w:val="nl-NL"/>
        </w:rPr>
        <w:t xml:space="preserve"> </w:t>
      </w:r>
      <w:r w:rsidR="00173C57" w:rsidRPr="006234AA">
        <w:rPr>
          <w:lang w:val="nl-NL"/>
        </w:rPr>
        <w:t>Trung tâm lưu ký chứng khoán</w:t>
      </w:r>
      <w:r w:rsidR="006F1966" w:rsidRPr="006234AA">
        <w:rPr>
          <w:lang w:val="nl-NL"/>
        </w:rPr>
        <w:t>, kể cả trong trường hợp vị thế đó là của khách hàng;</w:t>
      </w:r>
    </w:p>
    <w:p w:rsidR="00E16FD1" w:rsidRPr="006234AA" w:rsidRDefault="00E16FD1" w:rsidP="003C0546">
      <w:pPr>
        <w:spacing w:after="120"/>
        <w:rPr>
          <w:lang w:val="nl-NL"/>
        </w:rPr>
      </w:pPr>
      <w:r w:rsidRPr="006234AA">
        <w:rPr>
          <w:lang w:val="nl-NL"/>
        </w:rPr>
        <w:t xml:space="preserve">b) Không </w:t>
      </w:r>
      <w:r w:rsidR="00D54E0D" w:rsidRPr="006234AA">
        <w:rPr>
          <w:lang w:val="nl-NL"/>
        </w:rPr>
        <w:t>kịp thời</w:t>
      </w:r>
      <w:r w:rsidR="006F244E" w:rsidRPr="006234AA">
        <w:rPr>
          <w:lang w:val="nl-NL"/>
        </w:rPr>
        <w:t xml:space="preserve"> chuyển giao </w:t>
      </w:r>
      <w:r w:rsidR="00D54E0D" w:rsidRPr="006234AA">
        <w:rPr>
          <w:lang w:val="nl-NL"/>
        </w:rPr>
        <w:t xml:space="preserve">hoặc chuyển giao không đầy đủ </w:t>
      </w:r>
      <w:r w:rsidR="006F244E" w:rsidRPr="006234AA">
        <w:rPr>
          <w:lang w:val="nl-NL"/>
        </w:rPr>
        <w:t xml:space="preserve">tài sản cơ sở, </w:t>
      </w:r>
      <w:r w:rsidR="00D54E0D" w:rsidRPr="006234AA">
        <w:rPr>
          <w:lang w:val="nl-NL"/>
        </w:rPr>
        <w:t xml:space="preserve">không kịp thời hoặc </w:t>
      </w:r>
      <w:r w:rsidR="006F244E" w:rsidRPr="006234AA">
        <w:rPr>
          <w:lang w:val="nl-NL"/>
        </w:rPr>
        <w:t xml:space="preserve">thanh toán </w:t>
      </w:r>
      <w:r w:rsidR="00D54E0D" w:rsidRPr="006234AA">
        <w:rPr>
          <w:lang w:val="nl-NL"/>
        </w:rPr>
        <w:t xml:space="preserve">không đầy đủ </w:t>
      </w:r>
      <w:r w:rsidR="006F244E" w:rsidRPr="006234AA">
        <w:rPr>
          <w:lang w:val="nl-NL"/>
        </w:rPr>
        <w:t xml:space="preserve">các giao dịch </w:t>
      </w:r>
      <w:r w:rsidRPr="006234AA">
        <w:rPr>
          <w:lang w:val="nl-NL"/>
        </w:rPr>
        <w:t xml:space="preserve">chứng khoán </w:t>
      </w:r>
      <w:r w:rsidRPr="006234AA">
        <w:rPr>
          <w:lang w:val="nl-NL"/>
        </w:rPr>
        <w:lastRenderedPageBreak/>
        <w:t xml:space="preserve">phái sinh </w:t>
      </w:r>
      <w:r w:rsidR="006F1966" w:rsidRPr="006234AA">
        <w:rPr>
          <w:lang w:val="nl-NL"/>
        </w:rPr>
        <w:t xml:space="preserve">của vị thế mở đứng tên thành viên bù trừ </w:t>
      </w:r>
      <w:r w:rsidRPr="006234AA">
        <w:rPr>
          <w:lang w:val="nl-NL"/>
        </w:rPr>
        <w:t xml:space="preserve">trong thời gian theo hướng dẫn của </w:t>
      </w:r>
      <w:r w:rsidR="008573AD" w:rsidRPr="006234AA">
        <w:rPr>
          <w:lang w:val="nl-NL"/>
        </w:rPr>
        <w:t>Trung tâm lưu ký chứng khoán</w:t>
      </w:r>
      <w:r w:rsidR="006F1966" w:rsidRPr="006234AA">
        <w:rPr>
          <w:lang w:val="nl-NL"/>
        </w:rPr>
        <w:t>, kể cả trong trường hợp vị thế đó là của khách hàng;</w:t>
      </w:r>
    </w:p>
    <w:p w:rsidR="00B11C7E" w:rsidRPr="006234AA" w:rsidRDefault="00E16FD1" w:rsidP="003C0546">
      <w:pPr>
        <w:spacing w:after="120"/>
        <w:rPr>
          <w:lang w:val="nl-NL"/>
        </w:rPr>
      </w:pPr>
      <w:r w:rsidRPr="006234AA">
        <w:rPr>
          <w:lang w:val="nl-NL"/>
        </w:rPr>
        <w:t>c</w:t>
      </w:r>
      <w:r w:rsidR="00B11C7E" w:rsidRPr="006234AA">
        <w:rPr>
          <w:lang w:val="nl-NL"/>
        </w:rPr>
        <w:t>) Không kịp thời thanh toán hoặc thanh toán không đầy đủ các khoản phải trả do đánh giá lại vị thế hoặc do đóng vị thế</w:t>
      </w:r>
      <w:r w:rsidR="00156B37" w:rsidRPr="006234AA">
        <w:rPr>
          <w:lang w:val="nl-NL"/>
        </w:rPr>
        <w:t xml:space="preserve"> đứng tên mình</w:t>
      </w:r>
      <w:r w:rsidR="006F1966" w:rsidRPr="006234AA">
        <w:rPr>
          <w:lang w:val="nl-NL"/>
        </w:rPr>
        <w:t>, kể cả trong trường hợp vị thế đó là của khách hàng;</w:t>
      </w:r>
    </w:p>
    <w:p w:rsidR="00B11C7E" w:rsidRPr="006234AA" w:rsidRDefault="006F244E" w:rsidP="003C0546">
      <w:pPr>
        <w:spacing w:after="120"/>
        <w:rPr>
          <w:lang w:val="nl-NL"/>
        </w:rPr>
      </w:pPr>
      <w:r w:rsidRPr="006234AA">
        <w:rPr>
          <w:lang w:val="nl-NL"/>
        </w:rPr>
        <w:t>d</w:t>
      </w:r>
      <w:r w:rsidR="00B11C7E" w:rsidRPr="006234AA">
        <w:rPr>
          <w:lang w:val="nl-NL"/>
        </w:rPr>
        <w:t xml:space="preserve">) Không kịp thời đóng góp hoặc đóng góp không đầy đủ vào Quỹ bù trừ trong thời hạn theo hướng dẫn </w:t>
      </w:r>
      <w:r w:rsidR="00156B37" w:rsidRPr="006234AA">
        <w:rPr>
          <w:lang w:val="nl-NL"/>
        </w:rPr>
        <w:t>của Trung tâm Lưu ký chứng khoán</w:t>
      </w:r>
      <w:r w:rsidR="00B11C7E" w:rsidRPr="006234AA">
        <w:rPr>
          <w:lang w:val="nl-NL"/>
        </w:rPr>
        <w:t>;</w:t>
      </w:r>
    </w:p>
    <w:p w:rsidR="00156B37" w:rsidRPr="006234AA" w:rsidRDefault="006F244E" w:rsidP="003C0546">
      <w:pPr>
        <w:spacing w:after="120"/>
        <w:rPr>
          <w:lang w:val="nl-NL"/>
        </w:rPr>
      </w:pPr>
      <w:r w:rsidRPr="006234AA">
        <w:rPr>
          <w:lang w:val="nl-NL"/>
        </w:rPr>
        <w:t>đ</w:t>
      </w:r>
      <w:r w:rsidR="00156B37" w:rsidRPr="006234AA">
        <w:rPr>
          <w:lang w:val="nl-NL"/>
        </w:rPr>
        <w:t>) Thuộc các trường hợp bị phá sản, tuyên bố phá sản theo quy định của pháp luật về phá sản doanh nghiệp;</w:t>
      </w:r>
    </w:p>
    <w:p w:rsidR="00D54E0D" w:rsidRPr="006234AA" w:rsidRDefault="00D54E0D" w:rsidP="003C0546">
      <w:pPr>
        <w:spacing w:after="120"/>
        <w:rPr>
          <w:lang w:val="nl-NL"/>
        </w:rPr>
      </w:pPr>
      <w:r w:rsidRPr="006234AA">
        <w:rPr>
          <w:lang w:val="nl-NL"/>
        </w:rPr>
        <w:t>e</w:t>
      </w:r>
      <w:r w:rsidR="00E16FD1" w:rsidRPr="006234AA">
        <w:rPr>
          <w:lang w:val="nl-NL"/>
        </w:rPr>
        <w:t>) Chấm dứt tư cách thành viên của Sở giao dịch chứng khoán</w:t>
      </w:r>
      <w:r w:rsidR="006F244E" w:rsidRPr="006234AA">
        <w:rPr>
          <w:lang w:val="nl-NL"/>
        </w:rPr>
        <w:t>,</w:t>
      </w:r>
      <w:r w:rsidR="00E16FD1" w:rsidRPr="006234AA">
        <w:rPr>
          <w:lang w:val="nl-NL"/>
        </w:rPr>
        <w:t xml:space="preserve"> </w:t>
      </w:r>
      <w:r w:rsidR="008573AD" w:rsidRPr="006234AA">
        <w:rPr>
          <w:lang w:val="nl-NL"/>
        </w:rPr>
        <w:t>Trung tâm lưu ký chứng khoán</w:t>
      </w:r>
      <w:r w:rsidR="00E16FD1" w:rsidRPr="006234AA">
        <w:rPr>
          <w:lang w:val="nl-NL"/>
        </w:rPr>
        <w:t xml:space="preserve">; bị đình chỉ hoạt động hoặc tạm ngừng hoạt động thành viên của Sở giao dịch chứng khoán, </w:t>
      </w:r>
      <w:r w:rsidR="008573AD" w:rsidRPr="006234AA">
        <w:rPr>
          <w:lang w:val="nl-NL"/>
        </w:rPr>
        <w:t>Trung tâm lưu ký chứng khoán</w:t>
      </w:r>
      <w:r w:rsidR="00E16FD1" w:rsidRPr="006234AA">
        <w:rPr>
          <w:lang w:val="nl-NL"/>
        </w:rPr>
        <w:t>; thuộc các diện bị cảnh báo</w:t>
      </w:r>
      <w:r w:rsidR="006F244E" w:rsidRPr="006234AA">
        <w:rPr>
          <w:lang w:val="nl-NL"/>
        </w:rPr>
        <w:t>, đình chỉ hoạt động, tạm ngừng hoạt động</w:t>
      </w:r>
      <w:r w:rsidR="00E16FD1" w:rsidRPr="006234AA">
        <w:rPr>
          <w:lang w:val="nl-NL"/>
        </w:rPr>
        <w:t xml:space="preserve"> theo quy định của pháp luật về an toàn tài chính đối với công ty chứng khoán hoặc v</w:t>
      </w:r>
      <w:r w:rsidR="006F244E" w:rsidRPr="006234AA">
        <w:rPr>
          <w:lang w:val="nl-NL"/>
        </w:rPr>
        <w:t>ề an toàn vốn đối với ngân hàng</w:t>
      </w:r>
      <w:r w:rsidRPr="006234AA">
        <w:rPr>
          <w:lang w:val="nl-NL"/>
        </w:rPr>
        <w:t>;</w:t>
      </w:r>
    </w:p>
    <w:p w:rsidR="00D54E0D" w:rsidRPr="006234AA" w:rsidRDefault="00D54E0D" w:rsidP="003C0546">
      <w:pPr>
        <w:spacing w:after="120"/>
        <w:rPr>
          <w:lang w:val="nl-NL"/>
        </w:rPr>
      </w:pPr>
      <w:r w:rsidRPr="006234AA">
        <w:rPr>
          <w:lang w:val="nl-NL"/>
        </w:rPr>
        <w:t>g) Các trường hợp khác theo quy chế của Trung tâm lưu ký chứng khoán;</w:t>
      </w:r>
    </w:p>
    <w:p w:rsidR="00332EFE" w:rsidRPr="006234AA" w:rsidRDefault="00332EFE" w:rsidP="003C0546">
      <w:pPr>
        <w:spacing w:after="120"/>
        <w:rPr>
          <w:lang w:val="nl-NL"/>
        </w:rPr>
      </w:pPr>
      <w:r w:rsidRPr="006234AA">
        <w:rPr>
          <w:lang w:val="nl-NL"/>
        </w:rPr>
        <w:t xml:space="preserve">Quy định tại Điểm a, b, c, d Điều này không bao gồm các trường hợp do </w:t>
      </w:r>
      <w:r w:rsidR="005475C1" w:rsidRPr="006234AA">
        <w:rPr>
          <w:lang w:val="nl-NL"/>
        </w:rPr>
        <w:t xml:space="preserve">thiên tai, hỏa hoạn, chiến tranh, sự cố trong hệ thống thanh toán của ngân hàng...và các </w:t>
      </w:r>
      <w:r w:rsidRPr="006234AA">
        <w:rPr>
          <w:lang w:val="nl-NL"/>
        </w:rPr>
        <w:t xml:space="preserve">nguyên nhân bất khả kháng </w:t>
      </w:r>
      <w:r w:rsidR="005475C1" w:rsidRPr="006234AA">
        <w:rPr>
          <w:lang w:val="nl-NL"/>
        </w:rPr>
        <w:t xml:space="preserve">khác. </w:t>
      </w:r>
    </w:p>
    <w:p w:rsidR="00B11C7E" w:rsidRPr="006234AA" w:rsidRDefault="00183BB1" w:rsidP="003C0546">
      <w:pPr>
        <w:spacing w:after="120"/>
        <w:rPr>
          <w:lang w:val="nl-NL"/>
        </w:rPr>
      </w:pPr>
      <w:bookmarkStart w:id="190" w:name="_Toc383551246"/>
      <w:bookmarkStart w:id="191" w:name="_Toc383932760"/>
      <w:bookmarkStart w:id="192" w:name="_Toc385602489"/>
      <w:bookmarkStart w:id="193" w:name="_Toc386206004"/>
      <w:bookmarkStart w:id="194" w:name="_Toc385602490"/>
      <w:bookmarkEnd w:id="180"/>
      <w:bookmarkEnd w:id="181"/>
      <w:bookmarkEnd w:id="182"/>
      <w:bookmarkEnd w:id="183"/>
      <w:r w:rsidRPr="006234AA">
        <w:rPr>
          <w:lang w:val="nl-NL"/>
        </w:rPr>
        <w:t>2</w:t>
      </w:r>
      <w:r w:rsidR="00B11C7E" w:rsidRPr="006234AA">
        <w:rPr>
          <w:lang w:val="nl-NL"/>
        </w:rPr>
        <w:t xml:space="preserve">. </w:t>
      </w:r>
      <w:r w:rsidR="007B5A3C" w:rsidRPr="006234AA">
        <w:rPr>
          <w:lang w:val="nl-NL"/>
        </w:rPr>
        <w:t>Trong thời gian</w:t>
      </w:r>
      <w:r w:rsidR="006F244E" w:rsidRPr="006234AA">
        <w:rPr>
          <w:lang w:val="nl-NL"/>
        </w:rPr>
        <w:t xml:space="preserve"> thành viên bù trừ</w:t>
      </w:r>
      <w:r w:rsidR="00CD5D00" w:rsidRPr="006234AA">
        <w:rPr>
          <w:lang w:val="nl-NL"/>
        </w:rPr>
        <w:t xml:space="preserve"> thuộc một trong các trường hợp quy định tại Khoản 1 Điều này, Trung tâm Lưu ký chứng khoán có trách nhiệm</w:t>
      </w:r>
      <w:r w:rsidR="00B11C7E" w:rsidRPr="006234AA">
        <w:rPr>
          <w:lang w:val="nl-NL"/>
        </w:rPr>
        <w:t>:</w:t>
      </w:r>
    </w:p>
    <w:p w:rsidR="00F35B19" w:rsidRPr="006234AA" w:rsidRDefault="00B11C7E" w:rsidP="003C0546">
      <w:pPr>
        <w:spacing w:after="120"/>
        <w:rPr>
          <w:lang w:val="nl-NL"/>
        </w:rPr>
      </w:pPr>
      <w:r w:rsidRPr="006234AA">
        <w:rPr>
          <w:lang w:val="nl-NL"/>
        </w:rPr>
        <w:t>a)</w:t>
      </w:r>
      <w:r w:rsidR="007E115B" w:rsidRPr="006234AA">
        <w:rPr>
          <w:lang w:val="nl-NL"/>
        </w:rPr>
        <w:t xml:space="preserve">  </w:t>
      </w:r>
      <w:r w:rsidR="007B5A3C" w:rsidRPr="006234AA">
        <w:rPr>
          <w:lang w:val="nl-NL"/>
        </w:rPr>
        <w:t xml:space="preserve">Trong vòng 24 giờ, kể từ khi thành viên </w:t>
      </w:r>
      <w:r w:rsidR="00C82ABE" w:rsidRPr="006234AA">
        <w:rPr>
          <w:lang w:val="nl-NL"/>
        </w:rPr>
        <w:t>thuộc</w:t>
      </w:r>
      <w:r w:rsidR="007B5A3C" w:rsidRPr="006234AA">
        <w:rPr>
          <w:lang w:val="nl-NL"/>
        </w:rPr>
        <w:t xml:space="preserve"> một trong các trường hợp quy định tại Khoản 1 Điều này, Trung tâm Lưu ký chứng khoán </w:t>
      </w:r>
      <w:r w:rsidR="00F35B19" w:rsidRPr="006234AA">
        <w:rPr>
          <w:lang w:val="nl-NL"/>
        </w:rPr>
        <w:t xml:space="preserve">yêu cầu thành viên giải trình lý do và </w:t>
      </w:r>
      <w:r w:rsidR="007E115B" w:rsidRPr="006234AA">
        <w:rPr>
          <w:lang w:val="nl-NL"/>
        </w:rPr>
        <w:t xml:space="preserve">cung cấp toàn bộ danh sách khách hàng, thông tin nhận </w:t>
      </w:r>
      <w:r w:rsidR="00CD5D00" w:rsidRPr="006234AA">
        <w:rPr>
          <w:lang w:val="nl-NL"/>
        </w:rPr>
        <w:t>biết khách hàng</w:t>
      </w:r>
      <w:r w:rsidR="007E115B" w:rsidRPr="006234AA">
        <w:rPr>
          <w:lang w:val="nl-NL"/>
        </w:rPr>
        <w:t xml:space="preserve">, </w:t>
      </w:r>
      <w:r w:rsidR="00CD5D00" w:rsidRPr="006234AA">
        <w:rPr>
          <w:lang w:val="nl-NL"/>
        </w:rPr>
        <w:t>mã số định danh, số</w:t>
      </w:r>
      <w:r w:rsidR="007E115B" w:rsidRPr="006234AA">
        <w:rPr>
          <w:lang w:val="nl-NL"/>
        </w:rPr>
        <w:t xml:space="preserve"> tài khoản giao dịch, </w:t>
      </w:r>
      <w:r w:rsidR="00467C59" w:rsidRPr="006234AA">
        <w:rPr>
          <w:lang w:val="nl-NL"/>
        </w:rPr>
        <w:t>tài khoản ký quỹ</w:t>
      </w:r>
      <w:r w:rsidR="00CD5D00" w:rsidRPr="006234AA">
        <w:rPr>
          <w:lang w:val="nl-NL"/>
        </w:rPr>
        <w:t xml:space="preserve">, </w:t>
      </w:r>
      <w:r w:rsidR="007E115B" w:rsidRPr="006234AA">
        <w:rPr>
          <w:lang w:val="nl-NL"/>
        </w:rPr>
        <w:t>vị thế</w:t>
      </w:r>
      <w:r w:rsidR="00CD5D00" w:rsidRPr="006234AA">
        <w:rPr>
          <w:lang w:val="nl-NL"/>
        </w:rPr>
        <w:t xml:space="preserve"> giao dịch</w:t>
      </w:r>
      <w:r w:rsidR="007E115B" w:rsidRPr="006234AA">
        <w:rPr>
          <w:lang w:val="nl-NL"/>
        </w:rPr>
        <w:t xml:space="preserve">, </w:t>
      </w:r>
      <w:r w:rsidR="008F783E" w:rsidRPr="006234AA">
        <w:rPr>
          <w:lang w:val="nl-NL"/>
        </w:rPr>
        <w:t xml:space="preserve">giá trị </w:t>
      </w:r>
      <w:r w:rsidR="00467C59" w:rsidRPr="006234AA">
        <w:rPr>
          <w:lang w:val="nl-NL"/>
        </w:rPr>
        <w:t xml:space="preserve">tài </w:t>
      </w:r>
      <w:r w:rsidR="008F783E" w:rsidRPr="006234AA">
        <w:rPr>
          <w:lang w:val="nl-NL"/>
        </w:rPr>
        <w:t>sản</w:t>
      </w:r>
      <w:r w:rsidR="00467C59" w:rsidRPr="006234AA">
        <w:rPr>
          <w:lang w:val="nl-NL"/>
        </w:rPr>
        <w:t xml:space="preserve"> ký quỹ</w:t>
      </w:r>
      <w:r w:rsidR="007E115B" w:rsidRPr="006234AA">
        <w:rPr>
          <w:lang w:val="nl-NL"/>
        </w:rPr>
        <w:t xml:space="preserve"> của từng khách hàng, bao gồm </w:t>
      </w:r>
      <w:r w:rsidR="008F783E" w:rsidRPr="006234AA">
        <w:rPr>
          <w:lang w:val="nl-NL"/>
        </w:rPr>
        <w:t xml:space="preserve">số dư tiền ký quỹ, </w:t>
      </w:r>
      <w:r w:rsidR="007E115B" w:rsidRPr="006234AA">
        <w:rPr>
          <w:lang w:val="nl-NL"/>
        </w:rPr>
        <w:t xml:space="preserve">danh mục </w:t>
      </w:r>
      <w:r w:rsidR="008F783E" w:rsidRPr="006234AA">
        <w:rPr>
          <w:lang w:val="nl-NL"/>
        </w:rPr>
        <w:t xml:space="preserve">và giá trị danh mục chứng khoán </w:t>
      </w:r>
      <w:r w:rsidR="007E115B" w:rsidRPr="006234AA">
        <w:rPr>
          <w:lang w:val="nl-NL"/>
        </w:rPr>
        <w:t>ký quỹ</w:t>
      </w:r>
      <w:r w:rsidR="008F783E" w:rsidRPr="006234AA">
        <w:rPr>
          <w:lang w:val="nl-NL"/>
        </w:rPr>
        <w:t xml:space="preserve"> được định giá theo quy định tại Phụ lục số 09 ban hành kèm theo Thông tư này</w:t>
      </w:r>
      <w:r w:rsidR="007E115B" w:rsidRPr="006234AA">
        <w:rPr>
          <w:lang w:val="nl-NL"/>
        </w:rPr>
        <w:t xml:space="preserve"> và các thông tin liên quan</w:t>
      </w:r>
      <w:r w:rsidR="00F35B19" w:rsidRPr="006234AA">
        <w:rPr>
          <w:lang w:val="nl-NL"/>
        </w:rPr>
        <w:t>;</w:t>
      </w:r>
    </w:p>
    <w:p w:rsidR="00B11C7E" w:rsidRPr="006234AA" w:rsidRDefault="007E115B" w:rsidP="003C0546">
      <w:pPr>
        <w:spacing w:after="120"/>
        <w:rPr>
          <w:lang w:val="nl-NL"/>
        </w:rPr>
      </w:pPr>
      <w:r w:rsidRPr="006234AA">
        <w:rPr>
          <w:lang w:val="nl-NL"/>
        </w:rPr>
        <w:t>b) Hạn chế hoặc không cho phép thành viên mở vị thế mới, ngoại trừ các giao dịch nhằm đóng và thanh lý các vị thế mở</w:t>
      </w:r>
      <w:r w:rsidR="00CD5D00" w:rsidRPr="006234AA">
        <w:rPr>
          <w:lang w:val="nl-NL"/>
        </w:rPr>
        <w:t>, kể cả trong trường hợp giao dịch cho khách hàng</w:t>
      </w:r>
      <w:r w:rsidRPr="006234AA">
        <w:rPr>
          <w:lang w:val="nl-NL"/>
        </w:rPr>
        <w:t>;</w:t>
      </w:r>
      <w:r w:rsidR="00B11C7E" w:rsidRPr="006234AA">
        <w:rPr>
          <w:lang w:val="nl-NL"/>
        </w:rPr>
        <w:t xml:space="preserve"> </w:t>
      </w:r>
    </w:p>
    <w:p w:rsidR="00105BFF" w:rsidRPr="006234AA" w:rsidRDefault="007E115B" w:rsidP="003C0546">
      <w:pPr>
        <w:spacing w:after="120"/>
        <w:rPr>
          <w:lang w:val="nl-NL"/>
        </w:rPr>
      </w:pPr>
      <w:r w:rsidRPr="006234AA">
        <w:rPr>
          <w:lang w:val="nl-NL"/>
        </w:rPr>
        <w:t>c</w:t>
      </w:r>
      <w:r w:rsidR="00B11C7E" w:rsidRPr="006234AA">
        <w:rPr>
          <w:lang w:val="nl-NL"/>
        </w:rPr>
        <w:t xml:space="preserve">) </w:t>
      </w:r>
      <w:r w:rsidRPr="006234AA">
        <w:rPr>
          <w:lang w:val="nl-NL"/>
        </w:rPr>
        <w:t>Yêu cầu t</w:t>
      </w:r>
      <w:r w:rsidR="00B11C7E" w:rsidRPr="006234AA">
        <w:rPr>
          <w:lang w:val="nl-NL"/>
        </w:rPr>
        <w:t xml:space="preserve">hành viên </w:t>
      </w:r>
      <w:r w:rsidR="00105BFF" w:rsidRPr="006234AA">
        <w:rPr>
          <w:lang w:val="nl-NL"/>
        </w:rPr>
        <w:t xml:space="preserve">thực hiện các giao dịch </w:t>
      </w:r>
      <w:r w:rsidR="00B11C7E" w:rsidRPr="006234AA">
        <w:rPr>
          <w:lang w:val="nl-NL"/>
        </w:rPr>
        <w:t xml:space="preserve">để đóng vị thế mở, kể cả </w:t>
      </w:r>
      <w:r w:rsidRPr="006234AA">
        <w:rPr>
          <w:lang w:val="nl-NL"/>
        </w:rPr>
        <w:t>là vị thế mở của khách hàng</w:t>
      </w:r>
      <w:r w:rsidR="00EF7D30" w:rsidRPr="006234AA">
        <w:rPr>
          <w:lang w:val="nl-NL"/>
        </w:rPr>
        <w:t>;</w:t>
      </w:r>
      <w:r w:rsidR="00105BFF" w:rsidRPr="006234AA">
        <w:rPr>
          <w:lang w:val="nl-NL"/>
        </w:rPr>
        <w:t xml:space="preserve"> </w:t>
      </w:r>
    </w:p>
    <w:p w:rsidR="00CD5D00" w:rsidRPr="006234AA" w:rsidRDefault="006D018A" w:rsidP="003C0546">
      <w:pPr>
        <w:spacing w:after="120"/>
        <w:rPr>
          <w:lang w:val="nl-NL"/>
        </w:rPr>
      </w:pPr>
      <w:r w:rsidRPr="006234AA">
        <w:rPr>
          <w:lang w:val="nl-NL"/>
        </w:rPr>
        <w:t xml:space="preserve">d) </w:t>
      </w:r>
      <w:r w:rsidR="00105BFF" w:rsidRPr="006234AA">
        <w:rPr>
          <w:lang w:val="nl-NL"/>
        </w:rPr>
        <w:t xml:space="preserve">Trường hợp không thể thực hiện </w:t>
      </w:r>
      <w:r w:rsidR="00610B0B" w:rsidRPr="006234AA">
        <w:rPr>
          <w:lang w:val="nl-NL"/>
        </w:rPr>
        <w:t xml:space="preserve">lệnh </w:t>
      </w:r>
      <w:r w:rsidR="00105BFF" w:rsidRPr="006234AA">
        <w:rPr>
          <w:lang w:val="nl-NL"/>
        </w:rPr>
        <w:t xml:space="preserve">giao dịch </w:t>
      </w:r>
      <w:r w:rsidR="007B5A3C" w:rsidRPr="006234AA">
        <w:rPr>
          <w:lang w:val="nl-NL"/>
        </w:rPr>
        <w:t xml:space="preserve">để </w:t>
      </w:r>
      <w:r w:rsidR="00105BFF" w:rsidRPr="006234AA">
        <w:rPr>
          <w:lang w:val="nl-NL"/>
        </w:rPr>
        <w:t xml:space="preserve">đóng vị thế </w:t>
      </w:r>
      <w:r w:rsidR="007B5A3C" w:rsidRPr="006234AA">
        <w:rPr>
          <w:lang w:val="nl-NL"/>
        </w:rPr>
        <w:t xml:space="preserve">theo quy định tại Điểm c khoản này </w:t>
      </w:r>
      <w:r w:rsidR="00610B0B" w:rsidRPr="006234AA">
        <w:rPr>
          <w:lang w:val="nl-NL"/>
        </w:rPr>
        <w:t>không thể khớp trên hệ thống hoặc không thể thực hiện được</w:t>
      </w:r>
      <w:r w:rsidR="007B5A3C" w:rsidRPr="006234AA">
        <w:rPr>
          <w:lang w:val="nl-NL"/>
        </w:rPr>
        <w:t>,</w:t>
      </w:r>
      <w:r w:rsidR="00105BFF" w:rsidRPr="006234AA">
        <w:rPr>
          <w:lang w:val="nl-NL"/>
        </w:rPr>
        <w:t xml:space="preserve"> Trung tâm lưu ký chứng khoán được</w:t>
      </w:r>
      <w:r w:rsidR="00CD5D00" w:rsidRPr="006234AA">
        <w:rPr>
          <w:lang w:val="nl-NL"/>
        </w:rPr>
        <w:t>:</w:t>
      </w:r>
    </w:p>
    <w:p w:rsidR="00CD5D00" w:rsidRPr="006234AA" w:rsidRDefault="00CD5D00" w:rsidP="003C0546">
      <w:pPr>
        <w:spacing w:after="120"/>
        <w:rPr>
          <w:lang w:val="nl-NL"/>
        </w:rPr>
      </w:pPr>
      <w:r w:rsidRPr="006234AA">
        <w:rPr>
          <w:lang w:val="nl-NL"/>
        </w:rPr>
        <w:lastRenderedPageBreak/>
        <w:t>- Yêu cầu thành viên bù trừ khác thực hiện các giao dịch để đóng vị thế đứng tên thành viên bù trừ mất khả năng thanh toán;</w:t>
      </w:r>
      <w:r w:rsidR="00105BFF" w:rsidRPr="006234AA">
        <w:rPr>
          <w:lang w:val="nl-NL"/>
        </w:rPr>
        <w:t xml:space="preserve"> </w:t>
      </w:r>
    </w:p>
    <w:p w:rsidR="00610B0B" w:rsidRPr="006234AA" w:rsidRDefault="00CD5D00" w:rsidP="00610B0B">
      <w:pPr>
        <w:spacing w:after="120"/>
        <w:rPr>
          <w:lang w:val="nl-NL"/>
        </w:rPr>
      </w:pPr>
      <w:r w:rsidRPr="006234AA">
        <w:rPr>
          <w:lang w:val="nl-NL"/>
        </w:rPr>
        <w:t xml:space="preserve">- Trung tâm Lưu ký chứng khoán </w:t>
      </w:r>
      <w:r w:rsidR="00610B0B" w:rsidRPr="006234AA">
        <w:rPr>
          <w:lang w:val="nl-NL"/>
        </w:rPr>
        <w:t>sử dụng</w:t>
      </w:r>
      <w:r w:rsidR="00105BFF" w:rsidRPr="006234AA">
        <w:rPr>
          <w:lang w:val="nl-NL"/>
        </w:rPr>
        <w:t xml:space="preserve"> tài khoản giao dịch của mình </w:t>
      </w:r>
      <w:r w:rsidR="00610B0B" w:rsidRPr="006234AA">
        <w:rPr>
          <w:lang w:val="nl-NL"/>
        </w:rPr>
        <w:t xml:space="preserve">thực hiện các giao dịch đóng vị thế mở của thành viên bù trừ bị mất khả năng thanh toán. </w:t>
      </w:r>
    </w:p>
    <w:p w:rsidR="00610B0B" w:rsidRPr="006234AA" w:rsidRDefault="00610B0B" w:rsidP="003C0546">
      <w:pPr>
        <w:spacing w:after="120"/>
        <w:rPr>
          <w:lang w:val="nl-NL"/>
        </w:rPr>
      </w:pPr>
    </w:p>
    <w:p w:rsidR="00105BFF" w:rsidRPr="006234AA" w:rsidRDefault="00105BFF" w:rsidP="003C0546">
      <w:pPr>
        <w:spacing w:after="120"/>
        <w:rPr>
          <w:lang w:val="nl-NL"/>
        </w:rPr>
      </w:pPr>
      <w:r w:rsidRPr="006234AA">
        <w:rPr>
          <w:lang w:val="nl-NL"/>
        </w:rPr>
        <w:t>Trình tự, thủ tục, thời gian, mức giá thực hiện các giao dịch đóng vị thế bắt buộc nêu trên thực hiện theo hướng dẫn của Trung tâm Lưu ký chứng khoán, Sở giao dịch chứng khoán;</w:t>
      </w:r>
    </w:p>
    <w:p w:rsidR="00B11C7E" w:rsidRPr="006234AA" w:rsidRDefault="006D018A" w:rsidP="003C0546">
      <w:pPr>
        <w:spacing w:after="120"/>
        <w:rPr>
          <w:lang w:val="nl-NL"/>
        </w:rPr>
      </w:pPr>
      <w:r w:rsidRPr="006234AA">
        <w:rPr>
          <w:lang w:val="nl-NL"/>
        </w:rPr>
        <w:t>đ</w:t>
      </w:r>
      <w:r w:rsidR="00B11C7E" w:rsidRPr="006234AA">
        <w:rPr>
          <w:lang w:val="nl-NL"/>
        </w:rPr>
        <w:t xml:space="preserve">) </w:t>
      </w:r>
      <w:r w:rsidR="007B5A3C" w:rsidRPr="006234AA">
        <w:rPr>
          <w:lang w:val="nl-NL"/>
        </w:rPr>
        <w:t>Yêu cầu thành viên b</w:t>
      </w:r>
      <w:r w:rsidR="00FF1D95" w:rsidRPr="006234AA">
        <w:rPr>
          <w:lang w:val="nl-NL"/>
        </w:rPr>
        <w:t>àn</w:t>
      </w:r>
      <w:r w:rsidR="00B11C7E" w:rsidRPr="006234AA">
        <w:rPr>
          <w:lang w:val="nl-NL"/>
        </w:rPr>
        <w:t xml:space="preserve"> giao </w:t>
      </w:r>
      <w:r w:rsidR="00FF1D95" w:rsidRPr="006234AA">
        <w:rPr>
          <w:lang w:val="nl-NL"/>
        </w:rPr>
        <w:t xml:space="preserve">quyền, trách nhiệm, nghĩa vụ </w:t>
      </w:r>
      <w:r w:rsidR="00B11C7E" w:rsidRPr="006234AA">
        <w:rPr>
          <w:lang w:val="nl-NL"/>
        </w:rPr>
        <w:t xml:space="preserve">các vị thế mở </w:t>
      </w:r>
      <w:r w:rsidR="00FF1D95" w:rsidRPr="006234AA">
        <w:rPr>
          <w:lang w:val="nl-NL"/>
        </w:rPr>
        <w:t xml:space="preserve">của khách hàng </w:t>
      </w:r>
      <w:r w:rsidR="00B11C7E" w:rsidRPr="006234AA">
        <w:rPr>
          <w:lang w:val="nl-NL"/>
        </w:rPr>
        <w:t xml:space="preserve">sang thành viên bù trừ </w:t>
      </w:r>
      <w:r w:rsidR="007B5A3C" w:rsidRPr="006234AA">
        <w:rPr>
          <w:lang w:val="nl-NL"/>
        </w:rPr>
        <w:t>thay thế</w:t>
      </w:r>
      <w:r w:rsidR="00B11C7E" w:rsidRPr="006234AA">
        <w:rPr>
          <w:lang w:val="nl-NL"/>
        </w:rPr>
        <w:t xml:space="preserve"> theo nguyên tắc </w:t>
      </w:r>
      <w:r w:rsidR="007B5A3C" w:rsidRPr="006234AA">
        <w:rPr>
          <w:lang w:val="nl-NL"/>
        </w:rPr>
        <w:t>áp dụng đối với thành viên bù trừ bị đình chỉ, chấm dứt tư cách thành viên quy định tại Khoản 4 Điều 45 Thông tư này</w:t>
      </w:r>
      <w:r w:rsidR="00B11C7E" w:rsidRPr="006234AA">
        <w:rPr>
          <w:lang w:val="nl-NL"/>
        </w:rPr>
        <w:t>.</w:t>
      </w:r>
    </w:p>
    <w:p w:rsidR="006D018A" w:rsidRPr="006234AA" w:rsidRDefault="006D018A" w:rsidP="003C0546">
      <w:pPr>
        <w:spacing w:after="120"/>
        <w:rPr>
          <w:lang w:val="nl-NL"/>
        </w:rPr>
      </w:pPr>
      <w:r w:rsidRPr="006234AA">
        <w:rPr>
          <w:lang w:val="nl-NL"/>
        </w:rPr>
        <w:t>e</w:t>
      </w:r>
      <w:r w:rsidR="00B11C7E" w:rsidRPr="006234AA">
        <w:rPr>
          <w:lang w:val="nl-NL"/>
        </w:rPr>
        <w:t xml:space="preserve">) </w:t>
      </w:r>
      <w:r w:rsidR="007B5A3C" w:rsidRPr="006234AA">
        <w:rPr>
          <w:lang w:val="nl-NL"/>
        </w:rPr>
        <w:t>Thực hiện các biện pháp x</w:t>
      </w:r>
      <w:r w:rsidR="00CA2738" w:rsidRPr="006234AA">
        <w:rPr>
          <w:lang w:val="nl-NL"/>
        </w:rPr>
        <w:t xml:space="preserve">ử lý tài chính </w:t>
      </w:r>
      <w:r w:rsidR="007B5A3C" w:rsidRPr="006234AA">
        <w:rPr>
          <w:lang w:val="nl-NL"/>
        </w:rPr>
        <w:t>để hỗ trợ thanh toán theo quy định tại Điều 50 Thông tư này.</w:t>
      </w:r>
    </w:p>
    <w:p w:rsidR="00450319" w:rsidRPr="006234AA" w:rsidRDefault="00875870" w:rsidP="003C0546">
      <w:pPr>
        <w:pStyle w:val="Heading4"/>
        <w:spacing w:after="120"/>
      </w:pPr>
      <w:bookmarkStart w:id="195" w:name="_Toc387730767"/>
      <w:bookmarkStart w:id="196" w:name="_Toc397003385"/>
      <w:bookmarkStart w:id="197" w:name="_Toc422672004"/>
      <w:r w:rsidRPr="006234AA">
        <w:t xml:space="preserve">Hỗ trợ </w:t>
      </w:r>
      <w:r w:rsidR="00450319" w:rsidRPr="006234AA">
        <w:t>thanh toán</w:t>
      </w:r>
      <w:bookmarkEnd w:id="190"/>
      <w:bookmarkEnd w:id="191"/>
      <w:bookmarkEnd w:id="192"/>
      <w:bookmarkEnd w:id="193"/>
      <w:bookmarkEnd w:id="195"/>
      <w:bookmarkEnd w:id="196"/>
      <w:bookmarkEnd w:id="197"/>
    </w:p>
    <w:p w:rsidR="00E23034" w:rsidRPr="006234AA" w:rsidRDefault="006F1966" w:rsidP="003C0546">
      <w:pPr>
        <w:pStyle w:val="ListParagraph"/>
        <w:numPr>
          <w:ilvl w:val="3"/>
          <w:numId w:val="2"/>
        </w:numPr>
        <w:tabs>
          <w:tab w:val="left" w:pos="993"/>
        </w:tabs>
        <w:spacing w:after="120"/>
        <w:ind w:left="0" w:firstLine="567"/>
      </w:pPr>
      <w:r w:rsidRPr="006234AA">
        <w:t xml:space="preserve">Trường hợp thành viên bù trừ mất khả năng thanh toán, </w:t>
      </w:r>
      <w:r w:rsidR="00DB2696" w:rsidRPr="006234AA">
        <w:t xml:space="preserve">sau khi đã thực hiện hết các giải pháp quy định tại Điểm a, b, c, d, đ Khoản 2 Điều </w:t>
      </w:r>
      <w:r w:rsidR="00B614BC" w:rsidRPr="006234AA">
        <w:t>50</w:t>
      </w:r>
      <w:r w:rsidR="00DB2696" w:rsidRPr="006234AA">
        <w:t xml:space="preserve"> Thông tư này, </w:t>
      </w:r>
      <w:r w:rsidR="00E23034" w:rsidRPr="006234AA">
        <w:t>Trung tâm Lưu ký chứng khoán có trách nhiệm thực hiện các giải pháp hỗ trợ thanh toán</w:t>
      </w:r>
      <w:r w:rsidR="00F35B19" w:rsidRPr="006234AA">
        <w:t>, bù đắp thiệt hại</w:t>
      </w:r>
      <w:r w:rsidR="00E23034" w:rsidRPr="006234AA">
        <w:t xml:space="preserve"> </w:t>
      </w:r>
      <w:r w:rsidR="007B5A3C" w:rsidRPr="006234AA">
        <w:t xml:space="preserve">đối với các vị thế </w:t>
      </w:r>
      <w:r w:rsidR="00E23034" w:rsidRPr="006234AA">
        <w:t xml:space="preserve">đứng tên thành viên bù trừ mà </w:t>
      </w:r>
      <w:r w:rsidR="007B5A3C" w:rsidRPr="006234AA">
        <w:t xml:space="preserve">không kịp đóng, </w:t>
      </w:r>
      <w:r w:rsidR="00E23034" w:rsidRPr="006234AA">
        <w:t>hoặc đã</w:t>
      </w:r>
      <w:r w:rsidR="007B5A3C" w:rsidRPr="006234AA">
        <w:t xml:space="preserve"> tới hạn thanh lý. </w:t>
      </w:r>
    </w:p>
    <w:p w:rsidR="007B5A3C" w:rsidRPr="006234AA" w:rsidRDefault="007B5A3C" w:rsidP="003C0546">
      <w:pPr>
        <w:pStyle w:val="ListParagraph"/>
        <w:numPr>
          <w:ilvl w:val="3"/>
          <w:numId w:val="2"/>
        </w:numPr>
        <w:tabs>
          <w:tab w:val="left" w:pos="993"/>
        </w:tabs>
        <w:spacing w:after="120"/>
        <w:ind w:left="0" w:firstLine="567"/>
      </w:pPr>
      <w:r w:rsidRPr="006234AA">
        <w:t xml:space="preserve">Nguồn tài chính sử dụng </w:t>
      </w:r>
      <w:r w:rsidR="00E23034" w:rsidRPr="006234AA">
        <w:t>để hỗ trợ thanh toán</w:t>
      </w:r>
      <w:r w:rsidR="00F35B19" w:rsidRPr="006234AA">
        <w:t>, bù đắp thiệt hại</w:t>
      </w:r>
      <w:r w:rsidR="00E23034" w:rsidRPr="006234AA">
        <w:t xml:space="preserve"> </w:t>
      </w:r>
      <w:r w:rsidRPr="006234AA">
        <w:t>được thực hiện theo thứ tự sau:</w:t>
      </w:r>
    </w:p>
    <w:p w:rsidR="007B5A3C" w:rsidRPr="006234AA" w:rsidRDefault="00BB6C6E" w:rsidP="003C0546">
      <w:pPr>
        <w:spacing w:after="120"/>
        <w:rPr>
          <w:lang w:val="nl-NL"/>
        </w:rPr>
      </w:pPr>
      <w:r w:rsidRPr="006234AA">
        <w:rPr>
          <w:lang w:val="nl-NL"/>
        </w:rPr>
        <w:t>a</w:t>
      </w:r>
      <w:r w:rsidR="007B5A3C" w:rsidRPr="006234AA">
        <w:rPr>
          <w:lang w:val="nl-NL"/>
        </w:rPr>
        <w:t xml:space="preserve">) </w:t>
      </w:r>
      <w:r w:rsidR="001F5BA4" w:rsidRPr="006234AA">
        <w:rPr>
          <w:lang w:val="nl-NL"/>
        </w:rPr>
        <w:t>Nguồn từ</w:t>
      </w:r>
      <w:r w:rsidR="00C04B11" w:rsidRPr="006234AA">
        <w:rPr>
          <w:lang w:val="nl-NL"/>
        </w:rPr>
        <w:t xml:space="preserve"> t</w:t>
      </w:r>
      <w:r w:rsidR="007B5A3C" w:rsidRPr="006234AA">
        <w:rPr>
          <w:lang w:val="nl-NL"/>
        </w:rPr>
        <w:t>ài sản ký quỹ trên tài khoản bù trừ, thanh toán</w:t>
      </w:r>
      <w:r w:rsidR="001F5BA4" w:rsidRPr="006234AA">
        <w:rPr>
          <w:lang w:val="nl-NL"/>
        </w:rPr>
        <w:t xml:space="preserve"> của thành viên bù trừ</w:t>
      </w:r>
      <w:r w:rsidR="00DB2696" w:rsidRPr="006234AA">
        <w:rPr>
          <w:lang w:val="nl-NL"/>
        </w:rPr>
        <w:t>, kể cả</w:t>
      </w:r>
      <w:r w:rsidR="00F445FF" w:rsidRPr="006234AA">
        <w:rPr>
          <w:lang w:val="nl-NL"/>
        </w:rPr>
        <w:t xml:space="preserve"> tài sản ký quỹ của khách hàng</w:t>
      </w:r>
      <w:r w:rsidR="00DB2696" w:rsidRPr="006234AA">
        <w:rPr>
          <w:lang w:val="nl-NL"/>
        </w:rPr>
        <w:t>;</w:t>
      </w:r>
      <w:r w:rsidR="00F445FF" w:rsidRPr="006234AA">
        <w:rPr>
          <w:lang w:val="nl-NL"/>
        </w:rPr>
        <w:t xml:space="preserve"> </w:t>
      </w:r>
      <w:r w:rsidRPr="006234AA">
        <w:rPr>
          <w:lang w:val="nl-NL"/>
        </w:rPr>
        <w:t xml:space="preserve"> </w:t>
      </w:r>
      <w:r w:rsidR="007B5A3C" w:rsidRPr="006234AA">
        <w:rPr>
          <w:lang w:val="nl-NL"/>
        </w:rPr>
        <w:t xml:space="preserve"> </w:t>
      </w:r>
    </w:p>
    <w:p w:rsidR="007B5A3C" w:rsidRPr="006234AA" w:rsidRDefault="00DB2696" w:rsidP="003C0546">
      <w:pPr>
        <w:spacing w:after="120"/>
        <w:rPr>
          <w:lang w:val="nl-NL"/>
        </w:rPr>
      </w:pPr>
      <w:r w:rsidRPr="006234AA">
        <w:rPr>
          <w:lang w:val="nl-NL"/>
        </w:rPr>
        <w:t>b</w:t>
      </w:r>
      <w:r w:rsidR="007B5A3C" w:rsidRPr="006234AA">
        <w:rPr>
          <w:lang w:val="nl-NL"/>
        </w:rPr>
        <w:t xml:space="preserve">) </w:t>
      </w:r>
      <w:r w:rsidRPr="006234AA">
        <w:rPr>
          <w:lang w:val="nl-NL"/>
        </w:rPr>
        <w:t xml:space="preserve">Trường hợp đã sử dụng hết tài sản ký quỹ </w:t>
      </w:r>
      <w:r w:rsidR="001F5BA4" w:rsidRPr="006234AA">
        <w:rPr>
          <w:lang w:val="nl-NL"/>
        </w:rPr>
        <w:t xml:space="preserve">trên tài khoản bù trừ, thanh toán </w:t>
      </w:r>
      <w:r w:rsidRPr="006234AA">
        <w:rPr>
          <w:lang w:val="nl-NL"/>
        </w:rPr>
        <w:t>của thành viên bù trừ mà vẫn không đủ</w:t>
      </w:r>
      <w:r w:rsidR="00FC0632" w:rsidRPr="006234AA">
        <w:rPr>
          <w:lang w:val="nl-NL"/>
        </w:rPr>
        <w:t>, Trung tâm Lưu ký chứng khoán được sử dụng k</w:t>
      </w:r>
      <w:r w:rsidR="007B5A3C" w:rsidRPr="006234AA">
        <w:rPr>
          <w:lang w:val="nl-NL"/>
        </w:rPr>
        <w:t xml:space="preserve">hoản đóng góp </w:t>
      </w:r>
      <w:r w:rsidR="00FC0632" w:rsidRPr="006234AA">
        <w:rPr>
          <w:lang w:val="nl-NL"/>
        </w:rPr>
        <w:t xml:space="preserve">vào Quỹ bù trừ </w:t>
      </w:r>
      <w:r w:rsidR="007B5A3C" w:rsidRPr="006234AA">
        <w:rPr>
          <w:lang w:val="nl-NL"/>
        </w:rPr>
        <w:t>của thành viên</w:t>
      </w:r>
      <w:r w:rsidR="00FC0632" w:rsidRPr="006234AA">
        <w:rPr>
          <w:lang w:val="nl-NL"/>
        </w:rPr>
        <w:t xml:space="preserve"> bù trừ mất khả năng thanh toán</w:t>
      </w:r>
      <w:r w:rsidR="007B5A3C" w:rsidRPr="006234AA">
        <w:rPr>
          <w:lang w:val="nl-NL"/>
        </w:rPr>
        <w:t>;</w:t>
      </w:r>
    </w:p>
    <w:p w:rsidR="007B5A3C" w:rsidRPr="006234AA" w:rsidRDefault="00F35B19" w:rsidP="003C0546">
      <w:pPr>
        <w:spacing w:after="120"/>
        <w:rPr>
          <w:lang w:val="nl-NL"/>
        </w:rPr>
      </w:pPr>
      <w:r w:rsidRPr="006234AA">
        <w:rPr>
          <w:lang w:val="nl-NL"/>
        </w:rPr>
        <w:t>c</w:t>
      </w:r>
      <w:r w:rsidR="007B5A3C" w:rsidRPr="006234AA">
        <w:rPr>
          <w:lang w:val="nl-NL"/>
        </w:rPr>
        <w:t xml:space="preserve">) Trường hợp </w:t>
      </w:r>
      <w:r w:rsidRPr="006234AA">
        <w:rPr>
          <w:lang w:val="nl-NL"/>
        </w:rPr>
        <w:t xml:space="preserve">đã sử dụng hết </w:t>
      </w:r>
      <w:r w:rsidR="007B5A3C" w:rsidRPr="006234AA">
        <w:rPr>
          <w:lang w:val="nl-NL"/>
        </w:rPr>
        <w:t>tài sản ký quỹ, khoản đóng góp của thành viên bù trừ vào Quỹ bù trừ nhưng vẫn chưa đủ, Trung tâm lưu ký chứng khoán được sử dụng phần đóng góp của các thành viên bù trừ khác tại Quỹ bù trừ</w:t>
      </w:r>
      <w:r w:rsidRPr="006234AA">
        <w:rPr>
          <w:lang w:val="nl-NL"/>
        </w:rPr>
        <w:t xml:space="preserve">. Phần tài sản sử dụng </w:t>
      </w:r>
      <w:r w:rsidR="007B5A3C" w:rsidRPr="006234AA">
        <w:rPr>
          <w:lang w:val="nl-NL"/>
        </w:rPr>
        <w:t xml:space="preserve">để </w:t>
      </w:r>
      <w:r w:rsidRPr="006234AA">
        <w:rPr>
          <w:lang w:val="nl-NL"/>
        </w:rPr>
        <w:t>hỗ trợ thanh toán, bù đắp thiệt hại được</w:t>
      </w:r>
      <w:r w:rsidR="007B5A3C" w:rsidRPr="006234AA">
        <w:rPr>
          <w:lang w:val="nl-NL"/>
        </w:rPr>
        <w:t xml:space="preserve"> phân bổ cho các thành viên theo tỷ lệ đóng gó</w:t>
      </w:r>
      <w:r w:rsidRPr="006234AA">
        <w:rPr>
          <w:lang w:val="nl-NL"/>
        </w:rPr>
        <w:t>p</w:t>
      </w:r>
      <w:r w:rsidR="007B5A3C" w:rsidRPr="006234AA">
        <w:rPr>
          <w:lang w:val="nl-NL"/>
        </w:rPr>
        <w:t>;</w:t>
      </w:r>
    </w:p>
    <w:p w:rsidR="007B5A3C" w:rsidRPr="006234AA" w:rsidRDefault="00F35B19" w:rsidP="003C0546">
      <w:pPr>
        <w:spacing w:after="120"/>
        <w:rPr>
          <w:lang w:val="nl-NL"/>
        </w:rPr>
      </w:pPr>
      <w:r w:rsidRPr="006234AA">
        <w:rPr>
          <w:lang w:val="nl-NL"/>
        </w:rPr>
        <w:t>d</w:t>
      </w:r>
      <w:r w:rsidR="007B5A3C" w:rsidRPr="006234AA">
        <w:rPr>
          <w:lang w:val="nl-NL"/>
        </w:rPr>
        <w:t xml:space="preserve">) Trường hợp đã sử dụng hết Quỹ bù trừ, Trung tâm lưu ký chứng khoán </w:t>
      </w:r>
      <w:r w:rsidRPr="006234AA">
        <w:rPr>
          <w:lang w:val="nl-NL"/>
        </w:rPr>
        <w:t xml:space="preserve">được </w:t>
      </w:r>
      <w:r w:rsidR="007B5A3C" w:rsidRPr="006234AA">
        <w:rPr>
          <w:lang w:val="nl-NL"/>
        </w:rPr>
        <w:t xml:space="preserve">sử dụng Quỹ dự phòng </w:t>
      </w:r>
      <w:r w:rsidR="00300ED3" w:rsidRPr="006234AA">
        <w:rPr>
          <w:lang w:val="nl-NL"/>
        </w:rPr>
        <w:t xml:space="preserve">rủi ro thanh toán </w:t>
      </w:r>
      <w:r w:rsidR="007B5A3C" w:rsidRPr="006234AA">
        <w:rPr>
          <w:lang w:val="nl-NL"/>
        </w:rPr>
        <w:t xml:space="preserve">của </w:t>
      </w:r>
      <w:r w:rsidRPr="006234AA">
        <w:rPr>
          <w:lang w:val="nl-NL"/>
        </w:rPr>
        <w:t>mình</w:t>
      </w:r>
      <w:r w:rsidR="007B5A3C" w:rsidRPr="006234AA">
        <w:rPr>
          <w:lang w:val="nl-NL"/>
        </w:rPr>
        <w:t>;</w:t>
      </w:r>
    </w:p>
    <w:p w:rsidR="007B5A3C" w:rsidRPr="006234AA" w:rsidRDefault="00F35B19" w:rsidP="003C0546">
      <w:pPr>
        <w:spacing w:after="120"/>
        <w:rPr>
          <w:lang w:val="nl-NL"/>
        </w:rPr>
      </w:pPr>
      <w:r w:rsidRPr="006234AA">
        <w:rPr>
          <w:lang w:val="nl-NL"/>
        </w:rPr>
        <w:t>đ</w:t>
      </w:r>
      <w:r w:rsidR="007B5A3C" w:rsidRPr="006234AA">
        <w:rPr>
          <w:lang w:val="nl-NL"/>
        </w:rPr>
        <w:t xml:space="preserve">) Trường hợp Quỹ dự phòng </w:t>
      </w:r>
      <w:r w:rsidR="00300ED3" w:rsidRPr="006234AA">
        <w:rPr>
          <w:lang w:val="nl-NL"/>
        </w:rPr>
        <w:t xml:space="preserve">rủi ro thanh toán </w:t>
      </w:r>
      <w:r w:rsidR="007B5A3C" w:rsidRPr="006234AA">
        <w:rPr>
          <w:lang w:val="nl-NL"/>
        </w:rPr>
        <w:t xml:space="preserve">của Trung tâm lưu ký chứng khoán đã được sử dụng hết, Trung tâm Lưu ký Chứng khoán có quyền </w:t>
      </w:r>
      <w:r w:rsidR="007B5A3C" w:rsidRPr="006234AA">
        <w:rPr>
          <w:lang w:val="nl-NL"/>
        </w:rPr>
        <w:lastRenderedPageBreak/>
        <w:t>yêu cầu các thành viên bù trừ đóng góp bổ sung vào Quỹ bù trừ đủ để hoàn tất thanh toán.</w:t>
      </w:r>
    </w:p>
    <w:p w:rsidR="00332EFE" w:rsidRPr="006234AA" w:rsidRDefault="007B5A3C" w:rsidP="003C0546">
      <w:pPr>
        <w:spacing w:after="120"/>
        <w:rPr>
          <w:lang w:val="nl-NL"/>
        </w:rPr>
      </w:pPr>
      <w:r w:rsidRPr="006234AA">
        <w:rPr>
          <w:lang w:val="nl-NL"/>
        </w:rPr>
        <w:t xml:space="preserve">3. </w:t>
      </w:r>
      <w:r w:rsidR="00332EFE" w:rsidRPr="006234AA">
        <w:rPr>
          <w:lang w:val="nl-NL"/>
        </w:rPr>
        <w:t>Khoản đóng góp của thành viên bù trừ vào Quỹ bù trừ, tài sản ký quỹ có trên tài khoản bù trừ, thanh toán của thành viên bù trừ, bao gồm cả tài sản ký quỹ của khách hàng mà thành viên bù trừ đã ký quỹ với Trung tâm lưu ký chứng khoán, đều có thể được Trung tâm lưu ký chứng khoán sử dụng để hỗ trợ thanh toán, bù đắp thiệt hại cho các vị thế mở đứng tên thành viên bù trừ. Trường hợp cần thiết, Trung tâm lưu ký chứng khoán cũng có quyền sử dụng khoản đóng góp vào Quỹ bù trừ của các thành viên bù trừ khác để hỗ trợ thanh toán theo quy định tại Điểm c Khoản 2 Điều này.</w:t>
      </w:r>
    </w:p>
    <w:p w:rsidR="00332EFE" w:rsidRPr="006234AA" w:rsidRDefault="007B5A3C" w:rsidP="003C0546">
      <w:pPr>
        <w:spacing w:after="120"/>
        <w:rPr>
          <w:lang w:val="nl-NL"/>
        </w:rPr>
      </w:pPr>
      <w:r w:rsidRPr="006234AA">
        <w:rPr>
          <w:lang w:val="nl-NL"/>
        </w:rPr>
        <w:t xml:space="preserve">Trung tâm lưu ký chứng khoán được quyền </w:t>
      </w:r>
      <w:r w:rsidR="00C04B11" w:rsidRPr="006234AA">
        <w:rPr>
          <w:lang w:val="nl-NL"/>
        </w:rPr>
        <w:t xml:space="preserve">sử dụng các nguồn tài chính của thành viên bù trừ theo thứ tự quy định tại Khoản 2 Điều này để thanh toán hoặc mua tài sản cơ sở để chuyển giao cho các vị thế mở đứng tên thành viên bù trừ. Trong trường hợp cần thiết, Trung tâm Lưu ký chứng khoán được </w:t>
      </w:r>
      <w:r w:rsidRPr="006234AA">
        <w:rPr>
          <w:lang w:val="nl-NL"/>
        </w:rPr>
        <w:t xml:space="preserve">áp dụng cơ chế giao dịch mua </w:t>
      </w:r>
      <w:r w:rsidR="00336D61" w:rsidRPr="006234AA">
        <w:rPr>
          <w:lang w:val="nl-NL"/>
        </w:rPr>
        <w:t>bán bắt buộc (buy-in) hoặc</w:t>
      </w:r>
      <w:r w:rsidRPr="006234AA">
        <w:rPr>
          <w:lang w:val="nl-NL"/>
        </w:rPr>
        <w:t xml:space="preserve"> vay </w:t>
      </w:r>
      <w:r w:rsidR="00336D61" w:rsidRPr="006234AA">
        <w:rPr>
          <w:lang w:val="nl-NL"/>
        </w:rPr>
        <w:t>trên hệ thống vay,</w:t>
      </w:r>
      <w:r w:rsidR="00332EFE" w:rsidRPr="006234AA">
        <w:rPr>
          <w:lang w:val="nl-NL"/>
        </w:rPr>
        <w:t xml:space="preserve"> cho vay chứng khoán (SBL). </w:t>
      </w:r>
    </w:p>
    <w:p w:rsidR="00332EFE" w:rsidRPr="006234AA" w:rsidRDefault="005475C1" w:rsidP="003C0546">
      <w:pPr>
        <w:spacing w:after="120"/>
        <w:rPr>
          <w:lang w:val="nl-NL"/>
        </w:rPr>
      </w:pPr>
      <w:r w:rsidRPr="006234AA">
        <w:rPr>
          <w:lang w:val="nl-NL"/>
        </w:rPr>
        <w:t>4</w:t>
      </w:r>
      <w:r w:rsidR="00332EFE" w:rsidRPr="006234AA">
        <w:rPr>
          <w:lang w:val="nl-NL"/>
        </w:rPr>
        <w:t xml:space="preserve">. Trong trường hợp phải sử dụng các biện pháp hỗ trợ thanh toán theo quy định tại khoản 1 và 2 Điều này, Trung tâm lưu ký chứng khoán phải thông báo ngay cho thành viên bù trừ mất khả năng thanh toán và thành viên bù trừ là đối tác của hợp đồng theo </w:t>
      </w:r>
      <w:r w:rsidRPr="006234AA">
        <w:rPr>
          <w:lang w:val="nl-NL"/>
        </w:rPr>
        <w:t>quy chế của</w:t>
      </w:r>
      <w:r w:rsidR="00332EFE" w:rsidRPr="006234AA">
        <w:rPr>
          <w:lang w:val="nl-NL"/>
        </w:rPr>
        <w:t xml:space="preserve"> Trung tâm lưu ký chứng khoán.</w:t>
      </w:r>
    </w:p>
    <w:p w:rsidR="001F5BA4" w:rsidRPr="006234AA" w:rsidRDefault="005475C1" w:rsidP="003C0546">
      <w:pPr>
        <w:spacing w:after="120"/>
        <w:rPr>
          <w:lang w:val="nl-NL"/>
        </w:rPr>
      </w:pPr>
      <w:r w:rsidRPr="006234AA">
        <w:rPr>
          <w:lang w:val="nl-NL"/>
        </w:rPr>
        <w:t>5</w:t>
      </w:r>
      <w:r w:rsidR="001F5BA4" w:rsidRPr="006234AA">
        <w:rPr>
          <w:lang w:val="nl-NL"/>
        </w:rPr>
        <w:t>. Thành viên bù trừ có trách nhiệm bổ sung ký quỹ, bổ sung vào Quỹ bù trừ</w:t>
      </w:r>
      <w:r w:rsidR="00A5529B" w:rsidRPr="006234AA">
        <w:rPr>
          <w:lang w:val="nl-NL"/>
        </w:rPr>
        <w:t xml:space="preserve">; </w:t>
      </w:r>
      <w:r w:rsidR="001F5BA4" w:rsidRPr="006234AA">
        <w:rPr>
          <w:lang w:val="nl-NL"/>
        </w:rPr>
        <w:t xml:space="preserve">thanh toán mọi </w:t>
      </w:r>
      <w:r w:rsidR="00E6072E" w:rsidRPr="006234AA">
        <w:rPr>
          <w:lang w:val="nl-NL"/>
        </w:rPr>
        <w:t xml:space="preserve">khoản phí, lệ phí và các </w:t>
      </w:r>
      <w:r w:rsidR="001F5BA4" w:rsidRPr="006234AA">
        <w:rPr>
          <w:lang w:val="nl-NL"/>
        </w:rPr>
        <w:t xml:space="preserve">chi phí, thiệt hại phát sinh trong thời gian Trung tâm Lưu ký chứng khoán thực hiện các biện pháp hỗ trợ thanh toán theo quy chế của Trung tâm Lưu ký chứng khoán. </w:t>
      </w:r>
      <w:r w:rsidR="00A5529B" w:rsidRPr="006234AA">
        <w:rPr>
          <w:lang w:val="nl-NL"/>
        </w:rPr>
        <w:t>Thành viên bù trừ có trách nhiệm bồi thường cho khách hàng, thành viên bù trừ khác và cả Trung tâm Lưu ký chứng khoán đối với các nguồn lực tài chính được sử dụng theo quy định tại Điểm a, c, d và đ Khoản 2 Điều này, kể cả các thiệt hại phát sinh do không thanh toán đúng hạn.</w:t>
      </w:r>
    </w:p>
    <w:p w:rsidR="00300ED3" w:rsidRPr="006234AA" w:rsidRDefault="005475C1" w:rsidP="003C0546">
      <w:pPr>
        <w:spacing w:after="120"/>
        <w:rPr>
          <w:lang w:val="nl-NL"/>
        </w:rPr>
      </w:pPr>
      <w:r w:rsidRPr="006234AA">
        <w:rPr>
          <w:lang w:val="nl-NL"/>
        </w:rPr>
        <w:t>6</w:t>
      </w:r>
      <w:r w:rsidR="00300ED3" w:rsidRPr="006234AA">
        <w:rPr>
          <w:lang w:val="nl-NL"/>
        </w:rPr>
        <w:t>. Trong quá trình thực hiện các biện pháp hỗ trợ thanh toán theo quy định tại Khoản 2 Điều này, thành viên bù trừ chịu trách nhiệm xử lý thỏa đáng mọi tranh chấp phát sinh và bồi thường thiệt hại gây ra đối với khách hàng. Việc xử lý tranh chấp, bồi thường thiệt hại có thể được giải quyết thông qua thương lượng, hòa giải hoặc yêu cầu Trọng tài hoặc Tòa án giải quyết giữa khách hàng và thành viên bù trừ theo quy định của pháp luật.</w:t>
      </w:r>
    </w:p>
    <w:p w:rsidR="00300ED3" w:rsidRPr="006234AA" w:rsidRDefault="005475C1" w:rsidP="003C0546">
      <w:pPr>
        <w:spacing w:after="120"/>
        <w:rPr>
          <w:lang w:val="nl-NL"/>
        </w:rPr>
      </w:pPr>
      <w:r w:rsidRPr="006234AA">
        <w:rPr>
          <w:lang w:val="nl-NL"/>
        </w:rPr>
        <w:t>7</w:t>
      </w:r>
      <w:r w:rsidR="00300ED3" w:rsidRPr="006234AA">
        <w:rPr>
          <w:lang w:val="nl-NL"/>
        </w:rPr>
        <w:t xml:space="preserve">. Trung tâm lưu ký chứng khoán chỉ chịu trách nhiệm pháp lý đối với thành viên bù trừ trong phạm vi thiệt hại vật chất trực tiếp phát sinh do Trung tâm lưu ký chứng khoán không thực hiện nghĩa vụ của mình đối với các vị thế mở đứng tên thành viên bù trừ mà Trung tâm lưu ký chứng khoán là đối tác. Ngoại trừ trách nhiệm này, </w:t>
      </w:r>
      <w:r w:rsidR="00332EFE" w:rsidRPr="006234AA">
        <w:rPr>
          <w:lang w:val="nl-NL"/>
        </w:rPr>
        <w:t xml:space="preserve">trong hoạt động giao dịch, bù trừ, thanh toán chứng khoán phái sinh, </w:t>
      </w:r>
      <w:r w:rsidR="00300ED3" w:rsidRPr="006234AA">
        <w:rPr>
          <w:lang w:val="nl-NL"/>
        </w:rPr>
        <w:t xml:space="preserve">Trung tâm lưu ký chứng khoán không chịu bất cứ trách nhiệm nào khác đối với </w:t>
      </w:r>
      <w:r w:rsidR="00332EFE" w:rsidRPr="006234AA">
        <w:rPr>
          <w:lang w:val="nl-NL"/>
        </w:rPr>
        <w:t xml:space="preserve">nhà đầu tư, kể cả trong trường hợp Trung tâm Lưu ký chứng </w:t>
      </w:r>
      <w:r w:rsidR="00332EFE" w:rsidRPr="006234AA">
        <w:rPr>
          <w:lang w:val="nl-NL"/>
        </w:rPr>
        <w:lastRenderedPageBreak/>
        <w:t>khoán thực hiện các biện pháp hỗ trợ thanh toán theo quy định tại Khoản 2 Điều này</w:t>
      </w:r>
      <w:r w:rsidR="00300ED3" w:rsidRPr="006234AA">
        <w:rPr>
          <w:lang w:val="nl-NL"/>
        </w:rPr>
        <w:t>.</w:t>
      </w:r>
    </w:p>
    <w:p w:rsidR="007B5A3C" w:rsidRPr="006234AA" w:rsidRDefault="005475C1" w:rsidP="003C0546">
      <w:pPr>
        <w:spacing w:after="120"/>
        <w:rPr>
          <w:lang w:val="nl-NL"/>
        </w:rPr>
      </w:pPr>
      <w:r w:rsidRPr="006234AA">
        <w:rPr>
          <w:lang w:val="nl-NL"/>
        </w:rPr>
        <w:t>8</w:t>
      </w:r>
      <w:r w:rsidR="007B5A3C" w:rsidRPr="006234AA">
        <w:rPr>
          <w:lang w:val="nl-NL"/>
        </w:rPr>
        <w:t xml:space="preserve">. Trung tâm lưu ký chứng khoán </w:t>
      </w:r>
      <w:r w:rsidR="00336D61" w:rsidRPr="006234AA">
        <w:rPr>
          <w:lang w:val="nl-NL"/>
        </w:rPr>
        <w:t>có trách nhiệm xây dựng quy trình</w:t>
      </w:r>
      <w:r w:rsidR="007B5A3C" w:rsidRPr="006234AA">
        <w:rPr>
          <w:lang w:val="nl-NL"/>
        </w:rPr>
        <w:t xml:space="preserve"> </w:t>
      </w:r>
      <w:r w:rsidR="00336D61" w:rsidRPr="006234AA">
        <w:rPr>
          <w:lang w:val="nl-NL"/>
        </w:rPr>
        <w:t>hỗ trợ thanh toán</w:t>
      </w:r>
      <w:r w:rsidR="007B5A3C" w:rsidRPr="006234AA">
        <w:rPr>
          <w:lang w:val="nl-NL"/>
        </w:rPr>
        <w:t xml:space="preserve"> trường hợp thành viên bù trừ mất khả năng thanh toán</w:t>
      </w:r>
      <w:r w:rsidR="00336D61" w:rsidRPr="006234AA">
        <w:rPr>
          <w:lang w:val="nl-NL"/>
        </w:rPr>
        <w:t>;</w:t>
      </w:r>
      <w:r w:rsidR="007B5A3C" w:rsidRPr="006234AA">
        <w:rPr>
          <w:lang w:val="nl-NL"/>
        </w:rPr>
        <w:t xml:space="preserve"> quy </w:t>
      </w:r>
      <w:r w:rsidR="00336D61" w:rsidRPr="006234AA">
        <w:rPr>
          <w:lang w:val="nl-NL"/>
        </w:rPr>
        <w:t>chế mua bán bắt buộc</w:t>
      </w:r>
      <w:r w:rsidR="00300ED3" w:rsidRPr="006234AA">
        <w:rPr>
          <w:lang w:val="nl-NL"/>
        </w:rPr>
        <w:t>;</w:t>
      </w:r>
      <w:r w:rsidR="00336D61" w:rsidRPr="006234AA">
        <w:rPr>
          <w:lang w:val="nl-NL"/>
        </w:rPr>
        <w:t xml:space="preserve"> quy chế vay, cho vay chứng khoán</w:t>
      </w:r>
      <w:r w:rsidR="00300ED3" w:rsidRPr="006234AA">
        <w:rPr>
          <w:lang w:val="nl-NL"/>
        </w:rPr>
        <w:t>;</w:t>
      </w:r>
      <w:r w:rsidR="00336D61" w:rsidRPr="006234AA">
        <w:rPr>
          <w:lang w:val="nl-NL"/>
        </w:rPr>
        <w:t xml:space="preserve"> </w:t>
      </w:r>
      <w:r w:rsidR="00300ED3" w:rsidRPr="006234AA">
        <w:rPr>
          <w:lang w:val="nl-NL"/>
        </w:rPr>
        <w:t xml:space="preserve">quy chế trích lập, sử dụng quỹ dự phòng rủi ro thanh toán và </w:t>
      </w:r>
      <w:r w:rsidR="00336D61" w:rsidRPr="006234AA">
        <w:rPr>
          <w:lang w:val="nl-NL"/>
        </w:rPr>
        <w:t>ban hành sau khi</w:t>
      </w:r>
      <w:r w:rsidR="007B5A3C" w:rsidRPr="006234AA">
        <w:rPr>
          <w:lang w:val="nl-NL"/>
        </w:rPr>
        <w:t xml:space="preserve"> </w:t>
      </w:r>
      <w:r w:rsidR="00336D61" w:rsidRPr="006234AA">
        <w:rPr>
          <w:lang w:val="nl-NL"/>
        </w:rPr>
        <w:t xml:space="preserve">đã </w:t>
      </w:r>
      <w:r w:rsidR="007B5A3C" w:rsidRPr="006234AA">
        <w:rPr>
          <w:lang w:val="nl-NL"/>
        </w:rPr>
        <w:t xml:space="preserve">được Ủy ban Chứng khoán Nhà nước chấp thuận. </w:t>
      </w:r>
    </w:p>
    <w:p w:rsidR="007B5A3C" w:rsidRPr="006234AA" w:rsidRDefault="005475C1" w:rsidP="003C0546">
      <w:pPr>
        <w:spacing w:after="120"/>
        <w:rPr>
          <w:lang w:val="nl-NL"/>
        </w:rPr>
      </w:pPr>
      <w:r w:rsidRPr="006234AA">
        <w:rPr>
          <w:lang w:val="nl-NL"/>
        </w:rPr>
        <w:t>9</w:t>
      </w:r>
      <w:r w:rsidR="007B5A3C" w:rsidRPr="006234AA">
        <w:rPr>
          <w:lang w:val="nl-NL"/>
        </w:rPr>
        <w:t>.  Trong trường hợp thành viên bù trừ bị phá sản theo quy định của pháp luật về phá sản doanh nghiệp:</w:t>
      </w:r>
    </w:p>
    <w:p w:rsidR="007B5A3C" w:rsidRPr="006234AA" w:rsidRDefault="007B5A3C" w:rsidP="003C0546">
      <w:pPr>
        <w:spacing w:after="120"/>
        <w:rPr>
          <w:lang w:val="nl-NL"/>
        </w:rPr>
      </w:pPr>
      <w:r w:rsidRPr="006234AA">
        <w:rPr>
          <w:lang w:val="nl-NL"/>
        </w:rPr>
        <w:t xml:space="preserve">a)  Tài sản ký quỹ của khách hàng không được coi là tài sản của thành viên bù trừ và phải được hoàn trả lại toàn bộ cho khách hàng. Trường hợp tài sản ký quỹ của khách hàng không còn đủ để phân phối cho tất cả các khách hàng, các khách hàng được phân chia phần còn lại của tài sản ký quỹ theo cùng một tỷ lệ; </w:t>
      </w:r>
    </w:p>
    <w:p w:rsidR="009402DA" w:rsidRPr="006234AA" w:rsidRDefault="007B5A3C" w:rsidP="003C0546">
      <w:pPr>
        <w:spacing w:after="120"/>
        <w:rPr>
          <w:lang w:val="nl-NL"/>
        </w:rPr>
      </w:pPr>
      <w:r w:rsidRPr="006234AA">
        <w:rPr>
          <w:lang w:val="nl-NL"/>
        </w:rPr>
        <w:t xml:space="preserve">b) Đối với các khoản thanh toán mà Trung tâm lưu ký chứng khoán đã thực hiện để xử lý theo quy định tại </w:t>
      </w:r>
      <w:r w:rsidR="00195DB8" w:rsidRPr="006234AA">
        <w:rPr>
          <w:lang w:val="nl-NL"/>
        </w:rPr>
        <w:t>Đ</w:t>
      </w:r>
      <w:r w:rsidRPr="006234AA">
        <w:rPr>
          <w:lang w:val="nl-NL"/>
        </w:rPr>
        <w:t xml:space="preserve">iểm </w:t>
      </w:r>
      <w:r w:rsidR="00195DB8" w:rsidRPr="006234AA">
        <w:rPr>
          <w:lang w:val="nl-NL"/>
        </w:rPr>
        <w:t>d</w:t>
      </w:r>
      <w:r w:rsidRPr="006234AA">
        <w:rPr>
          <w:lang w:val="nl-NL"/>
        </w:rPr>
        <w:t xml:space="preserve"> </w:t>
      </w:r>
      <w:r w:rsidR="00195DB8" w:rsidRPr="006234AA">
        <w:rPr>
          <w:lang w:val="nl-NL"/>
        </w:rPr>
        <w:t>K</w:t>
      </w:r>
      <w:r w:rsidRPr="006234AA">
        <w:rPr>
          <w:lang w:val="nl-NL"/>
        </w:rPr>
        <w:t>hoản 2 Điều này, Trung tâm lưu ký chứng khoán có quyền lợi và được phân chia giá trị tài sản của thành viên bù trừ với tư cách chủ nợ không có bảo đảm theo quy định của pháp luật về phá sản doanh nghiệp.</w:t>
      </w:r>
      <w:bookmarkStart w:id="198" w:name="_Toc385602533"/>
      <w:bookmarkStart w:id="199" w:name="_Toc385602473"/>
      <w:bookmarkStart w:id="200" w:name="_Toc387730746"/>
      <w:bookmarkStart w:id="201" w:name="_Toc383551223"/>
      <w:bookmarkStart w:id="202" w:name="_Toc383932739"/>
      <w:bookmarkStart w:id="203" w:name="_Toc387730769"/>
      <w:bookmarkStart w:id="204" w:name="_Toc385602517"/>
      <w:bookmarkEnd w:id="184"/>
      <w:bookmarkEnd w:id="185"/>
      <w:bookmarkEnd w:id="194"/>
      <w:bookmarkEnd w:id="198"/>
    </w:p>
    <w:p w:rsidR="00A13B05" w:rsidRPr="006234AA" w:rsidRDefault="0042775F" w:rsidP="003C0546">
      <w:pPr>
        <w:pStyle w:val="Heading4"/>
        <w:spacing w:after="120"/>
      </w:pPr>
      <w:bookmarkStart w:id="205" w:name="_Toc422672005"/>
      <w:r w:rsidRPr="006234AA">
        <w:t>Tài khoản ký quỹ</w:t>
      </w:r>
      <w:r w:rsidR="003C69D4" w:rsidRPr="006234AA">
        <w:t xml:space="preserve"> của nhà đầu tư</w:t>
      </w:r>
      <w:bookmarkEnd w:id="205"/>
    </w:p>
    <w:p w:rsidR="000D1B14" w:rsidRPr="006234AA" w:rsidRDefault="000D1B14" w:rsidP="003C0546">
      <w:pPr>
        <w:pStyle w:val="ListParagraph"/>
        <w:numPr>
          <w:ilvl w:val="3"/>
          <w:numId w:val="2"/>
        </w:numPr>
        <w:tabs>
          <w:tab w:val="left" w:pos="993"/>
        </w:tabs>
        <w:spacing w:after="120"/>
        <w:ind w:left="0" w:firstLine="709"/>
      </w:pPr>
      <w:r w:rsidRPr="006234AA">
        <w:t>Thành viên giao dịch có trách nhiệm trách nhiệm hướng dẫn khách hàng mở tài khoản ký quỹ tại thành viên bù trừ khi mở tài khoản giao dịch chứng khoán phái sinh.</w:t>
      </w:r>
      <w:r w:rsidR="006E539B" w:rsidRPr="006234AA">
        <w:t xml:space="preserve"> Nhà đầu tư phải ký quỹ cho các giao dịch chứng khoán phái sinh, ký quỹ để duy trì vị thế mở của mình với thành viên bù trừ. Việc ký quỹ được thực hiện bằng tiền hoặc chứng khoán của chính nhà đầu tư. </w:t>
      </w:r>
    </w:p>
    <w:p w:rsidR="00C75CD7" w:rsidRPr="006234AA" w:rsidRDefault="00C75CD7" w:rsidP="003C0546">
      <w:pPr>
        <w:pStyle w:val="ListParagraph"/>
        <w:numPr>
          <w:ilvl w:val="3"/>
          <w:numId w:val="2"/>
        </w:numPr>
        <w:tabs>
          <w:tab w:val="left" w:pos="993"/>
        </w:tabs>
        <w:spacing w:after="120"/>
        <w:ind w:left="0" w:firstLine="709"/>
      </w:pPr>
      <w:r w:rsidRPr="006234AA">
        <w:t>Tài khoản ký quỹ của nhà đầu tư nằm trong hệ thống tài khoản bù trừ, thanh toán của thành viên bù trừ được quản lý</w:t>
      </w:r>
      <w:r w:rsidR="002F1466" w:rsidRPr="006234AA">
        <w:t>, giám sát</w:t>
      </w:r>
      <w:r w:rsidRPr="006234AA">
        <w:t xml:space="preserve"> thống nhất bởi Trung tâm Lưu ký chứng khoán theo quy định tại Điều 47 Thông tư này. Thành viên bù trừ, ngân hàng quản lý tài khoản, Trung tâm Lưu ký chứng khoán có trách nhiệm phối hợp thiết kế hệ thống tài khoản bù trừ, thanh toán và hệ thống tài khoản ký quỹ của từng nhà đầu tư, bảo đảm nguyên tắc sau:</w:t>
      </w:r>
    </w:p>
    <w:p w:rsidR="00C75CD7" w:rsidRPr="006234AA" w:rsidRDefault="00C75CD7" w:rsidP="00D36937">
      <w:pPr>
        <w:pStyle w:val="ListParagraph"/>
        <w:numPr>
          <w:ilvl w:val="0"/>
          <w:numId w:val="52"/>
        </w:numPr>
        <w:tabs>
          <w:tab w:val="left" w:pos="900"/>
        </w:tabs>
        <w:spacing w:after="120"/>
        <w:ind w:left="0" w:firstLine="567"/>
      </w:pPr>
      <w:r w:rsidRPr="006234AA">
        <w:t>M</w:t>
      </w:r>
      <w:r w:rsidR="00A13B05" w:rsidRPr="006234AA">
        <w:t xml:space="preserve">ỗi tài khoản giao dịch có một </w:t>
      </w:r>
      <w:r w:rsidR="00467C59" w:rsidRPr="006234AA">
        <w:t>tài khoản ký quỹ</w:t>
      </w:r>
      <w:r w:rsidRPr="006234AA">
        <w:t xml:space="preserve">. Thành viên bù trừ, ngân hàng quản lý tài khoản có trách nhiệm trực tiếp quản lý tách biệt tài khoản ký quỹ </w:t>
      </w:r>
      <w:r w:rsidR="00A13B05" w:rsidRPr="006234AA">
        <w:t xml:space="preserve">tới từng </w:t>
      </w:r>
      <w:r w:rsidR="00FE7773" w:rsidRPr="006234AA">
        <w:t>nhà đầu tư</w:t>
      </w:r>
      <w:r w:rsidRPr="006234AA">
        <w:t>;</w:t>
      </w:r>
    </w:p>
    <w:p w:rsidR="00B143AE" w:rsidRPr="006234AA" w:rsidRDefault="00A13B05" w:rsidP="00D36937">
      <w:pPr>
        <w:pStyle w:val="ListParagraph"/>
        <w:numPr>
          <w:ilvl w:val="0"/>
          <w:numId w:val="52"/>
        </w:numPr>
        <w:tabs>
          <w:tab w:val="left" w:pos="900"/>
        </w:tabs>
        <w:spacing w:after="120"/>
        <w:ind w:left="0" w:firstLine="567"/>
      </w:pPr>
      <w:r w:rsidRPr="006234AA">
        <w:t xml:space="preserve"> </w:t>
      </w:r>
      <w:r w:rsidR="00C75CD7" w:rsidRPr="006234AA">
        <w:t>Trung tâm Lưu ký chứng khoán trực tiếp quản lý các tài khoản bù trừ thanh toán của thành viên bù trừ; giám sát theo thời gian thực tới tài khoản ký quỹ của từng nhà đầu tư</w:t>
      </w:r>
      <w:r w:rsidR="008F783E" w:rsidRPr="006234AA">
        <w:t>;</w:t>
      </w:r>
      <w:r w:rsidR="003C0546" w:rsidRPr="006234AA">
        <w:t xml:space="preserve"> bảo đảm t</w:t>
      </w:r>
      <w:r w:rsidR="008F783E" w:rsidRPr="006234AA">
        <w:t>heo dõi được chính xác tại mọi thời điểm số dư tiền</w:t>
      </w:r>
      <w:r w:rsidR="003C0546" w:rsidRPr="006234AA">
        <w:t>, danh mục chứng khoán ký quỹ</w:t>
      </w:r>
      <w:r w:rsidR="008F783E" w:rsidRPr="006234AA">
        <w:t xml:space="preserve"> của từng khách hàng trên tài khoản ký quỹ</w:t>
      </w:r>
      <w:r w:rsidR="00B143AE" w:rsidRPr="006234AA">
        <w:t>.</w:t>
      </w:r>
      <w:r w:rsidR="008F783E" w:rsidRPr="006234AA">
        <w:t xml:space="preserve"> </w:t>
      </w:r>
    </w:p>
    <w:p w:rsidR="00B143AE" w:rsidRPr="006234AA" w:rsidRDefault="00B143AE" w:rsidP="00B143AE">
      <w:pPr>
        <w:tabs>
          <w:tab w:val="left" w:pos="900"/>
        </w:tabs>
        <w:spacing w:after="120"/>
        <w:ind w:firstLine="0"/>
      </w:pPr>
      <w:r w:rsidRPr="006234AA">
        <w:tab/>
        <w:t xml:space="preserve">Ngân hàng quản lý tài khoản, thành viên bù trừ có trách nhiệm thiết lập kênh chia sẻ thông tin thông suốt, cung cấp đầy đủ, cập nhật kịp thời các thông </w:t>
      </w:r>
      <w:r w:rsidRPr="006234AA">
        <w:lastRenderedPageBreak/>
        <w:t>tin về tài khoản ký quỹ của từng nhà đầu tư, bao gồm vị thế giao dịch và toàn bộ danh mục tài sản ký quỹ trên tài khoản ký quỹ.</w:t>
      </w:r>
    </w:p>
    <w:p w:rsidR="00D844A7" w:rsidRPr="006234AA" w:rsidRDefault="00D844A7" w:rsidP="00D844A7">
      <w:pPr>
        <w:tabs>
          <w:tab w:val="left" w:pos="1134"/>
        </w:tabs>
        <w:spacing w:after="120"/>
        <w:ind w:firstLine="720"/>
        <w:rPr>
          <w:lang w:val="nl-NL"/>
        </w:rPr>
      </w:pPr>
      <w:r w:rsidRPr="006234AA">
        <w:t xml:space="preserve">3. </w:t>
      </w:r>
      <w:r w:rsidRPr="006234AA">
        <w:rPr>
          <w:lang w:val="nl-NL"/>
        </w:rPr>
        <w:t>Trung tâm Lưu ký chứng khoán Việt Nam được cung cấp dịch vụ quản lý tài khoản và tài sản ký quỹ cho thành viên bù trừ, thành viên không bù trừ, khách hàng của thành viên không bù trừ theo nguyên tắc quản lý tách biệt tới tài khoản của từng khách hàng, tách biệt tới từng danh mục đầu tư của khách hàng.</w:t>
      </w:r>
    </w:p>
    <w:p w:rsidR="00D844A7" w:rsidRPr="006234AA" w:rsidRDefault="00D844A7" w:rsidP="00D844A7">
      <w:pPr>
        <w:tabs>
          <w:tab w:val="left" w:pos="1134"/>
        </w:tabs>
        <w:spacing w:after="120"/>
        <w:ind w:firstLine="720"/>
        <w:rPr>
          <w:lang w:val="nl-NL"/>
        </w:rPr>
      </w:pPr>
      <w:r w:rsidRPr="006234AA">
        <w:rPr>
          <w:lang w:val="nl-NL"/>
        </w:rPr>
        <w:t xml:space="preserve">4. </w:t>
      </w:r>
      <w:r w:rsidRPr="006234AA">
        <w:t>Nhà đầu tư được lựa chọn việc quản lý tài khoản và tài sản ký quỹ dưới một trong các hình thức dưới đây:</w:t>
      </w:r>
    </w:p>
    <w:p w:rsidR="00D844A7" w:rsidRPr="006234AA" w:rsidRDefault="00D844A7" w:rsidP="00D844A7">
      <w:pPr>
        <w:spacing w:after="120"/>
        <w:rPr>
          <w:lang w:val="nl-NL"/>
        </w:rPr>
      </w:pPr>
      <w:r w:rsidRPr="006234AA">
        <w:rPr>
          <w:lang w:val="nl-NL"/>
        </w:rPr>
        <w:t>a) Tài khoản ký quỹ được quản lý trực tiếp bởi thành viên bù trừ, được giám sát bởi Trung tâm Lưu ký chứng khoán trên hệ thống tài khoản bù trừ, thanh toán theo quy định tại Điều 47 và Khoản 2 Điều này;</w:t>
      </w:r>
    </w:p>
    <w:p w:rsidR="00D844A7" w:rsidRPr="006234AA" w:rsidRDefault="00D844A7" w:rsidP="00D844A7">
      <w:pPr>
        <w:spacing w:after="120"/>
        <w:rPr>
          <w:lang w:val="nl-NL"/>
        </w:rPr>
      </w:pPr>
      <w:r w:rsidRPr="006234AA">
        <w:rPr>
          <w:lang w:val="nl-NL"/>
        </w:rPr>
        <w:t xml:space="preserve">b) Tài khoản ký quỹ được quản lý trực tiếp bởi Trung tâm lưu ký chứng khoán: Trung tâm lưu ký chứng khoán </w:t>
      </w:r>
      <w:r w:rsidR="00074D3D" w:rsidRPr="006234AA">
        <w:rPr>
          <w:lang w:val="nl-NL"/>
        </w:rPr>
        <w:t xml:space="preserve">không chỉ giám sát, mà </w:t>
      </w:r>
      <w:r w:rsidRPr="006234AA">
        <w:rPr>
          <w:lang w:val="nl-NL"/>
        </w:rPr>
        <w:t>trực tiếp quản lý tài khoản ký quỹ của nhà đầu tư theo hợp đồng cung cấp dịch vụ ba bên giữa nhà đầu tư, Trung tâm lưu ký chứng khoán và thành viên bù trừ;</w:t>
      </w:r>
    </w:p>
    <w:p w:rsidR="00D844A7" w:rsidRPr="006234AA" w:rsidRDefault="00D844A7" w:rsidP="00D844A7">
      <w:pPr>
        <w:tabs>
          <w:tab w:val="left" w:pos="900"/>
        </w:tabs>
        <w:spacing w:after="120"/>
        <w:ind w:firstLine="0"/>
      </w:pPr>
      <w:r w:rsidRPr="006234AA">
        <w:rPr>
          <w:lang w:val="nl-NL"/>
        </w:rPr>
        <w:tab/>
        <w:t>Thành viên không bù trừ, công ty quản lý quỹ được đăng ký dịch vụ quản lý tài khoản ký quỹ tới từng khách hàng của mình trên hệ thống tài khoản ký quỹ do Trung tâm lưu ký chứng khoán quản lý.</w:t>
      </w:r>
    </w:p>
    <w:p w:rsidR="00A6463B" w:rsidRPr="006234AA" w:rsidRDefault="00A6463B" w:rsidP="00D36937">
      <w:pPr>
        <w:pStyle w:val="ListParagraph"/>
        <w:numPr>
          <w:ilvl w:val="3"/>
          <w:numId w:val="54"/>
        </w:numPr>
        <w:tabs>
          <w:tab w:val="left" w:pos="900"/>
        </w:tabs>
        <w:spacing w:after="120"/>
      </w:pPr>
      <w:r w:rsidRPr="006234AA">
        <w:t xml:space="preserve">Tài khoản ký quỹ của </w:t>
      </w:r>
      <w:r w:rsidR="00C75CD7" w:rsidRPr="006234AA">
        <w:t>nhà đầu tư</w:t>
      </w:r>
      <w:r w:rsidRPr="006234AA">
        <w:t xml:space="preserve"> bao gồm hai cấu phần: </w:t>
      </w:r>
    </w:p>
    <w:p w:rsidR="00A6463B" w:rsidRPr="006234AA" w:rsidRDefault="00A6463B" w:rsidP="00D36937">
      <w:pPr>
        <w:pStyle w:val="ListParagraph"/>
        <w:numPr>
          <w:ilvl w:val="0"/>
          <w:numId w:val="18"/>
        </w:numPr>
        <w:tabs>
          <w:tab w:val="left" w:pos="1134"/>
        </w:tabs>
        <w:spacing w:after="120"/>
        <w:ind w:left="0" w:firstLine="709"/>
      </w:pPr>
      <w:r w:rsidRPr="006234AA">
        <w:t xml:space="preserve">Tài khoản tiền gửi ký quỹ </w:t>
      </w:r>
      <w:r w:rsidR="008441A2" w:rsidRPr="006234AA">
        <w:t xml:space="preserve">của nhà đầu tư </w:t>
      </w:r>
      <w:r w:rsidRPr="006234AA">
        <w:t xml:space="preserve">được mở tại ngân hàng quản lý tài khoản trong danh sách các ngân hàng quản lý tài khoản do Trung tâm Lưu ký chứng khoán phê duyệt. Tài khoản này </w:t>
      </w:r>
      <w:r w:rsidR="00B74FD7" w:rsidRPr="006234AA">
        <w:t xml:space="preserve">chỉ </w:t>
      </w:r>
      <w:r w:rsidRPr="006234AA">
        <w:t xml:space="preserve">để tiếp nhận các khoản bảo đảm thanh toán và ký quỹ từ </w:t>
      </w:r>
      <w:r w:rsidR="008441A2" w:rsidRPr="006234AA">
        <w:t>nhà đầu tư</w:t>
      </w:r>
      <w:r w:rsidRPr="006234AA">
        <w:t xml:space="preserve"> và </w:t>
      </w:r>
      <w:r w:rsidR="008441A2" w:rsidRPr="006234AA">
        <w:t xml:space="preserve">phải </w:t>
      </w:r>
      <w:r w:rsidRPr="006234AA">
        <w:t>được quản lý tách biệt, độc lập tới từng khách hàng</w:t>
      </w:r>
      <w:r w:rsidRPr="006234AA">
        <w:rPr>
          <w:lang w:val="id-ID"/>
        </w:rPr>
        <w:t>.</w:t>
      </w:r>
    </w:p>
    <w:p w:rsidR="00A6463B" w:rsidRPr="006234AA" w:rsidRDefault="00A6463B" w:rsidP="003C0546">
      <w:pPr>
        <w:pStyle w:val="BodyTextIndent2"/>
        <w:rPr>
          <w:rFonts w:ascii="Times New Roman" w:hAnsi="Times New Roman" w:cs="Times New Roman"/>
          <w:lang w:val="nl-NL"/>
        </w:rPr>
      </w:pPr>
      <w:r w:rsidRPr="006234AA">
        <w:rPr>
          <w:rFonts w:ascii="Times New Roman" w:hAnsi="Times New Roman" w:cs="Times New Roman"/>
          <w:lang w:val="nl-NL"/>
        </w:rPr>
        <w:t xml:space="preserve">Tùy thuộc vào phương thức quản lý tài khoản tiền gửi của ngân hàng và của thành viên bù trừ, tài khoản tiền gửi có thể đứng tên thành viên bù trừ và tách biệt tới </w:t>
      </w:r>
      <w:r w:rsidR="008441A2" w:rsidRPr="006234AA">
        <w:rPr>
          <w:rFonts w:ascii="Times New Roman" w:hAnsi="Times New Roman" w:cs="Times New Roman"/>
          <w:lang w:val="nl-NL"/>
        </w:rPr>
        <w:t>các tiểu khoản đứng tên khách hà</w:t>
      </w:r>
      <w:r w:rsidRPr="006234AA">
        <w:rPr>
          <w:rFonts w:ascii="Times New Roman" w:hAnsi="Times New Roman" w:cs="Times New Roman"/>
          <w:lang w:val="nl-NL"/>
        </w:rPr>
        <w:t>ng hoặc có thể là tài khoản do khách hàng trực tiếp đứng tên chủ sở hữu.</w:t>
      </w:r>
    </w:p>
    <w:p w:rsidR="008441A2" w:rsidRPr="006234AA" w:rsidRDefault="00A6463B" w:rsidP="00D36937">
      <w:pPr>
        <w:pStyle w:val="ListParagraph"/>
        <w:numPr>
          <w:ilvl w:val="0"/>
          <w:numId w:val="18"/>
        </w:numPr>
        <w:tabs>
          <w:tab w:val="left" w:pos="993"/>
        </w:tabs>
        <w:spacing w:after="120"/>
        <w:ind w:left="0" w:firstLine="706"/>
      </w:pPr>
      <w:r w:rsidRPr="006234AA">
        <w:t xml:space="preserve"> Tài khoản chứng khoán ký quỹ của </w:t>
      </w:r>
      <w:r w:rsidR="008441A2" w:rsidRPr="006234AA">
        <w:t>nhà đầu tư</w:t>
      </w:r>
      <w:r w:rsidRPr="006234AA">
        <w:t xml:space="preserve"> là tài khoản thế chấp trên tài khoản lưu ký của </w:t>
      </w:r>
      <w:r w:rsidR="008441A2" w:rsidRPr="006234AA">
        <w:t>chính nhà đầu tư đó</w:t>
      </w:r>
      <w:r w:rsidRPr="006234AA">
        <w:t xml:space="preserve"> tại Trung tâm lưu ký chứng khoán. </w:t>
      </w:r>
    </w:p>
    <w:p w:rsidR="00A13B05" w:rsidRPr="006234AA" w:rsidRDefault="0042775F" w:rsidP="003C0546">
      <w:pPr>
        <w:pStyle w:val="ListParagraph"/>
        <w:numPr>
          <w:ilvl w:val="3"/>
          <w:numId w:val="2"/>
        </w:numPr>
        <w:tabs>
          <w:tab w:val="left" w:pos="993"/>
        </w:tabs>
        <w:spacing w:after="120"/>
        <w:ind w:left="0" w:firstLine="706"/>
      </w:pPr>
      <w:r w:rsidRPr="006234AA">
        <w:t>Tài khoản ký quỹ</w:t>
      </w:r>
      <w:r w:rsidR="003C69D4" w:rsidRPr="006234AA">
        <w:t xml:space="preserve"> của nhà đầu tư</w:t>
      </w:r>
      <w:r w:rsidR="00A13B05" w:rsidRPr="006234AA">
        <w:t xml:space="preserve"> </w:t>
      </w:r>
      <w:r w:rsidR="00A13B05" w:rsidRPr="006234AA">
        <w:rPr>
          <w:lang w:val="id-ID"/>
        </w:rPr>
        <w:t>bao gồm các nội dung sau đây:</w:t>
      </w:r>
    </w:p>
    <w:p w:rsidR="00A13B05" w:rsidRPr="006234AA" w:rsidRDefault="00ED62E5" w:rsidP="00D36937">
      <w:pPr>
        <w:pStyle w:val="ListParagraph"/>
        <w:numPr>
          <w:ilvl w:val="0"/>
          <w:numId w:val="16"/>
        </w:numPr>
        <w:tabs>
          <w:tab w:val="left" w:pos="1134"/>
        </w:tabs>
        <w:spacing w:after="120"/>
        <w:ind w:left="0" w:firstLine="706"/>
        <w:rPr>
          <w:lang w:val="id-ID"/>
        </w:rPr>
      </w:pPr>
      <w:r w:rsidRPr="006234AA">
        <w:t>T</w:t>
      </w:r>
      <w:r w:rsidR="00A13B05" w:rsidRPr="006234AA">
        <w:rPr>
          <w:lang w:val="id-ID"/>
        </w:rPr>
        <w:t xml:space="preserve">hông tin về </w:t>
      </w:r>
      <w:r w:rsidR="00FE7773" w:rsidRPr="006234AA">
        <w:rPr>
          <w:lang w:val="id-ID"/>
        </w:rPr>
        <w:t>nhà đầu tư</w:t>
      </w:r>
      <w:r w:rsidR="008441A2" w:rsidRPr="006234AA">
        <w:t xml:space="preserve"> theo quy định tại Khoản 2 Điều 35 Thông tư này; </w:t>
      </w:r>
      <w:r w:rsidR="008441A2" w:rsidRPr="006234AA">
        <w:rPr>
          <w:lang w:val="id-ID"/>
        </w:rPr>
        <w:t>mã số định danh</w:t>
      </w:r>
      <w:r w:rsidR="008441A2" w:rsidRPr="006234AA">
        <w:t xml:space="preserve"> của nhà đầu tư;</w:t>
      </w:r>
      <w:r w:rsidR="00A13B05" w:rsidRPr="006234AA">
        <w:rPr>
          <w:lang w:val="id-ID"/>
        </w:rPr>
        <w:t xml:space="preserve"> </w:t>
      </w:r>
    </w:p>
    <w:p w:rsidR="00A13B05" w:rsidRPr="006234AA" w:rsidRDefault="008441A2" w:rsidP="00D36937">
      <w:pPr>
        <w:pStyle w:val="ListParagraph"/>
        <w:numPr>
          <w:ilvl w:val="0"/>
          <w:numId w:val="16"/>
        </w:numPr>
        <w:tabs>
          <w:tab w:val="left" w:pos="1134"/>
        </w:tabs>
        <w:spacing w:after="120"/>
        <w:ind w:left="0" w:firstLine="709"/>
        <w:rPr>
          <w:lang w:val="id-ID"/>
        </w:rPr>
      </w:pPr>
      <w:r w:rsidRPr="006234AA">
        <w:t>Thông tin về tài khoản giao dịch chứng khoán phái sinh:</w:t>
      </w:r>
      <w:r w:rsidR="00E0630D" w:rsidRPr="006234AA">
        <w:t xml:space="preserve"> </w:t>
      </w:r>
      <w:r w:rsidR="00E0630D" w:rsidRPr="006234AA">
        <w:rPr>
          <w:lang w:val="id-ID"/>
        </w:rPr>
        <w:t>t</w:t>
      </w:r>
      <w:r w:rsidR="00A13B05" w:rsidRPr="006234AA">
        <w:rPr>
          <w:lang w:val="id-ID"/>
        </w:rPr>
        <w:t xml:space="preserve">ên đầy đủ, tên viết tắt, địa chỉ trụ sở chính của thành viên giao dịch nơi </w:t>
      </w:r>
      <w:r w:rsidR="00FE7773" w:rsidRPr="006234AA">
        <w:rPr>
          <w:lang w:val="id-ID"/>
        </w:rPr>
        <w:t>nhà đầu tư</w:t>
      </w:r>
      <w:r w:rsidR="00A13B05" w:rsidRPr="006234AA">
        <w:rPr>
          <w:lang w:val="id-ID"/>
        </w:rPr>
        <w:t xml:space="preserve"> mở tài khoản giao dịch</w:t>
      </w:r>
      <w:r w:rsidRPr="006234AA">
        <w:rPr>
          <w:lang w:val="id-ID"/>
        </w:rPr>
        <w:t>, số tài khoản giao dịch chứng khoán phái sinh</w:t>
      </w:r>
      <w:r w:rsidR="00A13B05" w:rsidRPr="006234AA">
        <w:rPr>
          <w:lang w:val="id-ID"/>
        </w:rPr>
        <w:t>;</w:t>
      </w:r>
    </w:p>
    <w:p w:rsidR="00A13B05" w:rsidRPr="006234AA" w:rsidRDefault="008441A2" w:rsidP="00D36937">
      <w:pPr>
        <w:pStyle w:val="ListParagraph"/>
        <w:numPr>
          <w:ilvl w:val="0"/>
          <w:numId w:val="16"/>
        </w:numPr>
        <w:tabs>
          <w:tab w:val="left" w:pos="1134"/>
        </w:tabs>
        <w:spacing w:after="120"/>
        <w:ind w:left="0" w:firstLine="709"/>
        <w:rPr>
          <w:lang w:val="id-ID"/>
        </w:rPr>
      </w:pPr>
      <w:r w:rsidRPr="006234AA">
        <w:rPr>
          <w:lang w:val="id-ID"/>
        </w:rPr>
        <w:t xml:space="preserve">Thông tin về </w:t>
      </w:r>
      <w:r w:rsidR="00A13B05" w:rsidRPr="006234AA">
        <w:rPr>
          <w:lang w:val="id-ID"/>
        </w:rPr>
        <w:t xml:space="preserve">tài khoản giao dịch chứng khoán cơ sở; tên đầy đủ, tên viết tắt, địa chỉ trụ sở chính của công ty chứng khoán nơi </w:t>
      </w:r>
      <w:r w:rsidR="00FE7773" w:rsidRPr="006234AA">
        <w:rPr>
          <w:lang w:val="id-ID"/>
        </w:rPr>
        <w:t>nhà đầu tư</w:t>
      </w:r>
      <w:r w:rsidR="00A13B05" w:rsidRPr="006234AA">
        <w:rPr>
          <w:lang w:val="id-ID"/>
        </w:rPr>
        <w:t xml:space="preserve"> mở tài </w:t>
      </w:r>
      <w:r w:rsidR="00A13B05" w:rsidRPr="006234AA">
        <w:rPr>
          <w:lang w:val="id-ID"/>
        </w:rPr>
        <w:lastRenderedPageBreak/>
        <w:t>khoản giao dịch; số tài khoản lưu ký chứng khoán và tên đầy đủ, tên viết tắt, địa chỉ trụ sở chính của ngân hàng lưu ký (nếu có);</w:t>
      </w:r>
    </w:p>
    <w:p w:rsidR="00A13B05" w:rsidRPr="006234AA" w:rsidRDefault="00A13B05" w:rsidP="00D36937">
      <w:pPr>
        <w:pStyle w:val="ListParagraph"/>
        <w:numPr>
          <w:ilvl w:val="0"/>
          <w:numId w:val="16"/>
        </w:numPr>
        <w:tabs>
          <w:tab w:val="left" w:pos="1134"/>
        </w:tabs>
        <w:spacing w:after="120"/>
        <w:ind w:left="0" w:firstLine="709"/>
        <w:rPr>
          <w:lang w:val="id-ID"/>
        </w:rPr>
      </w:pPr>
      <w:r w:rsidRPr="006234AA">
        <w:rPr>
          <w:lang w:val="id-ID"/>
        </w:rPr>
        <w:t xml:space="preserve">Vị thế mở hiện tại của </w:t>
      </w:r>
      <w:r w:rsidR="00FE7773" w:rsidRPr="006234AA">
        <w:rPr>
          <w:lang w:val="id-ID"/>
        </w:rPr>
        <w:t>nhà đầu tư</w:t>
      </w:r>
      <w:r w:rsidRPr="006234AA">
        <w:rPr>
          <w:lang w:val="id-ID"/>
        </w:rPr>
        <w:t xml:space="preserve"> (số lượng hợp đồng, loại hợp đồng, quy mô của hợp đồng, </w:t>
      </w:r>
      <w:r w:rsidR="000A65D9" w:rsidRPr="006234AA">
        <w:rPr>
          <w:lang w:val="id-ID"/>
        </w:rPr>
        <w:t>giá thanh toán</w:t>
      </w:r>
      <w:r w:rsidRPr="006234AA">
        <w:rPr>
          <w:lang w:val="id-ID"/>
        </w:rPr>
        <w:t>, vị thế giao dịch, kỳ chuyển giao);</w:t>
      </w:r>
    </w:p>
    <w:p w:rsidR="00A13B05" w:rsidRPr="006234AA" w:rsidRDefault="00874F78" w:rsidP="00D36937">
      <w:pPr>
        <w:pStyle w:val="ListParagraph"/>
        <w:numPr>
          <w:ilvl w:val="0"/>
          <w:numId w:val="16"/>
        </w:numPr>
        <w:tabs>
          <w:tab w:val="left" w:pos="1134"/>
        </w:tabs>
        <w:spacing w:after="120"/>
        <w:ind w:left="0" w:firstLine="709"/>
        <w:rPr>
          <w:lang w:val="id-ID"/>
        </w:rPr>
      </w:pPr>
      <w:r w:rsidRPr="006234AA">
        <w:rPr>
          <w:lang w:val="id-ID"/>
        </w:rPr>
        <w:t xml:space="preserve">Thông tin về </w:t>
      </w:r>
      <w:r w:rsidR="00A13B05" w:rsidRPr="006234AA">
        <w:rPr>
          <w:lang w:val="id-ID"/>
        </w:rPr>
        <w:t xml:space="preserve">tài sản ký quỹ: </w:t>
      </w:r>
    </w:p>
    <w:p w:rsidR="00A13B05" w:rsidRPr="006234AA" w:rsidRDefault="00A13B05" w:rsidP="00D36937">
      <w:pPr>
        <w:pStyle w:val="ListParagraph"/>
        <w:numPr>
          <w:ilvl w:val="0"/>
          <w:numId w:val="15"/>
        </w:numPr>
        <w:tabs>
          <w:tab w:val="left" w:pos="1134"/>
        </w:tabs>
        <w:spacing w:after="120"/>
        <w:ind w:left="0" w:firstLine="709"/>
        <w:rPr>
          <w:lang w:val="id-ID"/>
        </w:rPr>
      </w:pPr>
      <w:r w:rsidRPr="006234AA">
        <w:rPr>
          <w:lang w:val="id-ID"/>
        </w:rPr>
        <w:t xml:space="preserve">Số </w:t>
      </w:r>
      <w:r w:rsidR="00C97E72" w:rsidRPr="006234AA">
        <w:rPr>
          <w:lang w:val="id-ID"/>
        </w:rPr>
        <w:t>tài khoản tiền gửi ký quỹ</w:t>
      </w:r>
      <w:r w:rsidRPr="006234AA">
        <w:rPr>
          <w:lang w:val="id-ID"/>
        </w:rPr>
        <w:t xml:space="preserve">, </w:t>
      </w:r>
      <w:r w:rsidR="00874F78" w:rsidRPr="006234AA">
        <w:rPr>
          <w:lang w:val="id-ID"/>
        </w:rPr>
        <w:t xml:space="preserve">tên đầy đủ, tên viết tắt, địa chỉ trụ sở chính của </w:t>
      </w:r>
      <w:r w:rsidRPr="006234AA">
        <w:rPr>
          <w:lang w:val="id-ID"/>
        </w:rPr>
        <w:t>ngân hàng quản lý tài khoản, số dư tiền gửi</w:t>
      </w:r>
      <w:r w:rsidR="008F783E" w:rsidRPr="006234AA">
        <w:rPr>
          <w:lang w:val="en-US"/>
        </w:rPr>
        <w:t xml:space="preserve"> ký quỹ</w:t>
      </w:r>
      <w:r w:rsidRPr="006234AA">
        <w:rPr>
          <w:lang w:val="id-ID"/>
        </w:rPr>
        <w:t>;</w:t>
      </w:r>
    </w:p>
    <w:p w:rsidR="00A13B05" w:rsidRPr="006234AA" w:rsidRDefault="00A13B05" w:rsidP="00D36937">
      <w:pPr>
        <w:pStyle w:val="ListParagraph"/>
        <w:numPr>
          <w:ilvl w:val="0"/>
          <w:numId w:val="15"/>
        </w:numPr>
        <w:tabs>
          <w:tab w:val="left" w:pos="1134"/>
        </w:tabs>
        <w:spacing w:after="120"/>
        <w:ind w:left="0" w:firstLine="709"/>
        <w:rPr>
          <w:lang w:val="id-ID"/>
        </w:rPr>
      </w:pPr>
      <w:r w:rsidRPr="006234AA">
        <w:rPr>
          <w:lang w:val="id-ID"/>
        </w:rPr>
        <w:t xml:space="preserve">Số tài khoản </w:t>
      </w:r>
      <w:r w:rsidR="00874F78" w:rsidRPr="006234AA">
        <w:rPr>
          <w:lang w:val="id-ID"/>
        </w:rPr>
        <w:t>chứng khoán ký quỹ</w:t>
      </w:r>
      <w:r w:rsidRPr="006234AA">
        <w:rPr>
          <w:lang w:val="id-ID"/>
        </w:rPr>
        <w:t xml:space="preserve">, </w:t>
      </w:r>
      <w:r w:rsidR="00874F78" w:rsidRPr="006234AA">
        <w:rPr>
          <w:lang w:val="id-ID"/>
        </w:rPr>
        <w:t xml:space="preserve">tên đầy đủ, tên viết tắt, địa chỉ trụ sở chính của </w:t>
      </w:r>
      <w:r w:rsidRPr="006234AA">
        <w:rPr>
          <w:lang w:val="id-ID"/>
        </w:rPr>
        <w:t xml:space="preserve">thành viên lưu ký, danh mục </w:t>
      </w:r>
      <w:r w:rsidR="008F783E" w:rsidRPr="006234AA">
        <w:rPr>
          <w:lang w:val="en-US"/>
        </w:rPr>
        <w:t xml:space="preserve">và giá trị </w:t>
      </w:r>
      <w:r w:rsidRPr="006234AA">
        <w:rPr>
          <w:lang w:val="id-ID"/>
        </w:rPr>
        <w:t>chứng khoán ký quỹ (mã chứng kh</w:t>
      </w:r>
      <w:r w:rsidR="008F783E" w:rsidRPr="006234AA">
        <w:rPr>
          <w:lang w:val="id-ID"/>
        </w:rPr>
        <w:t xml:space="preserve">oán, số lượng, giá trị </w:t>
      </w:r>
      <w:r w:rsidR="008F783E" w:rsidRPr="006234AA">
        <w:rPr>
          <w:lang w:val="en-US"/>
        </w:rPr>
        <w:t>tính theo phương thức quy định tại Phụ lục số 09 ban hành kèm theo Thông tư này</w:t>
      </w:r>
      <w:r w:rsidRPr="006234AA">
        <w:rPr>
          <w:lang w:val="id-ID"/>
        </w:rPr>
        <w:t>).</w:t>
      </w:r>
    </w:p>
    <w:p w:rsidR="009576A0" w:rsidRPr="006234AA" w:rsidRDefault="000D1B14" w:rsidP="003C0546">
      <w:pPr>
        <w:spacing w:after="120"/>
        <w:rPr>
          <w:lang w:val="nl-NL"/>
        </w:rPr>
      </w:pPr>
      <w:r w:rsidRPr="006234AA">
        <w:rPr>
          <w:lang w:val="nl-NL"/>
        </w:rPr>
        <w:t xml:space="preserve"> </w:t>
      </w:r>
      <w:r w:rsidR="00D844A7" w:rsidRPr="006234AA">
        <w:rPr>
          <w:lang w:val="nl-NL"/>
        </w:rPr>
        <w:t>7</w:t>
      </w:r>
      <w:r w:rsidR="009576A0" w:rsidRPr="006234AA">
        <w:rPr>
          <w:lang w:val="nl-NL"/>
        </w:rPr>
        <w:t>. Ngân hàng nơi mở tài khoản tiền gửi ký quỹ của nhà đầu tư có trách nhiệm:</w:t>
      </w:r>
    </w:p>
    <w:p w:rsidR="009576A0" w:rsidRPr="006234AA" w:rsidRDefault="003C0546" w:rsidP="003C0546">
      <w:pPr>
        <w:spacing w:after="120"/>
        <w:rPr>
          <w:lang w:val="nl-NL"/>
        </w:rPr>
      </w:pPr>
      <w:r w:rsidRPr="006234AA">
        <w:rPr>
          <w:lang w:val="nl-NL"/>
        </w:rPr>
        <w:t xml:space="preserve"> </w:t>
      </w:r>
      <w:r w:rsidR="009576A0" w:rsidRPr="006234AA">
        <w:rPr>
          <w:lang w:val="nl-NL"/>
        </w:rPr>
        <w:t>a) Thiết lập hệ thống tài khoản tách biệt tới từng nhà đầu tư, tách biệt với các tài khoản tiền gửi ký quỹ của các nhà đầu tư khác, tài khoản tiền gửi ký quỹ của thành viên bù trừ;</w:t>
      </w:r>
    </w:p>
    <w:p w:rsidR="003C0546" w:rsidRPr="006234AA" w:rsidRDefault="003C0546" w:rsidP="003C0546">
      <w:pPr>
        <w:spacing w:after="120"/>
        <w:rPr>
          <w:lang w:val="nl-NL"/>
        </w:rPr>
      </w:pPr>
      <w:r w:rsidRPr="006234AA">
        <w:rPr>
          <w:lang w:val="nl-NL"/>
        </w:rPr>
        <w:t xml:space="preserve">  </w:t>
      </w:r>
      <w:r w:rsidR="009576A0" w:rsidRPr="006234AA">
        <w:rPr>
          <w:lang w:val="nl-NL"/>
        </w:rPr>
        <w:t>b) Thiết lập hệ thống kế toán để quản lý tiền gửi tới từng nhà đầu tư; có nghĩa vụ xác định và cung cấp sao kê chi tiết số dư tài khoản tại mọi thời điểm theo yêu cầu của nhà đầu tư, thành viên giao dịch, thành viên bù trừ (nếu có) và Trung tâm lưu ký chứng khoán</w:t>
      </w:r>
      <w:r w:rsidRPr="006234AA">
        <w:rPr>
          <w:lang w:val="nl-NL"/>
        </w:rPr>
        <w:t>, Ủy ban Chứng khoán Nhà nước.</w:t>
      </w:r>
    </w:p>
    <w:p w:rsidR="00AC5759" w:rsidRPr="006234AA" w:rsidRDefault="00AC5759" w:rsidP="00AC5759">
      <w:pPr>
        <w:spacing w:after="120"/>
        <w:rPr>
          <w:lang w:val="nl-NL"/>
        </w:rPr>
      </w:pPr>
      <w:r w:rsidRPr="006234AA">
        <w:rPr>
          <w:lang w:val="nl-NL"/>
        </w:rPr>
        <w:t xml:space="preserve">  </w:t>
      </w:r>
      <w:r w:rsidR="003C0546" w:rsidRPr="006234AA">
        <w:rPr>
          <w:lang w:val="nl-NL"/>
        </w:rPr>
        <w:t xml:space="preserve">c) </w:t>
      </w:r>
      <w:r w:rsidRPr="006234AA">
        <w:rPr>
          <w:lang w:val="nl-NL"/>
        </w:rPr>
        <w:t xml:space="preserve">Thiết lập </w:t>
      </w:r>
      <w:r w:rsidR="003C0546" w:rsidRPr="006234AA">
        <w:rPr>
          <w:lang w:val="nl-NL"/>
        </w:rPr>
        <w:t>hệ thống giao thức điện tử</w:t>
      </w:r>
      <w:r w:rsidRPr="006234AA">
        <w:rPr>
          <w:lang w:val="nl-NL"/>
        </w:rPr>
        <w:t xml:space="preserve"> (ebanking)</w:t>
      </w:r>
      <w:r w:rsidR="003C0546" w:rsidRPr="006234AA">
        <w:rPr>
          <w:lang w:val="nl-NL"/>
        </w:rPr>
        <w:t xml:space="preserve"> để kịp thời cung cấp, đầy đủ và chính xác </w:t>
      </w:r>
      <w:r w:rsidRPr="006234AA">
        <w:rPr>
          <w:lang w:val="nl-NL"/>
        </w:rPr>
        <w:t xml:space="preserve">thông tin </w:t>
      </w:r>
      <w:r w:rsidR="003C0546" w:rsidRPr="006234AA">
        <w:rPr>
          <w:lang w:val="nl-NL"/>
        </w:rPr>
        <w:t>về mọi hoạt động trên tài khoản</w:t>
      </w:r>
      <w:r w:rsidRPr="006234AA">
        <w:rPr>
          <w:lang w:val="nl-NL"/>
        </w:rPr>
        <w:t xml:space="preserve"> của</w:t>
      </w:r>
      <w:r w:rsidR="003C0546" w:rsidRPr="006234AA">
        <w:rPr>
          <w:lang w:val="nl-NL"/>
        </w:rPr>
        <w:t xml:space="preserve"> nhà đầu tư. Ngay sau khi </w:t>
      </w:r>
      <w:r w:rsidRPr="006234AA">
        <w:rPr>
          <w:lang w:val="nl-NL"/>
        </w:rPr>
        <w:t xml:space="preserve">thực hiện </w:t>
      </w:r>
      <w:r w:rsidR="003C0546" w:rsidRPr="006234AA">
        <w:rPr>
          <w:lang w:val="nl-NL"/>
        </w:rPr>
        <w:t xml:space="preserve">giao dịch, </w:t>
      </w:r>
      <w:r w:rsidRPr="006234AA">
        <w:rPr>
          <w:lang w:val="nl-NL"/>
        </w:rPr>
        <w:t xml:space="preserve">ngân hàng có trách nhiệm </w:t>
      </w:r>
      <w:r w:rsidR="00B143AE" w:rsidRPr="006234AA">
        <w:rPr>
          <w:lang w:val="nl-NL"/>
        </w:rPr>
        <w:t xml:space="preserve">cập nhật trên hệ thống </w:t>
      </w:r>
      <w:r w:rsidR="002F1466" w:rsidRPr="006234AA">
        <w:rPr>
          <w:lang w:val="nl-NL"/>
        </w:rPr>
        <w:t xml:space="preserve">tài khoản ký quỹ của nhà đầu tư, </w:t>
      </w:r>
      <w:r w:rsidRPr="006234AA">
        <w:rPr>
          <w:lang w:val="nl-NL"/>
        </w:rPr>
        <w:t xml:space="preserve">cung cấp </w:t>
      </w:r>
      <w:r w:rsidR="003C0546" w:rsidRPr="006234AA">
        <w:rPr>
          <w:lang w:val="nl-NL"/>
        </w:rPr>
        <w:t>thông tin về giao dịch cho nhà đầu tư</w:t>
      </w:r>
      <w:r w:rsidRPr="006234AA">
        <w:rPr>
          <w:lang w:val="nl-NL"/>
        </w:rPr>
        <w:t>, trong đó</w:t>
      </w:r>
      <w:r w:rsidR="003C0546" w:rsidRPr="006234AA">
        <w:rPr>
          <w:lang w:val="nl-NL"/>
        </w:rPr>
        <w:t xml:space="preserve"> </w:t>
      </w:r>
      <w:r w:rsidRPr="006234AA">
        <w:rPr>
          <w:lang w:val="nl-NL"/>
        </w:rPr>
        <w:t>nêu rõ số tài khoản thanh toán và nhận thanh toán, mục đích,</w:t>
      </w:r>
      <w:r w:rsidR="003C0546" w:rsidRPr="006234AA">
        <w:rPr>
          <w:lang w:val="nl-NL"/>
        </w:rPr>
        <w:t xml:space="preserve"> thời gian, </w:t>
      </w:r>
      <w:r w:rsidRPr="006234AA">
        <w:rPr>
          <w:lang w:val="nl-NL"/>
        </w:rPr>
        <w:t>giá trị thanh toán, số dư sau khi thanh toán;</w:t>
      </w:r>
    </w:p>
    <w:p w:rsidR="00AC5759" w:rsidRPr="006234AA" w:rsidRDefault="00AC5759" w:rsidP="00AC5759">
      <w:pPr>
        <w:spacing w:after="120"/>
      </w:pPr>
      <w:r w:rsidRPr="006234AA">
        <w:rPr>
          <w:lang w:val="nl-NL"/>
        </w:rPr>
        <w:t xml:space="preserve">  d) </w:t>
      </w:r>
      <w:r w:rsidR="003C0546" w:rsidRPr="006234AA">
        <w:rPr>
          <w:lang w:val="nl-NL"/>
        </w:rPr>
        <w:t xml:space="preserve">Ngân hàng quản lý tài khoản có trách nhiệm cập nhật đầy đủ, kịp thời thông tin tài khoản cho </w:t>
      </w:r>
      <w:r w:rsidRPr="006234AA">
        <w:rPr>
          <w:lang w:val="nl-NL"/>
        </w:rPr>
        <w:t xml:space="preserve">nhà đầu tư, </w:t>
      </w:r>
      <w:r w:rsidR="003C0546" w:rsidRPr="006234AA">
        <w:rPr>
          <w:lang w:val="nl-NL"/>
        </w:rPr>
        <w:t>Trung tâm lưu ký chứng khoán, Ủy ban Chứng khoán Nhà nước theo yêu cầu</w:t>
      </w:r>
      <w:r w:rsidR="002F1466" w:rsidRPr="006234AA">
        <w:rPr>
          <w:lang w:val="nl-NL"/>
        </w:rPr>
        <w:t>.</w:t>
      </w:r>
    </w:p>
    <w:p w:rsidR="00A13B05" w:rsidRPr="006234AA" w:rsidRDefault="003C0546" w:rsidP="00AC5759">
      <w:pPr>
        <w:tabs>
          <w:tab w:val="left" w:pos="1134"/>
        </w:tabs>
        <w:spacing w:after="120"/>
        <w:ind w:firstLine="709"/>
        <w:rPr>
          <w:lang w:val="nl-NL"/>
        </w:rPr>
      </w:pPr>
      <w:r w:rsidRPr="006234AA">
        <w:t xml:space="preserve"> </w:t>
      </w:r>
      <w:r w:rsidR="00D844A7" w:rsidRPr="006234AA">
        <w:rPr>
          <w:lang w:val="nl-NL"/>
        </w:rPr>
        <w:t>8</w:t>
      </w:r>
      <w:r w:rsidR="00E0630D" w:rsidRPr="006234AA">
        <w:rPr>
          <w:lang w:val="nl-NL"/>
        </w:rPr>
        <w:t>.</w:t>
      </w:r>
      <w:r w:rsidR="00A13B05" w:rsidRPr="006234AA">
        <w:rPr>
          <w:lang w:val="nl-NL"/>
        </w:rPr>
        <w:t xml:space="preserve"> </w:t>
      </w:r>
      <w:r w:rsidR="00C97E72" w:rsidRPr="006234AA">
        <w:rPr>
          <w:lang w:val="nl-NL"/>
        </w:rPr>
        <w:t>Tài khoản tiền gửi ký quỹ</w:t>
      </w:r>
      <w:r w:rsidR="00A13B05" w:rsidRPr="006234AA">
        <w:rPr>
          <w:lang w:val="nl-NL"/>
        </w:rPr>
        <w:t xml:space="preserve"> là tài khoản chuyên dụng và chỉ phục vụ cho các hoạt động </w:t>
      </w:r>
      <w:r w:rsidR="00666F37" w:rsidRPr="006234AA">
        <w:rPr>
          <w:lang w:val="nl-NL"/>
        </w:rPr>
        <w:t xml:space="preserve">bù trừ, </w:t>
      </w:r>
      <w:r w:rsidR="00813DBA" w:rsidRPr="006234AA">
        <w:rPr>
          <w:lang w:val="nl-NL"/>
        </w:rPr>
        <w:t>thanh toán</w:t>
      </w:r>
      <w:r w:rsidR="00A13B05" w:rsidRPr="006234AA">
        <w:rPr>
          <w:lang w:val="nl-NL"/>
        </w:rPr>
        <w:t xml:space="preserve"> giao dịch</w:t>
      </w:r>
      <w:r w:rsidR="00DC5F82" w:rsidRPr="006234AA">
        <w:rPr>
          <w:lang w:val="nl-NL"/>
        </w:rPr>
        <w:t xml:space="preserve"> chứng khoán</w:t>
      </w:r>
      <w:r w:rsidR="00A13B05" w:rsidRPr="006234AA">
        <w:rPr>
          <w:lang w:val="nl-NL"/>
        </w:rPr>
        <w:t xml:space="preserve"> phái sinh của </w:t>
      </w:r>
      <w:r w:rsidR="00FE7773" w:rsidRPr="006234AA">
        <w:rPr>
          <w:lang w:val="nl-NL"/>
        </w:rPr>
        <w:t>nhà đầu tư</w:t>
      </w:r>
      <w:r w:rsidR="00D844A7" w:rsidRPr="006234AA">
        <w:rPr>
          <w:lang w:val="nl-NL"/>
        </w:rPr>
        <w:t>. Ngoại trừ các giao dịch dưới đây, tài khoản tiền gửi ký quỹ không được thực hiện bất cứ giao dịch nào khác</w:t>
      </w:r>
      <w:r w:rsidR="00E0630D" w:rsidRPr="006234AA">
        <w:rPr>
          <w:lang w:val="nl-NL"/>
        </w:rPr>
        <w:t>:</w:t>
      </w:r>
    </w:p>
    <w:p w:rsidR="00A3765F" w:rsidRPr="006234AA" w:rsidRDefault="00E0630D" w:rsidP="003C0546">
      <w:pPr>
        <w:spacing w:after="120"/>
        <w:rPr>
          <w:lang w:val="nl-NL"/>
        </w:rPr>
      </w:pPr>
      <w:r w:rsidRPr="006234AA">
        <w:rPr>
          <w:lang w:val="nl-NL"/>
        </w:rPr>
        <w:t>a)</w:t>
      </w:r>
      <w:r w:rsidR="00A13B05" w:rsidRPr="006234AA">
        <w:rPr>
          <w:lang w:val="nl-NL"/>
        </w:rPr>
        <w:t xml:space="preserve"> Tiếp nhận các khoản bảo đảm thanh toán, tiền gửi ký quỹ, tiền gửi bổ sung ký quỹ dưới hình thức chuyển khoản</w:t>
      </w:r>
      <w:r w:rsidR="00A3765F" w:rsidRPr="006234AA">
        <w:rPr>
          <w:lang w:val="nl-NL"/>
        </w:rPr>
        <w:t>;</w:t>
      </w:r>
      <w:r w:rsidR="00430571" w:rsidRPr="006234AA">
        <w:rPr>
          <w:lang w:val="nl-NL"/>
        </w:rPr>
        <w:t xml:space="preserve"> chi trả </w:t>
      </w:r>
      <w:r w:rsidR="00C13A2D" w:rsidRPr="006234AA">
        <w:rPr>
          <w:lang w:val="nl-NL"/>
        </w:rPr>
        <w:t xml:space="preserve">trong trường hợp </w:t>
      </w:r>
      <w:r w:rsidR="00430571" w:rsidRPr="006234AA">
        <w:rPr>
          <w:lang w:val="nl-NL"/>
        </w:rPr>
        <w:t xml:space="preserve">nhà đầu tư rút bớt </w:t>
      </w:r>
      <w:r w:rsidR="00C13A2D" w:rsidRPr="006234AA">
        <w:rPr>
          <w:lang w:val="nl-NL"/>
        </w:rPr>
        <w:t xml:space="preserve">phần </w:t>
      </w:r>
      <w:r w:rsidR="00430571" w:rsidRPr="006234AA">
        <w:rPr>
          <w:lang w:val="nl-NL"/>
        </w:rPr>
        <w:t>tài sản ký quỹ</w:t>
      </w:r>
      <w:r w:rsidR="00C13A2D" w:rsidRPr="006234AA">
        <w:rPr>
          <w:lang w:val="nl-NL"/>
        </w:rPr>
        <w:t xml:space="preserve"> vượt mức yêu cầu của thành viên bù trừ;</w:t>
      </w:r>
    </w:p>
    <w:p w:rsidR="00A13B05" w:rsidRPr="006234AA" w:rsidRDefault="00A3765F" w:rsidP="000D1B14">
      <w:pPr>
        <w:spacing w:after="120"/>
        <w:rPr>
          <w:lang w:val="nl-NL"/>
        </w:rPr>
      </w:pPr>
      <w:r w:rsidRPr="006234AA">
        <w:rPr>
          <w:lang w:val="nl-NL"/>
        </w:rPr>
        <w:t>b) T</w:t>
      </w:r>
      <w:r w:rsidR="00A13B05" w:rsidRPr="006234AA">
        <w:rPr>
          <w:lang w:val="nl-NL"/>
        </w:rPr>
        <w:t>iếp nhận lãi suất tiền gửi</w:t>
      </w:r>
      <w:r w:rsidR="00430571" w:rsidRPr="006234AA">
        <w:rPr>
          <w:lang w:val="nl-NL"/>
        </w:rPr>
        <w:t xml:space="preserve">, </w:t>
      </w:r>
      <w:r w:rsidR="000D1B14" w:rsidRPr="006234AA">
        <w:rPr>
          <w:lang w:val="nl-NL"/>
        </w:rPr>
        <w:t xml:space="preserve">hạch toán </w:t>
      </w:r>
      <w:r w:rsidR="00430571" w:rsidRPr="006234AA">
        <w:rPr>
          <w:lang w:val="nl-NL"/>
        </w:rPr>
        <w:t>lãi</w:t>
      </w:r>
      <w:r w:rsidR="000D1B14" w:rsidRPr="006234AA">
        <w:rPr>
          <w:lang w:val="nl-NL"/>
        </w:rPr>
        <w:t xml:space="preserve"> lỗi</w:t>
      </w:r>
      <w:r w:rsidR="00430571" w:rsidRPr="006234AA">
        <w:rPr>
          <w:lang w:val="nl-NL"/>
        </w:rPr>
        <w:t xml:space="preserve"> vị thế hàng ngày do thành viên bù trừ </w:t>
      </w:r>
      <w:r w:rsidR="000D1B14" w:rsidRPr="006234AA">
        <w:rPr>
          <w:lang w:val="nl-NL"/>
        </w:rPr>
        <w:t>thực hiện</w:t>
      </w:r>
      <w:r w:rsidRPr="006234AA">
        <w:rPr>
          <w:lang w:val="nl-NL"/>
        </w:rPr>
        <w:t xml:space="preserve">. Mọi lợi nhuận phát sinh trên tài khoản này phải được hạch </w:t>
      </w:r>
      <w:r w:rsidRPr="006234AA">
        <w:rPr>
          <w:lang w:val="nl-NL"/>
        </w:rPr>
        <w:lastRenderedPageBreak/>
        <w:t xml:space="preserve">toán đầy đủ, kịp thời, chính xác. Lãi suất tiền gửi thực hiện theo </w:t>
      </w:r>
      <w:r w:rsidR="00430571" w:rsidRPr="006234AA">
        <w:rPr>
          <w:lang w:val="nl-NL"/>
        </w:rPr>
        <w:t xml:space="preserve">thỏa thuận với </w:t>
      </w:r>
      <w:r w:rsidR="00AC5759" w:rsidRPr="006234AA">
        <w:rPr>
          <w:lang w:val="nl-NL"/>
        </w:rPr>
        <w:t>ngân hàng quản lý tài khoản;</w:t>
      </w:r>
    </w:p>
    <w:p w:rsidR="00A3765F" w:rsidRPr="006234AA" w:rsidRDefault="00430571" w:rsidP="000D1B14">
      <w:pPr>
        <w:spacing w:after="120"/>
        <w:rPr>
          <w:lang w:val="nl-NL"/>
        </w:rPr>
      </w:pPr>
      <w:r w:rsidRPr="006234AA">
        <w:rPr>
          <w:lang w:val="nl-NL"/>
        </w:rPr>
        <w:t>c</w:t>
      </w:r>
      <w:r w:rsidR="00A3765F" w:rsidRPr="006234AA">
        <w:rPr>
          <w:lang w:val="nl-NL"/>
        </w:rPr>
        <w:t xml:space="preserve">) </w:t>
      </w:r>
      <w:r w:rsidR="000D1B14" w:rsidRPr="006234AA">
        <w:rPr>
          <w:lang w:val="nl-NL"/>
        </w:rPr>
        <w:t>Tiếp nhận thanh toán hoặc thanh toán từ hoạt động thanh lý vị thế, đóng vị thế; c</w:t>
      </w:r>
      <w:r w:rsidR="00C13A2D" w:rsidRPr="006234AA">
        <w:rPr>
          <w:lang w:val="nl-NL"/>
        </w:rPr>
        <w:t>hi mua tài sản cơ sở để chuyển giao hoặc t</w:t>
      </w:r>
      <w:r w:rsidRPr="006234AA">
        <w:rPr>
          <w:lang w:val="nl-NL"/>
        </w:rPr>
        <w:t>hực hiện các biện pháp hỗ trợ thanh toán trong trường hợp nhà đầu tư mất khả năng thanh toán;</w:t>
      </w:r>
    </w:p>
    <w:p w:rsidR="005917D5" w:rsidRPr="006234AA" w:rsidRDefault="009576A0" w:rsidP="006E539B">
      <w:pPr>
        <w:spacing w:after="120"/>
        <w:rPr>
          <w:lang w:val="nl-NL"/>
        </w:rPr>
      </w:pPr>
      <w:r w:rsidRPr="006234AA">
        <w:rPr>
          <w:lang w:val="nl-NL"/>
        </w:rPr>
        <w:t xml:space="preserve"> </w:t>
      </w:r>
      <w:r w:rsidR="00D844A7" w:rsidRPr="006234AA">
        <w:rPr>
          <w:lang w:val="nl-NL"/>
        </w:rPr>
        <w:t>9</w:t>
      </w:r>
      <w:r w:rsidR="006E539B" w:rsidRPr="006234AA">
        <w:rPr>
          <w:lang w:val="nl-NL"/>
        </w:rPr>
        <w:t xml:space="preserve">. </w:t>
      </w:r>
      <w:r w:rsidR="00837AE6" w:rsidRPr="006234AA">
        <w:t xml:space="preserve">Trường hợp </w:t>
      </w:r>
      <w:r w:rsidR="00D3367C" w:rsidRPr="006234AA">
        <w:t xml:space="preserve">tài sản ký quỹ là </w:t>
      </w:r>
      <w:r w:rsidR="00C22194" w:rsidRPr="006234AA">
        <w:t>chứng khoán</w:t>
      </w:r>
      <w:r w:rsidR="00837AE6" w:rsidRPr="006234AA">
        <w:t xml:space="preserve">, </w:t>
      </w:r>
      <w:r w:rsidR="00D3367C" w:rsidRPr="006234AA">
        <w:t>thành viên bù trừ quản lý tài sản này ngay trên tài khoản lưu ký của nhà đầu tư tại Trung tâm Lưu ký chứng khoán Việt Nam. V</w:t>
      </w:r>
      <w:r w:rsidR="005917D5" w:rsidRPr="006234AA">
        <w:t>iệc quản lý chứng khoán ký quỹ thực hiện theo quy định sau:</w:t>
      </w:r>
    </w:p>
    <w:p w:rsidR="005917D5" w:rsidRPr="006234AA" w:rsidRDefault="005917D5" w:rsidP="00D36937">
      <w:pPr>
        <w:pStyle w:val="ListParagraph"/>
        <w:numPr>
          <w:ilvl w:val="0"/>
          <w:numId w:val="53"/>
        </w:numPr>
        <w:tabs>
          <w:tab w:val="left" w:pos="990"/>
        </w:tabs>
        <w:spacing w:after="120"/>
        <w:ind w:left="0" w:firstLine="630"/>
      </w:pPr>
      <w:r w:rsidRPr="006234AA">
        <w:t xml:space="preserve">Chứng khoán ký quỹ phải được đăng ký, lưu ký tập trung và được phong tỏa trên tài khoản theo quy chế của Trung tâm Lưu ký chứng khoán; </w:t>
      </w:r>
    </w:p>
    <w:p w:rsidR="005917D5" w:rsidRPr="006234AA" w:rsidRDefault="005917D5" w:rsidP="00D36937">
      <w:pPr>
        <w:pStyle w:val="ListParagraph"/>
        <w:numPr>
          <w:ilvl w:val="0"/>
          <w:numId w:val="53"/>
        </w:numPr>
        <w:tabs>
          <w:tab w:val="left" w:pos="990"/>
        </w:tabs>
        <w:spacing w:after="120"/>
        <w:ind w:left="0" w:firstLine="630"/>
      </w:pPr>
      <w:r w:rsidRPr="006234AA">
        <w:t>T</w:t>
      </w:r>
      <w:r w:rsidR="00837AE6" w:rsidRPr="006234AA">
        <w:t xml:space="preserve">hành viên bù trừ </w:t>
      </w:r>
      <w:r w:rsidRPr="006234AA">
        <w:t>phải</w:t>
      </w:r>
      <w:r w:rsidR="00837AE6" w:rsidRPr="006234AA">
        <w:t xml:space="preserve"> cung cấp </w:t>
      </w:r>
      <w:r w:rsidRPr="006234AA">
        <w:t xml:space="preserve">cho Trung tâm Lưu ký chứng khoán </w:t>
      </w:r>
      <w:r w:rsidR="00837AE6" w:rsidRPr="006234AA">
        <w:t xml:space="preserve">giấy đề nghị phong tỏa tài sản ký quỹ của khách hàng theo mẫu quy định tại Phụ lục số....Thông tư này, kèm theo thông tin </w:t>
      </w:r>
      <w:r w:rsidRPr="006234AA">
        <w:t>nhận diện</w:t>
      </w:r>
      <w:r w:rsidR="00837AE6" w:rsidRPr="006234AA">
        <w:t xml:space="preserve"> </w:t>
      </w:r>
      <w:r w:rsidRPr="006234AA">
        <w:t>nhà đầu tư</w:t>
      </w:r>
      <w:r w:rsidR="00837AE6" w:rsidRPr="006234AA">
        <w:t xml:space="preserve">, </w:t>
      </w:r>
      <w:r w:rsidRPr="006234AA">
        <w:t xml:space="preserve">mã số định danh, số tài khoản giao dịch chứng khoán phái sinh, số tài khoản ký quỹ, </w:t>
      </w:r>
      <w:r w:rsidR="00837AE6" w:rsidRPr="006234AA">
        <w:t xml:space="preserve">số tài khoản lưu ký của khách hàng và chi tiết danh mục tài sản ký quỹ trên từng tài khoản thế chấp. Giấy đề nghị này phải được ký </w:t>
      </w:r>
      <w:r w:rsidRPr="006234AA">
        <w:t>giữa</w:t>
      </w:r>
      <w:r w:rsidR="00837AE6" w:rsidRPr="006234AA">
        <w:t xml:space="preserve"> chủ tài khoản</w:t>
      </w:r>
      <w:r w:rsidRPr="006234AA">
        <w:t xml:space="preserve"> (nhà đầu tư),</w:t>
      </w:r>
      <w:r w:rsidR="00837AE6" w:rsidRPr="006234AA">
        <w:t xml:space="preserve"> thành viên lưu ký, thành viên bù trừ</w:t>
      </w:r>
      <w:r w:rsidRPr="006234AA">
        <w:t>, trong đó nêu rõ nhà đầu tư ủy quyền cho thành viên bù trừ, Trung tâm lưu ký chứng khoán quyền sử dụng, quyền được chuyển nhượng, chuyển giao cho bên thứ ba tài sản ký quỹ để hỗ trợ thanh toán, bù đắp thiệt hại cho vị thế mở của nhà đầu tư trong trường hợp nhà đầu tư mất khả năng thanh toán;</w:t>
      </w:r>
    </w:p>
    <w:p w:rsidR="005917D5" w:rsidRPr="006234AA" w:rsidRDefault="005917D5" w:rsidP="00D36937">
      <w:pPr>
        <w:pStyle w:val="ListParagraph"/>
        <w:numPr>
          <w:ilvl w:val="0"/>
          <w:numId w:val="53"/>
        </w:numPr>
        <w:tabs>
          <w:tab w:val="left" w:pos="990"/>
        </w:tabs>
        <w:spacing w:after="120"/>
        <w:ind w:left="0" w:firstLine="630"/>
      </w:pPr>
      <w:r w:rsidRPr="006234AA">
        <w:t xml:space="preserve"> Nhà đầu tư không được chuyển nhượng, cho, tặng, thế chấp, cầm cố, ký quỹ, ký cược, đăng ký tài sản bảo đảm hoặc sử dụng các tài sản ký quỹ vào các mục đích khác; </w:t>
      </w:r>
    </w:p>
    <w:p w:rsidR="005917D5" w:rsidRPr="006234AA" w:rsidRDefault="005917D5" w:rsidP="00D36937">
      <w:pPr>
        <w:pStyle w:val="ListParagraph"/>
        <w:numPr>
          <w:ilvl w:val="0"/>
          <w:numId w:val="53"/>
        </w:numPr>
        <w:tabs>
          <w:tab w:val="left" w:pos="990"/>
        </w:tabs>
        <w:spacing w:after="120"/>
        <w:ind w:left="0" w:firstLine="630"/>
      </w:pPr>
      <w:r w:rsidRPr="006234AA">
        <w:t>Ngoại trừ quy định tại Điểm c Khoản này, nhà đầu tư được nhận cổ tức, cổ phiếu thưởng, trái tức, được mua cổ phiếu thưởng, cổ phiếu ưu đãi, được tham dự, ứng cử, đề cử, biểu quyết tại đại hội đồng cổ đông và thực hiện các quyền, nghĩa vụ cổ đông khác theo quy định của pháp luật về doanh nghiệp và chứng khoán;</w:t>
      </w:r>
    </w:p>
    <w:p w:rsidR="005917D5" w:rsidRPr="006234AA" w:rsidRDefault="005917D5" w:rsidP="005917D5">
      <w:pPr>
        <w:tabs>
          <w:tab w:val="left" w:pos="990"/>
        </w:tabs>
        <w:spacing w:after="120"/>
        <w:ind w:firstLine="720"/>
      </w:pPr>
      <w:r w:rsidRPr="006234AA">
        <w:t xml:space="preserve">đ)  Nhà đầu tư có quyền yêu cầu chấm dứt phong tỏa hoặc thay đổi hoặc yêu cầu rút bớt chứng khoán ký quỹ trong trường hợp số dư tài khoản ký quỹ vượt quá mức ký quỹ duy trì theo yêu cầu của thành viên bù trừ. </w:t>
      </w:r>
      <w:r w:rsidR="00D3367C" w:rsidRPr="006234AA">
        <w:t xml:space="preserve">Việc chấm dứt phong tỏa, </w:t>
      </w:r>
      <w:r w:rsidR="00D3367C" w:rsidRPr="006234AA">
        <w:rPr>
          <w:lang w:val="nl-NL"/>
        </w:rPr>
        <w:t xml:space="preserve">điều chỉnh </w:t>
      </w:r>
      <w:r w:rsidRPr="006234AA">
        <w:rPr>
          <w:lang w:val="nl-NL"/>
        </w:rPr>
        <w:t xml:space="preserve">danh mục </w:t>
      </w:r>
      <w:r w:rsidR="00D3367C" w:rsidRPr="006234AA">
        <w:rPr>
          <w:lang w:val="nl-NL"/>
        </w:rPr>
        <w:t>chứng khoán</w:t>
      </w:r>
      <w:r w:rsidRPr="006234AA">
        <w:rPr>
          <w:lang w:val="nl-NL"/>
        </w:rPr>
        <w:t xml:space="preserve"> ký quỹ </w:t>
      </w:r>
      <w:r w:rsidR="00D3367C" w:rsidRPr="006234AA">
        <w:rPr>
          <w:lang w:val="nl-NL"/>
        </w:rPr>
        <w:t>thực hiện theo</w:t>
      </w:r>
      <w:r w:rsidR="00560248" w:rsidRPr="006234AA">
        <w:rPr>
          <w:lang w:val="nl-NL"/>
        </w:rPr>
        <w:t xml:space="preserve"> hướng dẫn của thành viên bù trừ và</w:t>
      </w:r>
      <w:r w:rsidR="00D3367C" w:rsidRPr="006234AA">
        <w:rPr>
          <w:lang w:val="nl-NL"/>
        </w:rPr>
        <w:t xml:space="preserve"> quy chế của</w:t>
      </w:r>
      <w:r w:rsidRPr="006234AA">
        <w:rPr>
          <w:lang w:val="nl-NL"/>
        </w:rPr>
        <w:t xml:space="preserve"> Trung tâm lưu ký chứng khoán.</w:t>
      </w:r>
    </w:p>
    <w:p w:rsidR="00D3367C" w:rsidRPr="006234AA" w:rsidRDefault="00D844A7" w:rsidP="00D3367C">
      <w:pPr>
        <w:spacing w:after="120"/>
        <w:rPr>
          <w:lang w:val="nl-NL"/>
        </w:rPr>
      </w:pPr>
      <w:r w:rsidRPr="006234AA">
        <w:rPr>
          <w:lang w:val="nl-NL"/>
        </w:rPr>
        <w:t xml:space="preserve"> 10</w:t>
      </w:r>
      <w:r w:rsidR="00D3367C" w:rsidRPr="006234AA">
        <w:rPr>
          <w:lang w:val="nl-NL"/>
        </w:rPr>
        <w:t xml:space="preserve">. </w:t>
      </w:r>
      <w:r w:rsidR="00D3367C" w:rsidRPr="006234AA">
        <w:t xml:space="preserve">Tài sản ký quỹ của nhà đầu tư được thành viên bù trừ sử dụng cho các mục đích sau: </w:t>
      </w:r>
    </w:p>
    <w:p w:rsidR="00D3367C" w:rsidRPr="006234AA" w:rsidRDefault="00AC09C3" w:rsidP="00D3367C">
      <w:pPr>
        <w:spacing w:after="120"/>
        <w:rPr>
          <w:lang w:val="nl-NL"/>
        </w:rPr>
      </w:pPr>
      <w:r w:rsidRPr="006234AA">
        <w:rPr>
          <w:lang w:val="nl-NL"/>
        </w:rPr>
        <w:t xml:space="preserve"> </w:t>
      </w:r>
      <w:r w:rsidR="00D3367C" w:rsidRPr="006234AA">
        <w:rPr>
          <w:lang w:val="nl-NL"/>
        </w:rPr>
        <w:t>a) Ký quỹ với Trung tâm lưu ký chứng khoán cho các vị thế mở của nhà đầu tư đứng tên thành viên bù trừ  theo nguyên tắc tài sản của nhà đầu tư nào thì ký quỹ cho vị thế mở của nhà đầu tư đó</w:t>
      </w:r>
      <w:r w:rsidR="00F4750E" w:rsidRPr="006234AA">
        <w:rPr>
          <w:lang w:val="nl-NL"/>
        </w:rPr>
        <w:t xml:space="preserve">, không được ký quỹ cho vị thế mở của </w:t>
      </w:r>
      <w:r w:rsidR="00F4750E" w:rsidRPr="006234AA">
        <w:rPr>
          <w:lang w:val="nl-NL"/>
        </w:rPr>
        <w:lastRenderedPageBreak/>
        <w:t>nhà đầu tư khác hoặc cho vị thế mở trên tài khoản giao dịch khác</w:t>
      </w:r>
      <w:r w:rsidR="00372020" w:rsidRPr="006234AA">
        <w:rPr>
          <w:lang w:val="nl-NL"/>
        </w:rPr>
        <w:t>; không được ký quỹ cho vị thế tự doanh, tạo lập thị trường của</w:t>
      </w:r>
      <w:r w:rsidR="00D3367C" w:rsidRPr="006234AA">
        <w:rPr>
          <w:lang w:val="nl-NL"/>
        </w:rPr>
        <w:t xml:space="preserve"> thành viên bù trừ;</w:t>
      </w:r>
    </w:p>
    <w:p w:rsidR="00AC09C3" w:rsidRPr="006234AA" w:rsidRDefault="00AC09C3" w:rsidP="00D3367C">
      <w:pPr>
        <w:spacing w:after="120"/>
        <w:rPr>
          <w:lang w:val="nl-NL"/>
        </w:rPr>
      </w:pPr>
      <w:r w:rsidRPr="006234AA">
        <w:rPr>
          <w:lang w:val="nl-NL"/>
        </w:rPr>
        <w:t xml:space="preserve"> </w:t>
      </w:r>
      <w:r w:rsidR="00D3367C" w:rsidRPr="006234AA">
        <w:rPr>
          <w:lang w:val="nl-NL"/>
        </w:rPr>
        <w:t xml:space="preserve">b) Được sử dụng, mua hoặc bán, chuyển giao hoặc làm tài sản bảo đảm cho khoản vay </w:t>
      </w:r>
      <w:r w:rsidRPr="006234AA">
        <w:rPr>
          <w:lang w:val="nl-NL"/>
        </w:rPr>
        <w:t xml:space="preserve">hoặc các hình thức khác theo hợp đồng mở tài khoản giao dịch </w:t>
      </w:r>
      <w:r w:rsidR="00D3367C" w:rsidRPr="006234AA">
        <w:rPr>
          <w:lang w:val="nl-NL"/>
        </w:rPr>
        <w:t xml:space="preserve">để thực hiện các nghĩa vụ thanh toán đối với các vị thế mở của nhà đầu tư trong trường hợp nhà đầu tư mất khả năng thanh toán theo quy định tại Khoản </w:t>
      </w:r>
      <w:r w:rsidR="006E539B" w:rsidRPr="006234AA">
        <w:rPr>
          <w:lang w:val="nl-NL"/>
        </w:rPr>
        <w:t>1</w:t>
      </w:r>
      <w:r w:rsidR="00D3367C" w:rsidRPr="006234AA">
        <w:rPr>
          <w:lang w:val="nl-NL"/>
        </w:rPr>
        <w:t xml:space="preserve"> Điều</w:t>
      </w:r>
      <w:r w:rsidR="003976B7" w:rsidRPr="006234AA">
        <w:rPr>
          <w:lang w:val="nl-NL"/>
        </w:rPr>
        <w:t xml:space="preserve"> 56 Thông tư</w:t>
      </w:r>
      <w:r w:rsidR="00D3367C" w:rsidRPr="006234AA">
        <w:rPr>
          <w:lang w:val="nl-NL"/>
        </w:rPr>
        <w:t xml:space="preserve"> này</w:t>
      </w:r>
      <w:r w:rsidRPr="006234AA">
        <w:rPr>
          <w:lang w:val="nl-NL"/>
        </w:rPr>
        <w:t>;</w:t>
      </w:r>
    </w:p>
    <w:p w:rsidR="00D3367C" w:rsidRPr="006234AA" w:rsidRDefault="00AC09C3" w:rsidP="00D3367C">
      <w:pPr>
        <w:spacing w:after="120"/>
        <w:rPr>
          <w:lang w:val="nl-NL"/>
        </w:rPr>
      </w:pPr>
      <w:r w:rsidRPr="006234AA">
        <w:rPr>
          <w:lang w:val="nl-NL"/>
        </w:rPr>
        <w:t xml:space="preserve"> c) Hoàn trả nhà đầu tư trong trường hợp</w:t>
      </w:r>
      <w:r w:rsidR="00F4750E" w:rsidRPr="006234AA">
        <w:rPr>
          <w:lang w:val="nl-NL"/>
        </w:rPr>
        <w:t xml:space="preserve"> giá trị tài sản ký quỹ vượt quá mức yêu cầu hoặc nhà đầu tư</w:t>
      </w:r>
      <w:r w:rsidRPr="006234AA">
        <w:rPr>
          <w:lang w:val="nl-NL"/>
        </w:rPr>
        <w:t xml:space="preserve"> đóng tài khoản giao dịch;</w:t>
      </w:r>
      <w:r w:rsidR="006A6F36" w:rsidRPr="006234AA">
        <w:rPr>
          <w:lang w:val="nl-NL"/>
        </w:rPr>
        <w:t xml:space="preserve"> </w:t>
      </w:r>
    </w:p>
    <w:p w:rsidR="00F4750E" w:rsidRPr="006234AA" w:rsidRDefault="00D844A7" w:rsidP="00F4750E">
      <w:pPr>
        <w:spacing w:after="120"/>
        <w:rPr>
          <w:lang w:val="nl-NL"/>
        </w:rPr>
      </w:pPr>
      <w:r w:rsidRPr="006234AA">
        <w:rPr>
          <w:lang w:val="nl-NL"/>
        </w:rPr>
        <w:t>1</w:t>
      </w:r>
      <w:r w:rsidR="003976B7" w:rsidRPr="006234AA">
        <w:rPr>
          <w:lang w:val="nl-NL"/>
        </w:rPr>
        <w:t>1</w:t>
      </w:r>
      <w:r w:rsidR="00F4750E" w:rsidRPr="006234AA">
        <w:rPr>
          <w:lang w:val="nl-NL"/>
        </w:rPr>
        <w:t>. Trong trường hợp nhà đầu tư mất khả năng thanh toán, thành viên bù trừ được sử dụng tài sản ký quỹ mà không cần sự chấp thuận của nhà đầu tư. Trường hợp nhà đầu tư là đối tượng phải báo cáo, công bố thông tin về giao dịch theo quy định của pháp luật chứng khoán về công bố thông tin áp dụng cho cổ đông lớn, cổ đông nội bộ và người có liên quan, trước và sau khi thực hiện lệnh bán giải chấp tài sản ký quỹ, thành viên bù trừ có trách nhiệm thay mặt nhà đầu tư thực hiện nghĩa vụ báo cáo, công bố thông tin theo quy định của pháp luật.</w:t>
      </w:r>
    </w:p>
    <w:p w:rsidR="00F4750E" w:rsidRPr="006234AA" w:rsidRDefault="00D844A7" w:rsidP="00F4750E">
      <w:pPr>
        <w:pStyle w:val="NormalWeb"/>
        <w:shd w:val="clear" w:color="auto" w:fill="FFFFFF"/>
        <w:spacing w:before="120" w:beforeAutospacing="0" w:after="120" w:afterAutospacing="0"/>
        <w:rPr>
          <w:lang w:val="vi-VN" w:eastAsia="vi-VN"/>
        </w:rPr>
      </w:pPr>
      <w:r w:rsidRPr="006234AA">
        <w:rPr>
          <w:lang w:val="nl-NL"/>
        </w:rPr>
        <w:t>1</w:t>
      </w:r>
      <w:r w:rsidR="003976B7" w:rsidRPr="006234AA">
        <w:rPr>
          <w:lang w:val="nl-NL"/>
        </w:rPr>
        <w:t>2</w:t>
      </w:r>
      <w:r w:rsidR="00F4750E" w:rsidRPr="006234AA">
        <w:rPr>
          <w:lang w:val="nl-NL"/>
        </w:rPr>
        <w:t xml:space="preserve">. </w:t>
      </w:r>
      <w:bookmarkStart w:id="206" w:name="cumtu_9"/>
      <w:r w:rsidR="00F4750E" w:rsidRPr="006234AA">
        <w:rPr>
          <w:lang w:val="nl-NL"/>
        </w:rPr>
        <w:t>Sau khi xử lý tài sản ký quỹ, thành viên bù trừ phải thông báo ngay bằng văn bản cho nhà đầu tư biết về việc xử lý tài sản ký quỹ</w:t>
      </w:r>
      <w:bookmarkEnd w:id="206"/>
      <w:r w:rsidR="00F4750E" w:rsidRPr="006234AA">
        <w:rPr>
          <w:lang w:val="nl-NL"/>
        </w:rPr>
        <w:t>, bao gồm</w:t>
      </w:r>
      <w:r w:rsidR="00F4750E" w:rsidRPr="006234AA">
        <w:rPr>
          <w:lang w:val="vi-VN" w:eastAsia="vi-VN"/>
        </w:rPr>
        <w:t xml:space="preserve"> </w:t>
      </w:r>
      <w:r w:rsidR="00F4750E" w:rsidRPr="006234AA">
        <w:rPr>
          <w:lang w:val="nl-NL" w:eastAsia="vi-VN"/>
        </w:rPr>
        <w:t>các</w:t>
      </w:r>
      <w:r w:rsidR="00F4750E" w:rsidRPr="006234AA">
        <w:rPr>
          <w:lang w:val="vi-VN" w:eastAsia="vi-VN"/>
        </w:rPr>
        <w:t xml:space="preserve"> nội dung chủ yếu sau đây:</w:t>
      </w:r>
    </w:p>
    <w:p w:rsidR="00F4750E" w:rsidRPr="006234AA" w:rsidRDefault="00F4750E" w:rsidP="00F4750E">
      <w:pPr>
        <w:shd w:val="clear" w:color="auto" w:fill="FFFFFF"/>
        <w:spacing w:after="120"/>
        <w:rPr>
          <w:lang w:val="vi-VN" w:eastAsia="vi-VN"/>
        </w:rPr>
      </w:pPr>
      <w:r w:rsidRPr="006234AA">
        <w:rPr>
          <w:lang w:val="vi-VN" w:eastAsia="vi-VN"/>
        </w:rPr>
        <w:t> </w:t>
      </w:r>
      <w:r w:rsidRPr="006234AA">
        <w:rPr>
          <w:lang w:val="nl-NL" w:eastAsia="vi-VN"/>
        </w:rPr>
        <w:t xml:space="preserve"> </w:t>
      </w:r>
      <w:r w:rsidRPr="006234AA">
        <w:rPr>
          <w:lang w:val="vi-VN" w:eastAsia="vi-VN"/>
        </w:rPr>
        <w:t>a) Lý do xử lý tài sản;</w:t>
      </w:r>
    </w:p>
    <w:p w:rsidR="00F4750E" w:rsidRPr="006234AA" w:rsidRDefault="00F4750E" w:rsidP="00F4750E">
      <w:pPr>
        <w:shd w:val="clear" w:color="auto" w:fill="FFFFFF"/>
        <w:spacing w:after="120"/>
        <w:ind w:firstLine="0"/>
        <w:rPr>
          <w:lang w:eastAsia="vi-VN"/>
        </w:rPr>
      </w:pPr>
      <w:r w:rsidRPr="006234AA">
        <w:rPr>
          <w:lang w:val="vi-VN" w:eastAsia="vi-VN"/>
        </w:rPr>
        <w:t>    </w:t>
      </w:r>
      <w:r w:rsidRPr="006234AA">
        <w:rPr>
          <w:lang w:eastAsia="vi-VN"/>
        </w:rPr>
        <w:tab/>
      </w:r>
      <w:r w:rsidRPr="006234AA">
        <w:rPr>
          <w:lang w:val="vi-VN" w:eastAsia="vi-VN"/>
        </w:rPr>
        <w:t>b) Nghĩa vụ</w:t>
      </w:r>
      <w:r w:rsidRPr="006234AA">
        <w:rPr>
          <w:lang w:eastAsia="vi-VN"/>
        </w:rPr>
        <w:t xml:space="preserve"> (giá trị)</w:t>
      </w:r>
      <w:r w:rsidRPr="006234AA">
        <w:rPr>
          <w:lang w:val="vi-VN" w:eastAsia="vi-VN"/>
        </w:rPr>
        <w:t xml:space="preserve"> </w:t>
      </w:r>
      <w:r w:rsidRPr="006234AA">
        <w:rPr>
          <w:lang w:eastAsia="vi-VN"/>
        </w:rPr>
        <w:t>thanh toán, nguyên nhân</w:t>
      </w:r>
    </w:p>
    <w:p w:rsidR="00F4750E" w:rsidRPr="006234AA" w:rsidRDefault="00F4750E" w:rsidP="00F4750E">
      <w:pPr>
        <w:shd w:val="clear" w:color="auto" w:fill="FFFFFF"/>
        <w:spacing w:after="120"/>
        <w:ind w:firstLine="0"/>
        <w:rPr>
          <w:lang w:val="vi-VN" w:eastAsia="vi-VN"/>
        </w:rPr>
      </w:pPr>
      <w:r w:rsidRPr="006234AA">
        <w:rPr>
          <w:lang w:eastAsia="vi-VN"/>
        </w:rPr>
        <w:t xml:space="preserve">      </w:t>
      </w:r>
      <w:r w:rsidRPr="006234AA">
        <w:rPr>
          <w:lang w:val="vi-VN" w:eastAsia="vi-VN"/>
        </w:rPr>
        <w:t>    c) Tài sản đã xử lý, giá trị;</w:t>
      </w:r>
    </w:p>
    <w:p w:rsidR="00F4750E" w:rsidRPr="006234AA" w:rsidRDefault="00F4750E" w:rsidP="00F4750E">
      <w:pPr>
        <w:shd w:val="clear" w:color="auto" w:fill="FFFFFF"/>
        <w:spacing w:after="120"/>
        <w:ind w:firstLine="0"/>
        <w:rPr>
          <w:lang w:val="vi-VN" w:eastAsia="vi-VN"/>
        </w:rPr>
      </w:pPr>
      <w:r w:rsidRPr="006234AA">
        <w:rPr>
          <w:lang w:val="vi-VN" w:eastAsia="vi-VN"/>
        </w:rPr>
        <w:t xml:space="preserve">          d) Phương thức, thời gian xử lý tài sản ký quỹ.</w:t>
      </w:r>
    </w:p>
    <w:p w:rsidR="00C22194" w:rsidRPr="006234AA" w:rsidRDefault="00D844A7" w:rsidP="00C22194">
      <w:pPr>
        <w:spacing w:after="120"/>
        <w:rPr>
          <w:lang w:val="nl-NL"/>
        </w:rPr>
      </w:pPr>
      <w:r w:rsidRPr="006234AA">
        <w:rPr>
          <w:lang w:val="nl-NL"/>
        </w:rPr>
        <w:t>1</w:t>
      </w:r>
      <w:r w:rsidR="003976B7" w:rsidRPr="006234AA">
        <w:rPr>
          <w:lang w:val="nl-NL"/>
        </w:rPr>
        <w:t>3</w:t>
      </w:r>
      <w:r w:rsidR="00C22194" w:rsidRPr="006234AA">
        <w:rPr>
          <w:lang w:val="nl-NL"/>
        </w:rPr>
        <w:t xml:space="preserve">. Trường hợp giá trị tài sản ký quỹ vượt quá mức ký quỹ theo yêu cầu, thành viên bù trừ được yêu cầu Trung tâm lưu ký chứng khoán thanh toán hoặc chấm dứt phong tỏa một phần danh mục chứng khoán phong tỏa. </w:t>
      </w:r>
      <w:r w:rsidR="006A6F36" w:rsidRPr="006234AA">
        <w:rPr>
          <w:lang w:val="nl-NL"/>
        </w:rPr>
        <w:t>Phần giá trị tài sản ký quỹ sau khi hoàn trả phải bảo đảm không thấp hơn</w:t>
      </w:r>
      <w:r w:rsidR="00C22194" w:rsidRPr="006234AA">
        <w:rPr>
          <w:lang w:val="nl-NL"/>
        </w:rPr>
        <w:t xml:space="preserve"> mức ký quỹ </w:t>
      </w:r>
      <w:r w:rsidR="006A6F36" w:rsidRPr="006234AA">
        <w:rPr>
          <w:lang w:val="nl-NL"/>
        </w:rPr>
        <w:t>ban đầu theo yêu cầu của thành viên bù trừ</w:t>
      </w:r>
      <w:r w:rsidR="00C22194" w:rsidRPr="006234AA">
        <w:rPr>
          <w:lang w:val="nl-NL"/>
        </w:rPr>
        <w:t>.</w:t>
      </w:r>
    </w:p>
    <w:p w:rsidR="00CC5DE2" w:rsidRPr="006234AA" w:rsidRDefault="00D844A7" w:rsidP="00CC5DE2">
      <w:pPr>
        <w:spacing w:after="120"/>
        <w:rPr>
          <w:lang w:val="nl-NL"/>
        </w:rPr>
      </w:pPr>
      <w:r w:rsidRPr="006234AA">
        <w:rPr>
          <w:lang w:val="nl-NL"/>
        </w:rPr>
        <w:t>1</w:t>
      </w:r>
      <w:r w:rsidR="003976B7" w:rsidRPr="006234AA">
        <w:rPr>
          <w:lang w:val="nl-NL"/>
        </w:rPr>
        <w:t>4</w:t>
      </w:r>
      <w:r w:rsidR="00CC5DE2" w:rsidRPr="006234AA">
        <w:rPr>
          <w:lang w:val="nl-NL"/>
        </w:rPr>
        <w:t xml:space="preserve">. Ngoại trừ việc sử dụng tài sản ký quỹ theo quy định tại khoản </w:t>
      </w:r>
      <w:r w:rsidR="006E539B" w:rsidRPr="006234AA">
        <w:rPr>
          <w:lang w:val="nl-NL"/>
        </w:rPr>
        <w:t>9</w:t>
      </w:r>
      <w:r w:rsidR="00CC5DE2" w:rsidRPr="006234AA">
        <w:rPr>
          <w:lang w:val="nl-NL"/>
        </w:rPr>
        <w:t xml:space="preserve"> Điều này, thành viên bù trừ không được lạm dụng, sử dụng tài sản ký quỹ của </w:t>
      </w:r>
      <w:r w:rsidR="00AC09C3" w:rsidRPr="006234AA">
        <w:rPr>
          <w:lang w:val="nl-NL"/>
        </w:rPr>
        <w:t>nhà đầu tư</w:t>
      </w:r>
      <w:r w:rsidR="00CC5DE2" w:rsidRPr="006234AA">
        <w:rPr>
          <w:lang w:val="nl-NL"/>
        </w:rPr>
        <w:t xml:space="preserve"> cho bất kỳ mục đích nào khác </w:t>
      </w:r>
      <w:r w:rsidR="00F4750E" w:rsidRPr="006234AA">
        <w:rPr>
          <w:lang w:val="nl-NL"/>
        </w:rPr>
        <w:t xml:space="preserve">hoặc tạo điều kiện cho bên thứ ba sử dụng </w:t>
      </w:r>
      <w:r w:rsidR="00CC5DE2" w:rsidRPr="006234AA">
        <w:rPr>
          <w:lang w:val="nl-NL"/>
        </w:rPr>
        <w:t>và phải bảo đảm các nguyên tắc sau:</w:t>
      </w:r>
    </w:p>
    <w:p w:rsidR="00AC09C3" w:rsidRPr="006234AA" w:rsidRDefault="00AC09C3" w:rsidP="00AC09C3">
      <w:pPr>
        <w:spacing w:after="120"/>
        <w:rPr>
          <w:lang w:val="nl-NL"/>
        </w:rPr>
      </w:pPr>
      <w:r w:rsidRPr="006234AA">
        <w:rPr>
          <w:lang w:val="nl-NL"/>
        </w:rPr>
        <w:t xml:space="preserve">a) Tài sản ký quỹ </w:t>
      </w:r>
      <w:r w:rsidR="00372020" w:rsidRPr="006234AA">
        <w:rPr>
          <w:lang w:val="nl-NL"/>
        </w:rPr>
        <w:t xml:space="preserve">trên một tài khoản ký quỹ </w:t>
      </w:r>
      <w:r w:rsidRPr="006234AA">
        <w:rPr>
          <w:lang w:val="nl-NL"/>
        </w:rPr>
        <w:t xml:space="preserve">chỉ được sử dụng để thanh toán, bảo đảm thanh toán cho vị thế mở trên tài khoản </w:t>
      </w:r>
      <w:r w:rsidR="00372020" w:rsidRPr="006234AA">
        <w:rPr>
          <w:lang w:val="nl-NL"/>
        </w:rPr>
        <w:t>giao dịch tương ứng với tài khoản ký quỹ đó</w:t>
      </w:r>
      <w:r w:rsidRPr="006234AA">
        <w:rPr>
          <w:lang w:val="nl-NL"/>
        </w:rPr>
        <w:t>; không được sử dụng để bảo đảm thanh toán</w:t>
      </w:r>
      <w:r w:rsidR="00372020" w:rsidRPr="006234AA">
        <w:rPr>
          <w:lang w:val="nl-NL"/>
        </w:rPr>
        <w:t>, bù đắp thiệt hại, hỗ trợ thanh toán</w:t>
      </w:r>
      <w:r w:rsidRPr="006234AA">
        <w:rPr>
          <w:lang w:val="nl-NL"/>
        </w:rPr>
        <w:t xml:space="preserve"> cho vị thế mở của tài khoản khác, kể cả trong trường hợp các tài khoản đó thuộc sở hữu cùng một khách hàng; </w:t>
      </w:r>
    </w:p>
    <w:p w:rsidR="00B5108A" w:rsidRPr="006234AA" w:rsidRDefault="00AC09C3" w:rsidP="00AC09C3">
      <w:pPr>
        <w:spacing w:after="120"/>
      </w:pPr>
      <w:r w:rsidRPr="006234AA">
        <w:rPr>
          <w:lang w:val="nl-NL"/>
        </w:rPr>
        <w:t>b) Tài sản ký quỹ của nhà đầu tư, kể cả khi đứng trên tài khoản đứng tên thành viên bù trừ, thuộc sở hữu của nhà đầu tư.</w:t>
      </w:r>
      <w:r w:rsidR="00B5108A" w:rsidRPr="006234AA">
        <w:t xml:space="preserve">Trường hợp thành viên bù trừ </w:t>
      </w:r>
      <w:r w:rsidR="00F4750E" w:rsidRPr="006234AA">
        <w:t>bị</w:t>
      </w:r>
      <w:r w:rsidR="00B5108A" w:rsidRPr="006234AA">
        <w:t xml:space="preserve"> </w:t>
      </w:r>
      <w:r w:rsidR="00B5108A" w:rsidRPr="006234AA">
        <w:lastRenderedPageBreak/>
        <w:t xml:space="preserve">phá sản, tài sản ký quỹ của nhà đầu tư không phải là tài sản của thành viên bù trừ, và không được sử dụng để xử lý theo quy định pháp luật về phá sản, không được phân chia cho các chủ nợ của thành viên bù trừ hoặc phân chia cho các cổ đông, thành viên góp vốn của công ty dưới mọi hình thức. Phần tài sản còn lại sau khi đã hoàn tất nghĩa vụ thanh toán của nhà đầu tư thì phải được hoàn trả ngay cho nhà đầu tư. </w:t>
      </w:r>
    </w:p>
    <w:p w:rsidR="002E7316" w:rsidRPr="006234AA" w:rsidRDefault="00D844A7" w:rsidP="002E7316">
      <w:pPr>
        <w:tabs>
          <w:tab w:val="left" w:pos="1134"/>
        </w:tabs>
        <w:spacing w:after="120"/>
      </w:pPr>
      <w:r w:rsidRPr="006234AA">
        <w:t>1</w:t>
      </w:r>
      <w:r w:rsidR="003976B7" w:rsidRPr="006234AA">
        <w:t>5</w:t>
      </w:r>
      <w:r w:rsidR="002E7316" w:rsidRPr="006234AA">
        <w:t>. Tài khoản ký quỹ của nhà đầu tư có thể được chuyển giữa các thành viên bù trừ trong các trường hợp sau:</w:t>
      </w:r>
    </w:p>
    <w:p w:rsidR="002E7316" w:rsidRPr="006234AA" w:rsidRDefault="002E7316" w:rsidP="00D36937">
      <w:pPr>
        <w:pStyle w:val="ListParagraph"/>
        <w:numPr>
          <w:ilvl w:val="0"/>
          <w:numId w:val="17"/>
        </w:numPr>
        <w:tabs>
          <w:tab w:val="left" w:pos="1134"/>
        </w:tabs>
        <w:spacing w:after="120"/>
        <w:ind w:left="0" w:firstLine="709"/>
      </w:pPr>
      <w:r w:rsidRPr="006234AA">
        <w:t>Các thành viên bù trừ hợp nhất, sáp nhập với nhau;</w:t>
      </w:r>
    </w:p>
    <w:p w:rsidR="002E7316" w:rsidRPr="006234AA" w:rsidRDefault="002E7316" w:rsidP="00D36937">
      <w:pPr>
        <w:pStyle w:val="ListParagraph"/>
        <w:numPr>
          <w:ilvl w:val="0"/>
          <w:numId w:val="17"/>
        </w:numPr>
        <w:tabs>
          <w:tab w:val="left" w:pos="1134"/>
        </w:tabs>
        <w:spacing w:after="120"/>
        <w:ind w:left="0" w:firstLine="709"/>
      </w:pPr>
      <w:r w:rsidRPr="006234AA">
        <w:t>Thành viên bù trừ chấm dứt hoạt động, tạm ngừng hoạt động, đình chỉ hoạt động giải thể hoặc phá sản;</w:t>
      </w:r>
    </w:p>
    <w:p w:rsidR="002E7316" w:rsidRPr="006234AA" w:rsidRDefault="002E7316" w:rsidP="00D36937">
      <w:pPr>
        <w:pStyle w:val="ListParagraph"/>
        <w:numPr>
          <w:ilvl w:val="0"/>
          <w:numId w:val="17"/>
        </w:numPr>
        <w:tabs>
          <w:tab w:val="left" w:pos="1134"/>
        </w:tabs>
        <w:spacing w:after="120"/>
        <w:ind w:left="0" w:firstLine="709"/>
      </w:pPr>
      <w:r w:rsidRPr="006234AA">
        <w:t>Thành viên bù trừ chấm dứt tư cách hoạt động;</w:t>
      </w:r>
    </w:p>
    <w:p w:rsidR="002E7316" w:rsidRPr="006234AA" w:rsidRDefault="002E7316" w:rsidP="00D36937">
      <w:pPr>
        <w:pStyle w:val="ListParagraph"/>
        <w:numPr>
          <w:ilvl w:val="0"/>
          <w:numId w:val="17"/>
        </w:numPr>
        <w:tabs>
          <w:tab w:val="left" w:pos="1134"/>
        </w:tabs>
        <w:spacing w:after="120"/>
        <w:ind w:left="0" w:firstLine="709"/>
      </w:pPr>
      <w:r w:rsidRPr="006234AA">
        <w:t>Theo yêu cầu của Trung tâm lưu ký chứng khoán trong trường hợp thành viên bù trừ mất khả năng thanh toán;</w:t>
      </w:r>
    </w:p>
    <w:p w:rsidR="002E7316" w:rsidRPr="006234AA" w:rsidRDefault="002E7316" w:rsidP="00D36937">
      <w:pPr>
        <w:pStyle w:val="ListParagraph"/>
        <w:numPr>
          <w:ilvl w:val="0"/>
          <w:numId w:val="17"/>
        </w:numPr>
        <w:tabs>
          <w:tab w:val="left" w:pos="1134"/>
        </w:tabs>
        <w:spacing w:after="120"/>
        <w:ind w:left="0" w:firstLine="709"/>
      </w:pPr>
      <w:r w:rsidRPr="006234AA">
        <w:t>Theo yêu cầu bằng văn bản của nhà đầu tư.</w:t>
      </w:r>
    </w:p>
    <w:p w:rsidR="002F1466" w:rsidRPr="006234AA" w:rsidRDefault="00D844A7" w:rsidP="00E21C2A">
      <w:pPr>
        <w:tabs>
          <w:tab w:val="left" w:pos="1134"/>
        </w:tabs>
        <w:spacing w:after="120"/>
        <w:ind w:firstLine="0"/>
      </w:pPr>
      <w:r w:rsidRPr="006234AA">
        <w:t xml:space="preserve">          1</w:t>
      </w:r>
      <w:r w:rsidR="003976B7" w:rsidRPr="006234AA">
        <w:t>6</w:t>
      </w:r>
      <w:r w:rsidR="002E7316" w:rsidRPr="006234AA">
        <w:t>. Trừ trường hợp quy định tại điểm d khoản 1</w:t>
      </w:r>
      <w:r w:rsidRPr="006234AA">
        <w:t>6</w:t>
      </w:r>
      <w:r w:rsidR="002E7316" w:rsidRPr="006234AA">
        <w:t xml:space="preserve"> Điều này, trước khi thực hiện chuyển khoản tài sản ký quỹ của nhà đầu tư, thành viên bù trừ chuyển giao phải thông báo cho Trung tâm lưu ký chứng khoán và thực hiện chuyển giao theo hướng dẫn của Trung tâm lưu ký chứng khoán. </w:t>
      </w:r>
    </w:p>
    <w:p w:rsidR="00552141" w:rsidRPr="006234AA" w:rsidRDefault="00BA4B7B" w:rsidP="003C0546">
      <w:pPr>
        <w:pStyle w:val="Heading4"/>
        <w:spacing w:after="120"/>
      </w:pPr>
      <w:bookmarkStart w:id="207" w:name="_Toc422672006"/>
      <w:bookmarkEnd w:id="199"/>
      <w:bookmarkEnd w:id="200"/>
      <w:r w:rsidRPr="006234AA">
        <w:t>K</w:t>
      </w:r>
      <w:r w:rsidR="00F61691" w:rsidRPr="006234AA">
        <w:t>ý quỹ</w:t>
      </w:r>
      <w:r w:rsidR="0015613C" w:rsidRPr="006234AA">
        <w:t xml:space="preserve"> giao dịch</w:t>
      </w:r>
      <w:bookmarkEnd w:id="207"/>
    </w:p>
    <w:p w:rsidR="00F44C95" w:rsidRPr="006234AA" w:rsidRDefault="00F44C95" w:rsidP="003C0546">
      <w:pPr>
        <w:spacing w:after="120"/>
        <w:rPr>
          <w:lang w:val="nl-NL"/>
        </w:rPr>
      </w:pPr>
      <w:r w:rsidRPr="006234AA">
        <w:rPr>
          <w:lang w:val="nl-NL"/>
        </w:rPr>
        <w:t>1. Ký quỹ ban đầu:</w:t>
      </w:r>
    </w:p>
    <w:p w:rsidR="00F44C95" w:rsidRPr="006234AA" w:rsidRDefault="00F44C95" w:rsidP="003C0546">
      <w:pPr>
        <w:spacing w:after="120"/>
        <w:rPr>
          <w:lang w:val="nl-NL"/>
        </w:rPr>
      </w:pPr>
      <w:r w:rsidRPr="006234AA">
        <w:rPr>
          <w:lang w:val="nl-NL"/>
        </w:rPr>
        <w:t>a) Nhà đầu tư có trách nhiệm phải nộp đầy đủ khoản ký quỹ ban đầu cho thành viên bù trừ trước khi đặt lệnh giao dịch, trừ trường hợp là lệnh thực hiện các giao dịch bù trừ để đóng bớt vị thế;</w:t>
      </w:r>
    </w:p>
    <w:p w:rsidR="00F44C95" w:rsidRPr="006234AA" w:rsidRDefault="00F44C95" w:rsidP="003C0546">
      <w:pPr>
        <w:spacing w:after="120"/>
        <w:rPr>
          <w:lang w:val="nl-NL"/>
        </w:rPr>
      </w:pPr>
      <w:r w:rsidRPr="006234AA">
        <w:rPr>
          <w:lang w:val="nl-NL"/>
        </w:rPr>
        <w:t xml:space="preserve">b) Giá trị khoản ký quỹ ban đầu </w:t>
      </w:r>
      <w:r w:rsidR="006E539B" w:rsidRPr="006234AA">
        <w:rPr>
          <w:lang w:val="nl-NL"/>
        </w:rPr>
        <w:t>cho</w:t>
      </w:r>
      <w:r w:rsidRPr="006234AA">
        <w:rPr>
          <w:lang w:val="nl-NL"/>
        </w:rPr>
        <w:t xml:space="preserve"> giao dịch hợp đồng tương lai được xác định theo </w:t>
      </w:r>
      <w:r w:rsidR="004162A5" w:rsidRPr="006234AA">
        <w:rPr>
          <w:lang w:val="nl-NL"/>
        </w:rPr>
        <w:t>P</w:t>
      </w:r>
      <w:r w:rsidRPr="006234AA">
        <w:rPr>
          <w:lang w:val="nl-NL"/>
        </w:rPr>
        <w:t>hụ lục số</w:t>
      </w:r>
      <w:r w:rsidR="00763B37" w:rsidRPr="006234AA">
        <w:rPr>
          <w:lang w:val="nl-NL"/>
        </w:rPr>
        <w:t xml:space="preserve"> 10 </w:t>
      </w:r>
      <w:r w:rsidRPr="006234AA">
        <w:rPr>
          <w:lang w:val="nl-NL"/>
        </w:rPr>
        <w:t>ban hành kèm theo Thông tư này</w:t>
      </w:r>
      <w:r w:rsidR="006E539B" w:rsidRPr="006234AA">
        <w:rPr>
          <w:lang w:val="nl-NL"/>
        </w:rPr>
        <w:t>;</w:t>
      </w:r>
    </w:p>
    <w:p w:rsidR="00F44C95" w:rsidRPr="006234AA" w:rsidRDefault="00F44C95" w:rsidP="003C0546">
      <w:pPr>
        <w:spacing w:after="120"/>
        <w:rPr>
          <w:lang w:val="nl-NL"/>
        </w:rPr>
      </w:pPr>
      <w:r w:rsidRPr="006234AA">
        <w:rPr>
          <w:lang w:val="nl-NL"/>
        </w:rPr>
        <w:t xml:space="preserve">c) Thành viên </w:t>
      </w:r>
      <w:r w:rsidR="006E5484" w:rsidRPr="006234AA">
        <w:rPr>
          <w:lang w:val="nl-NL"/>
        </w:rPr>
        <w:t xml:space="preserve">bù trừ </w:t>
      </w:r>
      <w:r w:rsidRPr="006234AA">
        <w:rPr>
          <w:lang w:val="nl-NL"/>
        </w:rPr>
        <w:t>có thể yêu cầu ký quỹ hoàn toàn bằng tiền, hoặc có thể cho phép nhà đầu tư sử dụng chứng khoán của mình để ký quỹ theo nguyên tắc sau:</w:t>
      </w:r>
    </w:p>
    <w:p w:rsidR="006E5484" w:rsidRPr="006234AA" w:rsidRDefault="00F44C95" w:rsidP="006E5484">
      <w:pPr>
        <w:spacing w:after="120"/>
        <w:rPr>
          <w:lang w:val="nl-NL"/>
        </w:rPr>
      </w:pPr>
      <w:r w:rsidRPr="006234AA">
        <w:rPr>
          <w:lang w:val="nl-NL"/>
        </w:rPr>
        <w:t xml:space="preserve">- </w:t>
      </w:r>
      <w:r w:rsidR="006E5484" w:rsidRPr="006234AA">
        <w:t>Chứng khoán ký quỹ phải đáp ứng quy định tại Điều 49 Thông tư này và phải được thành viên bù trừ chấp nhận ký quỹ.</w:t>
      </w:r>
    </w:p>
    <w:p w:rsidR="00F44C95" w:rsidRPr="006234AA" w:rsidRDefault="006E5484" w:rsidP="006E5484">
      <w:pPr>
        <w:spacing w:after="120"/>
        <w:rPr>
          <w:lang w:val="nl-NL"/>
        </w:rPr>
      </w:pPr>
      <w:r w:rsidRPr="006234AA">
        <w:rPr>
          <w:lang w:val="nl-NL"/>
        </w:rPr>
        <w:t xml:space="preserve">- </w:t>
      </w:r>
      <w:r w:rsidR="00F44C95" w:rsidRPr="006234AA">
        <w:rPr>
          <w:lang w:val="nl-NL"/>
        </w:rPr>
        <w:t xml:space="preserve">Giá trị </w:t>
      </w:r>
      <w:r w:rsidRPr="006234AA">
        <w:rPr>
          <w:lang w:val="nl-NL"/>
        </w:rPr>
        <w:t xml:space="preserve">của chứng khoán </w:t>
      </w:r>
      <w:r w:rsidR="00F44C95" w:rsidRPr="006234AA">
        <w:rPr>
          <w:lang w:val="nl-NL"/>
        </w:rPr>
        <w:t xml:space="preserve">ký quỹ được xác định trên theo quy định tại </w:t>
      </w:r>
      <w:r w:rsidR="004162A5" w:rsidRPr="006234AA">
        <w:rPr>
          <w:lang w:val="nl-NL"/>
        </w:rPr>
        <w:t>P</w:t>
      </w:r>
      <w:r w:rsidR="00F44C95" w:rsidRPr="006234AA">
        <w:rPr>
          <w:lang w:val="nl-NL"/>
        </w:rPr>
        <w:t>hụ lục số</w:t>
      </w:r>
      <w:r w:rsidR="00AA03DB" w:rsidRPr="006234AA">
        <w:rPr>
          <w:lang w:val="nl-NL"/>
        </w:rPr>
        <w:t xml:space="preserve"> 9 </w:t>
      </w:r>
      <w:r w:rsidR="00F44C95" w:rsidRPr="006234AA">
        <w:rPr>
          <w:lang w:val="nl-NL"/>
        </w:rPr>
        <w:t>ban hành kèm theo Thông tư này;</w:t>
      </w:r>
    </w:p>
    <w:p w:rsidR="00F44C95" w:rsidRPr="006234AA" w:rsidRDefault="00F44C95" w:rsidP="003C0546">
      <w:pPr>
        <w:spacing w:after="120"/>
        <w:rPr>
          <w:lang w:val="nl-NL"/>
        </w:rPr>
      </w:pPr>
      <w:r w:rsidRPr="006234AA">
        <w:rPr>
          <w:lang w:val="nl-NL"/>
        </w:rPr>
        <w:t xml:space="preserve">- Phần tài sản ký quỹ ban đầu bằng tiền do thành viên quy định, nhưng tối thiểu không </w:t>
      </w:r>
      <w:r w:rsidR="006E5484" w:rsidRPr="006234AA">
        <w:rPr>
          <w:lang w:val="nl-NL"/>
        </w:rPr>
        <w:t xml:space="preserve">ít hơn </w:t>
      </w:r>
      <w:r w:rsidRPr="006234AA">
        <w:rPr>
          <w:lang w:val="nl-NL"/>
        </w:rPr>
        <w:t>50% khoản ký quỹ ban đầu;</w:t>
      </w:r>
    </w:p>
    <w:p w:rsidR="00F44C95" w:rsidRPr="006234AA" w:rsidRDefault="00F44C95" w:rsidP="003C0546">
      <w:pPr>
        <w:spacing w:after="120"/>
        <w:rPr>
          <w:lang w:val="nl-NL"/>
        </w:rPr>
      </w:pPr>
      <w:r w:rsidRPr="006234AA">
        <w:rPr>
          <w:lang w:val="nl-NL"/>
        </w:rPr>
        <w:t xml:space="preserve">d) Thành viên giao dịch chỉ được chuyển lệnh giao dịch của nhà đầu tư vào hệ thống sau khi nhà đầu tư đã nộp </w:t>
      </w:r>
      <w:r w:rsidR="006E5484" w:rsidRPr="006234AA">
        <w:rPr>
          <w:lang w:val="nl-NL"/>
        </w:rPr>
        <w:t xml:space="preserve">đầy đủ khoản </w:t>
      </w:r>
      <w:r w:rsidRPr="006234AA">
        <w:rPr>
          <w:lang w:val="nl-NL"/>
        </w:rPr>
        <w:t>ký quỹ ban đầu.</w:t>
      </w:r>
    </w:p>
    <w:p w:rsidR="00F44C95" w:rsidRPr="006234AA" w:rsidRDefault="00F44C95" w:rsidP="003C0546">
      <w:pPr>
        <w:spacing w:after="120"/>
        <w:rPr>
          <w:lang w:val="nl-NL"/>
        </w:rPr>
      </w:pPr>
      <w:r w:rsidRPr="006234AA">
        <w:rPr>
          <w:lang w:val="nl-NL"/>
        </w:rPr>
        <w:lastRenderedPageBreak/>
        <w:t>2.</w:t>
      </w:r>
      <w:r w:rsidR="000E159B" w:rsidRPr="006234AA">
        <w:rPr>
          <w:lang w:val="nl-NL"/>
        </w:rPr>
        <w:t xml:space="preserve"> </w:t>
      </w:r>
      <w:r w:rsidRPr="006234AA">
        <w:rPr>
          <w:lang w:val="nl-NL"/>
        </w:rPr>
        <w:t>Ký quỹ duy trì:</w:t>
      </w:r>
    </w:p>
    <w:p w:rsidR="00674467" w:rsidRPr="006234AA" w:rsidRDefault="00F44C95" w:rsidP="003C0546">
      <w:pPr>
        <w:spacing w:after="120"/>
        <w:rPr>
          <w:lang w:val="nl-NL"/>
        </w:rPr>
      </w:pPr>
      <w:r w:rsidRPr="006234AA">
        <w:rPr>
          <w:lang w:val="nl-NL"/>
        </w:rPr>
        <w:t xml:space="preserve">a) Trong quá trình duy trì vị thế, nhà đầu tư phải đáp ứng </w:t>
      </w:r>
      <w:r w:rsidR="00674467" w:rsidRPr="006234AA">
        <w:rPr>
          <w:lang w:val="nl-NL"/>
        </w:rPr>
        <w:t xml:space="preserve">mức </w:t>
      </w:r>
      <w:r w:rsidRPr="006234AA">
        <w:rPr>
          <w:lang w:val="nl-NL"/>
        </w:rPr>
        <w:t>ký quỹ duy trì</w:t>
      </w:r>
      <w:r w:rsidR="00781497" w:rsidRPr="006234AA">
        <w:rPr>
          <w:lang w:val="nl-NL"/>
        </w:rPr>
        <w:t xml:space="preserve"> </w:t>
      </w:r>
      <w:r w:rsidR="00674467" w:rsidRPr="006234AA">
        <w:rPr>
          <w:lang w:val="nl-NL"/>
        </w:rPr>
        <w:t>xác định theo Phụ lục số 10 ban hành kèm theo Thông tư này;</w:t>
      </w:r>
    </w:p>
    <w:p w:rsidR="00E2247D" w:rsidRPr="006234AA" w:rsidRDefault="00E2247D" w:rsidP="00D844A7">
      <w:pPr>
        <w:spacing w:after="120"/>
        <w:rPr>
          <w:lang w:val="nl-NL"/>
        </w:rPr>
      </w:pPr>
      <w:r w:rsidRPr="006234AA">
        <w:rPr>
          <w:lang w:val="nl-NL"/>
        </w:rPr>
        <w:t>b) Việc xác định mức ký quỹ duy trì được thực hiện sau mỗi ngày giao dịch. Tùy vào điều kiện thị trường, Trung tâm Lưu ký chứng khoán, thành viên bù trừ có quyền xác định mức ký quỹ duy trì và yêu cầu nhà đầu tư, thành viên bù trừ bổ sung ký quỹ ngay trong phiên giao dịch (intra-day margin);</w:t>
      </w:r>
    </w:p>
    <w:p w:rsidR="00D844A7" w:rsidRPr="006234AA" w:rsidRDefault="00E2247D" w:rsidP="00D844A7">
      <w:pPr>
        <w:spacing w:after="120"/>
        <w:rPr>
          <w:lang w:val="nl-NL"/>
        </w:rPr>
      </w:pPr>
      <w:r w:rsidRPr="006234AA">
        <w:rPr>
          <w:lang w:val="nl-NL"/>
        </w:rPr>
        <w:t>c</w:t>
      </w:r>
      <w:r w:rsidR="00674467" w:rsidRPr="006234AA">
        <w:rPr>
          <w:lang w:val="nl-NL"/>
        </w:rPr>
        <w:t xml:space="preserve">) Nhà đầu tư phải </w:t>
      </w:r>
      <w:r w:rsidR="002D3FDF" w:rsidRPr="006234AA">
        <w:rPr>
          <w:lang w:val="nl-NL"/>
        </w:rPr>
        <w:t xml:space="preserve">phải bổ sung ký quỹ </w:t>
      </w:r>
      <w:r w:rsidR="007212E7" w:rsidRPr="006234AA">
        <w:rPr>
          <w:lang w:val="nl-NL"/>
        </w:rPr>
        <w:t>tới</w:t>
      </w:r>
      <w:r w:rsidR="000D00EA" w:rsidRPr="006234AA">
        <w:rPr>
          <w:lang w:val="nl-NL"/>
        </w:rPr>
        <w:t xml:space="preserve"> mức ký quỹ ban đầu </w:t>
      </w:r>
      <w:r w:rsidR="002D3FDF" w:rsidRPr="006234AA">
        <w:rPr>
          <w:lang w:val="nl-NL"/>
        </w:rPr>
        <w:t>khi xảy ra</w:t>
      </w:r>
      <w:r w:rsidR="00F44C95" w:rsidRPr="006234AA">
        <w:rPr>
          <w:lang w:val="nl-NL"/>
        </w:rPr>
        <w:t xml:space="preserve"> một trong </w:t>
      </w:r>
      <w:r w:rsidR="00674467" w:rsidRPr="006234AA">
        <w:rPr>
          <w:lang w:val="nl-NL"/>
        </w:rPr>
        <w:t>trường hợp g</w:t>
      </w:r>
      <w:r w:rsidR="00F44C95" w:rsidRPr="006234AA">
        <w:rPr>
          <w:lang w:val="nl-NL"/>
        </w:rPr>
        <w:t>iá trị tài sản ký quỹ xuống dưới mức giá trị ký quỹ duy trì; hoặc</w:t>
      </w:r>
      <w:r w:rsidR="00674467" w:rsidRPr="006234AA">
        <w:rPr>
          <w:lang w:val="nl-NL"/>
        </w:rPr>
        <w:t xml:space="preserve"> s</w:t>
      </w:r>
      <w:r w:rsidR="00F44C95" w:rsidRPr="006234AA">
        <w:rPr>
          <w:lang w:val="nl-NL"/>
        </w:rPr>
        <w:t xml:space="preserve">ố dư tiền gửi ký quỹ xuống dưới mức ký quỹ duy trì bằng tiền. </w:t>
      </w:r>
      <w:r w:rsidR="00674467" w:rsidRPr="006234AA">
        <w:rPr>
          <w:lang w:val="nl-NL"/>
        </w:rPr>
        <w:t>Việc ký quỹ bổ sung phải tuân thủ các yêu cầu về thời gian, loại tài sản ký quỹ thực hiện theo yêu cầu của thành viên bù trừ, bảo đảm phù hợp với quy chế của Trung tâm lưu ký chứng khoán</w:t>
      </w:r>
      <w:r w:rsidRPr="006234AA">
        <w:rPr>
          <w:lang w:val="nl-NL"/>
        </w:rPr>
        <w:t>.</w:t>
      </w:r>
    </w:p>
    <w:p w:rsidR="00F44C95" w:rsidRPr="006234AA" w:rsidRDefault="00674467" w:rsidP="003C0546">
      <w:pPr>
        <w:spacing w:after="120"/>
        <w:rPr>
          <w:lang w:val="nl-NL"/>
        </w:rPr>
      </w:pPr>
      <w:r w:rsidRPr="006234AA">
        <w:rPr>
          <w:lang w:val="nl-NL"/>
        </w:rPr>
        <w:t>3.</w:t>
      </w:r>
      <w:r w:rsidR="00F44C95" w:rsidRPr="006234AA">
        <w:rPr>
          <w:lang w:val="nl-NL"/>
        </w:rPr>
        <w:t xml:space="preserve"> Tỷ lệ ký quỹ ban đầu, tỷ lệ ký quỹ duy trì do thành viên bù trừ quyết định, nhưng không được thấp hơn tỷ lệ ký quỹ ban đầu tối thiểu và tỷ lệ ký quỹ duy trì tối thiểu do </w:t>
      </w:r>
      <w:r w:rsidR="008573AD" w:rsidRPr="006234AA">
        <w:rPr>
          <w:lang w:val="nl-NL"/>
        </w:rPr>
        <w:t>Trung tâm lưu ký chứng khoán</w:t>
      </w:r>
      <w:r w:rsidR="00F44C95" w:rsidRPr="006234AA">
        <w:rPr>
          <w:lang w:val="nl-NL"/>
        </w:rPr>
        <w:t xml:space="preserve"> công bố. Phương thức, thủ tục</w:t>
      </w:r>
      <w:r w:rsidR="00560248" w:rsidRPr="006234AA">
        <w:rPr>
          <w:lang w:val="nl-NL"/>
        </w:rPr>
        <w:t>, thời hạn</w:t>
      </w:r>
      <w:r w:rsidR="00F44C95" w:rsidRPr="006234AA">
        <w:rPr>
          <w:lang w:val="nl-NL"/>
        </w:rPr>
        <w:t xml:space="preserve"> nộp ký quỹ phải được thành viên </w:t>
      </w:r>
      <w:r w:rsidR="00560248" w:rsidRPr="006234AA">
        <w:rPr>
          <w:lang w:val="nl-NL"/>
        </w:rPr>
        <w:t xml:space="preserve">bù trừ, thành viên </w:t>
      </w:r>
      <w:r w:rsidR="00F44C95" w:rsidRPr="006234AA">
        <w:rPr>
          <w:lang w:val="nl-NL"/>
        </w:rPr>
        <w:t>giao dịch công bố, hướng dẫn chi tiết trên trang thông tin điện tử của thành viên</w:t>
      </w:r>
      <w:r w:rsidR="00560248" w:rsidRPr="006234AA">
        <w:rPr>
          <w:lang w:val="nl-NL"/>
        </w:rPr>
        <w:t xml:space="preserve"> bù trừ, thành viên</w:t>
      </w:r>
      <w:r w:rsidR="00F44C95" w:rsidRPr="006234AA">
        <w:rPr>
          <w:lang w:val="nl-NL"/>
        </w:rPr>
        <w:t xml:space="preserve"> giao dịch.</w:t>
      </w:r>
    </w:p>
    <w:p w:rsidR="00E21C2A" w:rsidRPr="006234AA" w:rsidRDefault="00674467" w:rsidP="00E21C2A">
      <w:pPr>
        <w:spacing w:after="120"/>
        <w:rPr>
          <w:lang w:val="nl-NL"/>
        </w:rPr>
      </w:pPr>
      <w:r w:rsidRPr="006234AA">
        <w:rPr>
          <w:lang w:val="nl-NL"/>
        </w:rPr>
        <w:t xml:space="preserve"> </w:t>
      </w:r>
      <w:r w:rsidR="00E21C2A" w:rsidRPr="006234AA">
        <w:rPr>
          <w:lang w:val="nl-NL"/>
        </w:rPr>
        <w:t>Tùy vào điều kiện thị trường hoặc theo yêu cầu của Trung tâm lưu ký chứng khoán, thành viên bù trừ được điều chỉnh tỷ lệ ký quỹ. Trước khi điều chỉnh tỷ lệ ký quỹ, thành viên bù trừ phải thông báo trước cho nhà đầu tư biết, trong đó nêu rõ lý do điều chỉnh, mức độ điều chỉnh và thời điểm thực hiện. Trường hợp nhà đầu tư không thể đáp ứng thì yêu cầu nhà đầu tư thực hiện các giao dịch bù trừ để đóng bớt vị thế, bảo đảm đáp ứng yêu cầu về tỷ lệ ký quỹ mới hoặc thực hiện theo quy định tại Điểm b Khoản 9 Điều 53 Thông tư này.</w:t>
      </w:r>
    </w:p>
    <w:p w:rsidR="003628BE" w:rsidRPr="006234AA" w:rsidRDefault="003628BE" w:rsidP="003628BE">
      <w:pPr>
        <w:spacing w:after="120"/>
        <w:rPr>
          <w:lang w:val="nl-NL"/>
        </w:rPr>
      </w:pPr>
      <w:r w:rsidRPr="006234AA">
        <w:rPr>
          <w:lang w:val="nl-NL"/>
        </w:rPr>
        <w:t xml:space="preserve">4. Thành viên bù trừ có trách nhiệm xác định mức ký quỹ cho vị thế mở trên từng tài khoản giao dịch riêng biệt. Khi xác định mức ký quỹ, thành viên bù trừ không được bù trừ ròng các vị thế mở trên các tài khoản giao dịch khác nhau, kể cả trong trường hợp đó là các tài khoản giao dịch của cùng một khách hàng. Trung tâm lưu ký chứng khoán cũng có trách nhiệm tính toán mức ký quỹ cho vị thế mở của từng tài khoản giao dịch và thông báo cho thành viên bù trừ về mức ký quỹ trên từng tài khoản giao dịch mà thành viên phải duy trì. </w:t>
      </w:r>
    </w:p>
    <w:p w:rsidR="003628BE" w:rsidRPr="006234AA" w:rsidRDefault="003628BE" w:rsidP="003628BE">
      <w:pPr>
        <w:spacing w:after="120"/>
        <w:rPr>
          <w:lang w:val="nl-NL"/>
        </w:rPr>
      </w:pPr>
      <w:r w:rsidRPr="006234AA">
        <w:rPr>
          <w:lang w:val="nl-NL"/>
        </w:rPr>
        <w:t>5. Thành viên bù trừ có trách nhiệm ký quỹ cho Trung tâm Lưu ký chứng khoán đối với các vị thế mở đứng tên mình, bao gồm vị thế mở của mình và vị thế mở của nhà đầu tư. Mức ký quỹ, quy trình, phương thức ký quỹ, loại tài sản ký quỹ thực hiện theo yêu cầu của Trung tâm lưu ký chứng khoán. Trong trường hợp giá thị trường biến động mạnh, Trung tâm lưu ký chứng khoán có quyền yêu cầu thành viên bù trừ thực hiện ký quỹ bổ sung ngay trong phiên giao dịch để bảo đảm an toàn cho thị trường.</w:t>
      </w:r>
    </w:p>
    <w:p w:rsidR="003628BE" w:rsidRPr="006234AA" w:rsidRDefault="003628BE" w:rsidP="003628BE">
      <w:pPr>
        <w:spacing w:after="120"/>
        <w:rPr>
          <w:lang w:val="nl-NL"/>
        </w:rPr>
      </w:pPr>
      <w:r w:rsidRPr="006234AA">
        <w:rPr>
          <w:lang w:val="nl-NL"/>
        </w:rPr>
        <w:lastRenderedPageBreak/>
        <w:t xml:space="preserve">6. Khi thực hiện ký quỹ, thành viên bù trừ phải tách biệt từng khoản ký quỹ, bao gồm: ký quỹ cho giao dịch tự doanh, ký quỹ cho giao dịch tạo lập thị trường (nếu có), ký quỹ cho vị thế mở của từng nhà đầu tư theo quy định tại Điều 47 Thông tư này. </w:t>
      </w:r>
    </w:p>
    <w:p w:rsidR="00F44C95" w:rsidRPr="006234AA" w:rsidRDefault="00932B0F" w:rsidP="00511944">
      <w:pPr>
        <w:spacing w:after="120"/>
        <w:rPr>
          <w:lang w:val="nl-NL"/>
        </w:rPr>
      </w:pPr>
      <w:r w:rsidRPr="006234AA">
        <w:rPr>
          <w:lang w:val="nl-NL"/>
        </w:rPr>
        <w:t>7</w:t>
      </w:r>
      <w:r w:rsidR="00F44C95" w:rsidRPr="006234AA">
        <w:rPr>
          <w:lang w:val="nl-NL"/>
        </w:rPr>
        <w:t xml:space="preserve">. </w:t>
      </w:r>
      <w:r w:rsidR="00511944" w:rsidRPr="006234AA">
        <w:rPr>
          <w:lang w:val="nl-NL"/>
        </w:rPr>
        <w:t xml:space="preserve">Thành viên bù trừ được </w:t>
      </w:r>
      <w:r w:rsidR="00F44C95" w:rsidRPr="006234AA">
        <w:rPr>
          <w:lang w:val="nl-NL"/>
        </w:rPr>
        <w:t xml:space="preserve">giảm trừ tỷ lệ ký quỹ </w:t>
      </w:r>
      <w:r w:rsidR="00511944" w:rsidRPr="006234AA">
        <w:rPr>
          <w:lang w:val="nl-NL"/>
        </w:rPr>
        <w:t>cho các giao dịch dưới đây</w:t>
      </w:r>
      <w:r w:rsidR="00F44C95" w:rsidRPr="006234AA">
        <w:rPr>
          <w:lang w:val="nl-NL"/>
        </w:rPr>
        <w:t>:</w:t>
      </w:r>
    </w:p>
    <w:p w:rsidR="00EF1E99" w:rsidRPr="006234AA" w:rsidRDefault="00F44C95" w:rsidP="003C0546">
      <w:pPr>
        <w:spacing w:after="120"/>
        <w:rPr>
          <w:lang w:val="nl-NL"/>
        </w:rPr>
      </w:pPr>
      <w:r w:rsidRPr="006234AA">
        <w:rPr>
          <w:lang w:val="nl-NL"/>
        </w:rPr>
        <w:t xml:space="preserve">a) Giao dịch phòng ngừa rủi ro: </w:t>
      </w:r>
    </w:p>
    <w:p w:rsidR="00EF1E99" w:rsidRPr="006234AA" w:rsidRDefault="00EF1E99" w:rsidP="003C0546">
      <w:pPr>
        <w:spacing w:after="120"/>
        <w:rPr>
          <w:lang w:val="nl-NL"/>
        </w:rPr>
      </w:pPr>
      <w:r w:rsidRPr="006234AA">
        <w:rPr>
          <w:lang w:val="nl-NL"/>
        </w:rPr>
        <w:t xml:space="preserve">-  </w:t>
      </w:r>
      <w:r w:rsidR="00F44C95" w:rsidRPr="006234AA">
        <w:rPr>
          <w:lang w:val="nl-NL"/>
        </w:rPr>
        <w:t xml:space="preserve">Nhà đầu tư </w:t>
      </w:r>
      <w:r w:rsidR="009536B2" w:rsidRPr="006234AA">
        <w:rPr>
          <w:lang w:val="nl-NL"/>
        </w:rPr>
        <w:t>mua hoặc đã</w:t>
      </w:r>
      <w:r w:rsidR="00F44C95" w:rsidRPr="006234AA">
        <w:rPr>
          <w:lang w:val="nl-NL"/>
        </w:rPr>
        <w:t xml:space="preserve"> có </w:t>
      </w:r>
      <w:r w:rsidR="009536B2" w:rsidRPr="006234AA">
        <w:rPr>
          <w:lang w:val="nl-NL"/>
        </w:rPr>
        <w:t xml:space="preserve">một </w:t>
      </w:r>
      <w:r w:rsidR="00F44C95" w:rsidRPr="006234AA">
        <w:rPr>
          <w:lang w:val="nl-NL"/>
        </w:rPr>
        <w:t>danh mục chỉ số</w:t>
      </w:r>
      <w:r w:rsidR="009536B2" w:rsidRPr="006234AA">
        <w:rPr>
          <w:lang w:val="nl-NL"/>
        </w:rPr>
        <w:t>,</w:t>
      </w:r>
      <w:r w:rsidR="00F44C95" w:rsidRPr="006234AA">
        <w:rPr>
          <w:lang w:val="nl-NL"/>
        </w:rPr>
        <w:t xml:space="preserve"> chứng chỉ quỹ ETF</w:t>
      </w:r>
      <w:r w:rsidR="009536B2" w:rsidRPr="006234AA">
        <w:rPr>
          <w:lang w:val="nl-NL"/>
        </w:rPr>
        <w:t>,</w:t>
      </w:r>
      <w:r w:rsidR="00F44C95" w:rsidRPr="006234AA">
        <w:rPr>
          <w:lang w:val="nl-NL"/>
        </w:rPr>
        <w:t xml:space="preserve"> đặt lệnh bán</w:t>
      </w:r>
      <w:r w:rsidR="009536B2" w:rsidRPr="006234AA">
        <w:rPr>
          <w:lang w:val="nl-NL"/>
        </w:rPr>
        <w:t xml:space="preserve"> </w:t>
      </w:r>
      <w:r w:rsidR="00F44C95" w:rsidRPr="006234AA">
        <w:rPr>
          <w:lang w:val="nl-NL"/>
        </w:rPr>
        <w:t>một số lượng xác định hợp đồng tương lai trên cùng một chỉ số</w:t>
      </w:r>
      <w:r w:rsidRPr="006234AA">
        <w:rPr>
          <w:lang w:val="nl-NL"/>
        </w:rPr>
        <w:t>;</w:t>
      </w:r>
    </w:p>
    <w:p w:rsidR="009536B2" w:rsidRPr="006234AA" w:rsidRDefault="00EF1E99" w:rsidP="003C0546">
      <w:pPr>
        <w:spacing w:after="120"/>
        <w:rPr>
          <w:lang w:val="nl-NL"/>
        </w:rPr>
      </w:pPr>
      <w:r w:rsidRPr="006234AA">
        <w:rPr>
          <w:lang w:val="nl-NL"/>
        </w:rPr>
        <w:t xml:space="preserve">- Nhà đầu tư mua hoặc đã có một vị thế mở mua một số lượng hợp đồng tương lai chỉ số, đặt lệnh bán một số lượng xác định danh mục chỉ số, chứng chỉ quỹ ETF cùng chỉ số; </w:t>
      </w:r>
      <w:r w:rsidR="00F44C95" w:rsidRPr="006234AA">
        <w:rPr>
          <w:lang w:val="nl-NL"/>
        </w:rPr>
        <w:t xml:space="preserve"> </w:t>
      </w:r>
    </w:p>
    <w:p w:rsidR="00F44C95" w:rsidRPr="006234AA" w:rsidRDefault="00F44C95" w:rsidP="003C0546">
      <w:pPr>
        <w:spacing w:after="120"/>
        <w:rPr>
          <w:lang w:val="nl-NL"/>
        </w:rPr>
      </w:pPr>
      <w:r w:rsidRPr="006234AA">
        <w:rPr>
          <w:lang w:val="nl-NL"/>
        </w:rPr>
        <w:t xml:space="preserve">Quy mô danh mục chỉ số hoặc chứng chỉ quỹ ETF và quy mô vị thế </w:t>
      </w:r>
      <w:r w:rsidR="00EF1E99" w:rsidRPr="006234AA">
        <w:rPr>
          <w:lang w:val="nl-NL"/>
        </w:rPr>
        <w:t>giao dịch</w:t>
      </w:r>
      <w:r w:rsidRPr="006234AA">
        <w:rPr>
          <w:lang w:val="nl-NL"/>
        </w:rPr>
        <w:t xml:space="preserve"> hợp đồng tương lai cùng chỉ số có mối tương quan được xác định theo </w:t>
      </w:r>
      <w:r w:rsidR="004162A5" w:rsidRPr="006234AA">
        <w:rPr>
          <w:lang w:val="nl-NL"/>
        </w:rPr>
        <w:t>P</w:t>
      </w:r>
      <w:r w:rsidRPr="006234AA">
        <w:rPr>
          <w:lang w:val="nl-NL"/>
        </w:rPr>
        <w:t>hụ lục số</w:t>
      </w:r>
      <w:r w:rsidR="007714C6" w:rsidRPr="006234AA">
        <w:rPr>
          <w:lang w:val="nl-NL"/>
        </w:rPr>
        <w:t xml:space="preserve"> </w:t>
      </w:r>
      <w:r w:rsidR="009119A2" w:rsidRPr="006234AA">
        <w:rPr>
          <w:lang w:val="nl-NL"/>
        </w:rPr>
        <w:t>21</w:t>
      </w:r>
      <w:r w:rsidR="007714C6" w:rsidRPr="006234AA">
        <w:rPr>
          <w:lang w:val="nl-NL"/>
        </w:rPr>
        <w:t xml:space="preserve"> </w:t>
      </w:r>
      <w:r w:rsidRPr="006234AA">
        <w:rPr>
          <w:lang w:val="nl-NL"/>
        </w:rPr>
        <w:t>ban hành kèm theo Thông tư này;</w:t>
      </w:r>
    </w:p>
    <w:p w:rsidR="00E2295B" w:rsidRPr="006234AA" w:rsidRDefault="00EF1E99" w:rsidP="003C0546">
      <w:pPr>
        <w:spacing w:after="120"/>
        <w:rPr>
          <w:lang w:val="nl-NL"/>
        </w:rPr>
      </w:pPr>
      <w:r w:rsidRPr="006234AA">
        <w:rPr>
          <w:lang w:val="nl-NL"/>
        </w:rPr>
        <w:t>b</w:t>
      </w:r>
      <w:r w:rsidR="00E2295B" w:rsidRPr="006234AA">
        <w:rPr>
          <w:lang w:val="nl-NL"/>
        </w:rPr>
        <w:t xml:space="preserve">) Giao dịch </w:t>
      </w:r>
      <w:r w:rsidR="00ED16B7" w:rsidRPr="006234AA">
        <w:rPr>
          <w:lang w:val="nl-NL"/>
        </w:rPr>
        <w:t>chênh lệch kỳ hạn</w:t>
      </w:r>
      <w:r w:rsidR="00E2295B" w:rsidRPr="006234AA">
        <w:rPr>
          <w:lang w:val="nl-NL"/>
        </w:rPr>
        <w:t>:</w:t>
      </w:r>
      <w:r w:rsidR="00ED16B7" w:rsidRPr="006234AA">
        <w:rPr>
          <w:lang w:val="nl-NL"/>
        </w:rPr>
        <w:t xml:space="preserve"> Nhà đầu tư </w:t>
      </w:r>
      <w:r w:rsidRPr="006234AA">
        <w:rPr>
          <w:lang w:val="nl-NL"/>
        </w:rPr>
        <w:t xml:space="preserve">mở vị thế mới, </w:t>
      </w:r>
      <w:r w:rsidR="00ED16B7" w:rsidRPr="006234AA">
        <w:rPr>
          <w:lang w:val="nl-NL"/>
        </w:rPr>
        <w:t xml:space="preserve">ngược chiều với vị thế đang nắm giữ của cùng loại chứng khoán phái sinh nhưng khác tháng đáo hạn. </w:t>
      </w:r>
    </w:p>
    <w:p w:rsidR="00F44C95" w:rsidRPr="006234AA" w:rsidRDefault="00932B0F" w:rsidP="003C0546">
      <w:pPr>
        <w:spacing w:after="120"/>
        <w:rPr>
          <w:lang w:val="nl-NL"/>
        </w:rPr>
      </w:pPr>
      <w:r w:rsidRPr="006234AA">
        <w:rPr>
          <w:lang w:val="nl-NL"/>
        </w:rPr>
        <w:t>8</w:t>
      </w:r>
      <w:r w:rsidR="00F44C95" w:rsidRPr="006234AA">
        <w:rPr>
          <w:lang w:val="nl-NL"/>
        </w:rPr>
        <w:t xml:space="preserve">. </w:t>
      </w:r>
      <w:r w:rsidR="00511944" w:rsidRPr="006234AA">
        <w:rPr>
          <w:lang w:val="nl-NL"/>
        </w:rPr>
        <w:t>Việc</w:t>
      </w:r>
      <w:r w:rsidR="00F44C95" w:rsidRPr="006234AA">
        <w:rPr>
          <w:lang w:val="nl-NL"/>
        </w:rPr>
        <w:t xml:space="preserve"> giảm trừ tỷ lệ ký quỹ </w:t>
      </w:r>
      <w:r w:rsidR="00511944" w:rsidRPr="006234AA">
        <w:rPr>
          <w:lang w:val="nl-NL"/>
        </w:rPr>
        <w:t>chỉ thực hiện khi</w:t>
      </w:r>
      <w:r w:rsidR="00F44C95" w:rsidRPr="006234AA">
        <w:rPr>
          <w:lang w:val="nl-NL"/>
        </w:rPr>
        <w:t xml:space="preserve"> đáp ứng đầy đủ các điều kiện sau:</w:t>
      </w:r>
    </w:p>
    <w:p w:rsidR="00F44C95" w:rsidRPr="006234AA" w:rsidRDefault="00F44C95" w:rsidP="003C0546">
      <w:pPr>
        <w:spacing w:after="120"/>
        <w:rPr>
          <w:lang w:val="nl-NL"/>
        </w:rPr>
      </w:pPr>
      <w:r w:rsidRPr="006234AA">
        <w:rPr>
          <w:lang w:val="nl-NL"/>
        </w:rPr>
        <w:t>a) Được thực hiện từ tài khoản kết nối của nhà đầu tư</w:t>
      </w:r>
      <w:r w:rsidR="00511944" w:rsidRPr="006234AA">
        <w:rPr>
          <w:lang w:val="nl-NL"/>
        </w:rPr>
        <w:t xml:space="preserve"> và</w:t>
      </w:r>
      <w:r w:rsidR="00ED16B7" w:rsidRPr="006234AA">
        <w:rPr>
          <w:lang w:val="nl-NL"/>
        </w:rPr>
        <w:t xml:space="preserve"> từ cùng một tài khoản giao dịch chứng khoán phái sinh</w:t>
      </w:r>
      <w:r w:rsidRPr="006234AA">
        <w:rPr>
          <w:lang w:val="nl-NL"/>
        </w:rPr>
        <w:t>;</w:t>
      </w:r>
    </w:p>
    <w:p w:rsidR="00511944" w:rsidRPr="006234AA" w:rsidRDefault="00F44C95" w:rsidP="00511944">
      <w:pPr>
        <w:spacing w:after="120"/>
        <w:rPr>
          <w:lang w:val="nl-NL"/>
        </w:rPr>
      </w:pPr>
      <w:r w:rsidRPr="006234AA">
        <w:rPr>
          <w:lang w:val="nl-NL"/>
        </w:rPr>
        <w:t xml:space="preserve">b) </w:t>
      </w:r>
      <w:r w:rsidR="00511944" w:rsidRPr="006234AA">
        <w:rPr>
          <w:lang w:val="nl-NL"/>
        </w:rPr>
        <w:t>C</w:t>
      </w:r>
      <w:r w:rsidRPr="006234AA">
        <w:rPr>
          <w:lang w:val="nl-NL"/>
        </w:rPr>
        <w:t>ung cấp cho thành viên giao dịch</w:t>
      </w:r>
      <w:r w:rsidR="00511944" w:rsidRPr="006234AA">
        <w:rPr>
          <w:lang w:val="nl-NL"/>
        </w:rPr>
        <w:t>, thành viên bù trừ</w:t>
      </w:r>
      <w:r w:rsidRPr="006234AA">
        <w:rPr>
          <w:lang w:val="nl-NL"/>
        </w:rPr>
        <w:t xml:space="preserve"> </w:t>
      </w:r>
      <w:r w:rsidR="00511944" w:rsidRPr="006234AA">
        <w:rPr>
          <w:lang w:val="nl-NL"/>
        </w:rPr>
        <w:t xml:space="preserve">thông tin hoặc </w:t>
      </w:r>
      <w:r w:rsidRPr="006234AA">
        <w:rPr>
          <w:lang w:val="nl-NL"/>
        </w:rPr>
        <w:t xml:space="preserve">các tài liệu xác minh giao dịch đáp ứng quy định tại khoản </w:t>
      </w:r>
      <w:r w:rsidR="00511944" w:rsidRPr="006234AA">
        <w:rPr>
          <w:lang w:val="nl-NL"/>
        </w:rPr>
        <w:t>4</w:t>
      </w:r>
      <w:r w:rsidRPr="006234AA">
        <w:rPr>
          <w:lang w:val="nl-NL"/>
        </w:rPr>
        <w:t xml:space="preserve"> Điều này</w:t>
      </w:r>
      <w:r w:rsidR="00511944" w:rsidRPr="006234AA">
        <w:rPr>
          <w:lang w:val="nl-NL"/>
        </w:rPr>
        <w:t xml:space="preserve"> </w:t>
      </w:r>
      <w:r w:rsidRPr="006234AA">
        <w:rPr>
          <w:lang w:val="nl-NL"/>
        </w:rPr>
        <w:t>ngay trong ngày giao dịch</w:t>
      </w:r>
      <w:r w:rsidR="00511944" w:rsidRPr="006234AA">
        <w:rPr>
          <w:lang w:val="nl-NL"/>
        </w:rPr>
        <w:t>;</w:t>
      </w:r>
    </w:p>
    <w:p w:rsidR="00372020" w:rsidRPr="006234AA" w:rsidRDefault="00511944" w:rsidP="00511944">
      <w:pPr>
        <w:spacing w:after="120"/>
        <w:rPr>
          <w:lang w:val="nl-NL"/>
        </w:rPr>
      </w:pPr>
      <w:r w:rsidRPr="006234AA">
        <w:rPr>
          <w:lang w:val="nl-NL"/>
        </w:rPr>
        <w:t>c) Mức giảm trừ do thành viên bù trừ quyết định, nhưng phải bảo đảm tỷ lệ ký quỹ ban đầu và tỷ lệ ký quỹ duy trì sau khi giảm trừ không được thấp hơn tỷ lệ ký quỹ ban đầu tối thiểu, tỷ lệ ký quỹ duy trì tối thiểu.</w:t>
      </w:r>
    </w:p>
    <w:p w:rsidR="00674467" w:rsidRPr="006234AA" w:rsidRDefault="00932B0F" w:rsidP="00674467">
      <w:pPr>
        <w:spacing w:after="120"/>
        <w:rPr>
          <w:lang w:val="nl-NL"/>
        </w:rPr>
      </w:pPr>
      <w:r w:rsidRPr="006234AA">
        <w:rPr>
          <w:lang w:val="nl-NL"/>
        </w:rPr>
        <w:t>9</w:t>
      </w:r>
      <w:r w:rsidR="00674467" w:rsidRPr="006234AA">
        <w:rPr>
          <w:lang w:val="nl-NL"/>
        </w:rPr>
        <w:t>. Nhà đầu tư được yêu cầu rút bớt tiền gửi ký quỹ, chứng khoán ký quỹ trong trường hợp giá trị tài sản ký quỹ vượt quá mức ký quỹ ban đầu theo yêu cầu của thành viên bù trừ. Việc rút bớt tài sản ký quỹ được thực hiện theo thứ tự ưu tiên sau:</w:t>
      </w:r>
    </w:p>
    <w:p w:rsidR="00674467" w:rsidRPr="006234AA" w:rsidRDefault="00674467" w:rsidP="00674467">
      <w:pPr>
        <w:spacing w:after="120"/>
        <w:rPr>
          <w:lang w:val="nl-NL"/>
        </w:rPr>
      </w:pPr>
      <w:r w:rsidRPr="006234AA">
        <w:rPr>
          <w:lang w:val="nl-NL"/>
        </w:rPr>
        <w:t>a) Chứng khoán ký quỹ, dưới hình thức chấm dứt phong tỏa trên tài khoản thế chấp của nhà đầu tư;</w:t>
      </w:r>
    </w:p>
    <w:p w:rsidR="00674467" w:rsidRPr="006234AA" w:rsidRDefault="00674467" w:rsidP="00674467">
      <w:pPr>
        <w:spacing w:after="120"/>
        <w:rPr>
          <w:lang w:val="nl-NL"/>
        </w:rPr>
      </w:pPr>
      <w:r w:rsidRPr="006234AA">
        <w:rPr>
          <w:lang w:val="nl-NL"/>
        </w:rPr>
        <w:t>b) Tiền, dưới hình thức chuyển khoản về tài khoản thanh toán của chính nhà đầu tư.</w:t>
      </w:r>
    </w:p>
    <w:p w:rsidR="007D0B36" w:rsidRPr="006234AA" w:rsidRDefault="00932B0F" w:rsidP="00674467">
      <w:pPr>
        <w:spacing w:after="120"/>
        <w:rPr>
          <w:lang w:val="nl-NL"/>
        </w:rPr>
      </w:pPr>
      <w:r w:rsidRPr="006234AA">
        <w:rPr>
          <w:lang w:val="nl-NL"/>
        </w:rPr>
        <w:t>10</w:t>
      </w:r>
      <w:r w:rsidR="00674467" w:rsidRPr="006234AA">
        <w:rPr>
          <w:lang w:val="nl-NL"/>
        </w:rPr>
        <w:t xml:space="preserve">. Lượng tiền có thể rút ra hoặc lượng chứng khoán có thể chấm dứt phong tỏa không được vượt quá phần chênh lệch giữa giá trị tài sản ký quỹ và </w:t>
      </w:r>
      <w:r w:rsidR="00674467" w:rsidRPr="006234AA">
        <w:rPr>
          <w:lang w:val="nl-NL"/>
        </w:rPr>
        <w:lastRenderedPageBreak/>
        <w:t>mức ký quỹ ban đầu theo yêu cầu của thành viên bù trừ</w:t>
      </w:r>
      <w:r w:rsidR="00560033" w:rsidRPr="006234AA">
        <w:rPr>
          <w:lang w:val="nl-NL"/>
        </w:rPr>
        <w:t>, đồng thời</w:t>
      </w:r>
      <w:r w:rsidR="00674467" w:rsidRPr="006234AA">
        <w:rPr>
          <w:lang w:val="nl-NL"/>
        </w:rPr>
        <w:t xml:space="preserve"> phải bảo đảm duy trì lượng tiền </w:t>
      </w:r>
      <w:r w:rsidR="00560033" w:rsidRPr="006234AA">
        <w:rPr>
          <w:lang w:val="nl-NL"/>
        </w:rPr>
        <w:t xml:space="preserve">gửi </w:t>
      </w:r>
      <w:r w:rsidR="00674467" w:rsidRPr="006234AA">
        <w:rPr>
          <w:lang w:val="nl-NL"/>
        </w:rPr>
        <w:t xml:space="preserve">ký quỹ còn lại không thấp hơn tỷ lệ ký quỹ bằng tiền theo yêu cầu của thành viên bù trừ. </w:t>
      </w:r>
      <w:r w:rsidR="007D0B36" w:rsidRPr="006234AA">
        <w:rPr>
          <w:lang w:val="nl-NL"/>
        </w:rPr>
        <w:t>Việc rút bớt tiền gửi ký quỹ, chứng khoán ký quỹ thực hiện theo quy chế của Trung tâm Lưu ký chứng khoán.</w:t>
      </w:r>
    </w:p>
    <w:p w:rsidR="00074D3D" w:rsidRPr="006234AA" w:rsidRDefault="00074D3D" w:rsidP="00074D3D">
      <w:pPr>
        <w:spacing w:after="120"/>
        <w:rPr>
          <w:lang w:val="nl-NL"/>
        </w:rPr>
      </w:pPr>
      <w:r w:rsidRPr="006234AA">
        <w:rPr>
          <w:lang w:val="nl-NL"/>
        </w:rPr>
        <w:t>11. Nhà đầu tư phải ký cam kết cho phép thành viên bù trừ sử dụng tài sản mà mình đã ký quỹ và thực hiện các phương án xử lý tài sản ký quỹ theo quy định của pháp luật dân sự về giao dịch tài sản bảo đảm, kể cả bán thanh lý toàn bộ danh mục chứng khoán đã ký quỹ, để thực hiện các vị thế mở của nhà đầu tư và trong trường hợp nhà đầu tư mất khả năng thanh toán theo quy định tại Khoản 11 Điều 52 Thông tư này.</w:t>
      </w:r>
    </w:p>
    <w:p w:rsidR="00BA4B7B" w:rsidRPr="006234AA" w:rsidRDefault="00617848" w:rsidP="003C0546">
      <w:pPr>
        <w:pStyle w:val="Heading4"/>
        <w:spacing w:after="120"/>
      </w:pPr>
      <w:bookmarkStart w:id="208" w:name="_Toc422672007"/>
      <w:bookmarkStart w:id="209" w:name="_Toc383932743"/>
      <w:bookmarkStart w:id="210" w:name="_Toc385602483"/>
      <w:bookmarkStart w:id="211" w:name="_Toc387730756"/>
      <w:bookmarkStart w:id="212" w:name="_Toc383932787"/>
      <w:bookmarkStart w:id="213" w:name="_Toc382297556"/>
      <w:bookmarkStart w:id="214" w:name="_Toc385602442"/>
      <w:r w:rsidRPr="006234AA">
        <w:t xml:space="preserve">Lãi lỗ </w:t>
      </w:r>
      <w:r w:rsidR="00BA4B7B" w:rsidRPr="006234AA">
        <w:t>vị thế</w:t>
      </w:r>
      <w:bookmarkEnd w:id="208"/>
      <w:r w:rsidR="00BA4B7B" w:rsidRPr="006234AA">
        <w:t xml:space="preserve"> </w:t>
      </w:r>
      <w:bookmarkEnd w:id="209"/>
      <w:bookmarkEnd w:id="210"/>
      <w:bookmarkEnd w:id="211"/>
    </w:p>
    <w:p w:rsidR="00F44C95" w:rsidRPr="006234AA" w:rsidRDefault="00F44C95" w:rsidP="003C0546">
      <w:pPr>
        <w:spacing w:after="120"/>
        <w:rPr>
          <w:lang w:val="nl-NL"/>
        </w:rPr>
      </w:pPr>
      <w:r w:rsidRPr="006234AA">
        <w:rPr>
          <w:lang w:val="nl-NL"/>
        </w:rPr>
        <w:t xml:space="preserve">1. </w:t>
      </w:r>
      <w:r w:rsidR="00074D3D" w:rsidRPr="006234AA">
        <w:rPr>
          <w:lang w:val="nl-NL"/>
        </w:rPr>
        <w:t>L</w:t>
      </w:r>
      <w:r w:rsidRPr="006234AA">
        <w:rPr>
          <w:lang w:val="nl-NL"/>
        </w:rPr>
        <w:t xml:space="preserve">ãi lỗ </w:t>
      </w:r>
      <w:r w:rsidR="009B0AB4" w:rsidRPr="006234AA">
        <w:rPr>
          <w:lang w:val="nl-NL"/>
        </w:rPr>
        <w:t>vị thế</w:t>
      </w:r>
      <w:r w:rsidRPr="006234AA">
        <w:rPr>
          <w:lang w:val="nl-NL"/>
        </w:rPr>
        <w:t xml:space="preserve"> </w:t>
      </w:r>
      <w:r w:rsidR="009B0AB4" w:rsidRPr="006234AA">
        <w:rPr>
          <w:lang w:val="nl-NL"/>
        </w:rPr>
        <w:t xml:space="preserve">của từng chứng khoán phái sinh </w:t>
      </w:r>
      <w:r w:rsidR="00074D3D" w:rsidRPr="006234AA">
        <w:rPr>
          <w:lang w:val="nl-NL"/>
        </w:rPr>
        <w:t xml:space="preserve">được xác định </w:t>
      </w:r>
      <w:r w:rsidRPr="006234AA">
        <w:rPr>
          <w:lang w:val="nl-NL"/>
        </w:rPr>
        <w:t>theo công thức sau:</w:t>
      </w:r>
    </w:p>
    <w:p w:rsidR="007A4397" w:rsidRPr="006234AA" w:rsidRDefault="007A4397" w:rsidP="007A4397">
      <w:pPr>
        <w:spacing w:after="120"/>
        <w:rPr>
          <w:lang w:val="nl-NL"/>
        </w:rPr>
      </w:pPr>
      <w:r w:rsidRPr="006234AA">
        <w:rPr>
          <w:lang w:val="nl-NL"/>
        </w:rPr>
        <w:t xml:space="preserve">- Lãi/lỗ vị thế của ngày mở vị thế = Giá thanh toán cuối ngày – Giá </w:t>
      </w:r>
      <w:r w:rsidR="006215E5" w:rsidRPr="006234AA">
        <w:rPr>
          <w:lang w:val="nl-NL"/>
        </w:rPr>
        <w:t>thanah toán</w:t>
      </w:r>
      <w:r w:rsidRPr="006234AA">
        <w:rPr>
          <w:lang w:val="nl-NL"/>
        </w:rPr>
        <w:t xml:space="preserve"> (giá khớp lệnh) × Hệ số nhân của hợp đồng × Số lượng chứng khoán phái sinh đang nắm giữ</w:t>
      </w:r>
    </w:p>
    <w:p w:rsidR="00F44C95" w:rsidRPr="006234AA" w:rsidRDefault="00074D3D" w:rsidP="003C0546">
      <w:pPr>
        <w:spacing w:after="120"/>
        <w:rPr>
          <w:lang w:val="nl-NL"/>
        </w:rPr>
      </w:pPr>
      <w:r w:rsidRPr="006234AA">
        <w:rPr>
          <w:lang w:val="nl-NL"/>
        </w:rPr>
        <w:t xml:space="preserve">- </w:t>
      </w:r>
      <w:r w:rsidR="00F44C95" w:rsidRPr="006234AA">
        <w:rPr>
          <w:lang w:val="nl-NL"/>
        </w:rPr>
        <w:t xml:space="preserve">Lãi/lỗ </w:t>
      </w:r>
      <w:r w:rsidR="009B0AB4" w:rsidRPr="006234AA">
        <w:rPr>
          <w:lang w:val="nl-NL"/>
        </w:rPr>
        <w:t>vị thế</w:t>
      </w:r>
      <w:r w:rsidR="00F44C95" w:rsidRPr="006234AA">
        <w:rPr>
          <w:lang w:val="nl-NL"/>
        </w:rPr>
        <w:t xml:space="preserve"> </w:t>
      </w:r>
      <w:r w:rsidR="007A4397" w:rsidRPr="006234AA">
        <w:rPr>
          <w:lang w:val="nl-NL"/>
        </w:rPr>
        <w:t>của</w:t>
      </w:r>
      <w:r w:rsidR="00F44C95" w:rsidRPr="006234AA">
        <w:rPr>
          <w:lang w:val="nl-NL"/>
        </w:rPr>
        <w:t xml:space="preserve"> ngày giao dịch </w:t>
      </w:r>
      <w:r w:rsidR="007A4397" w:rsidRPr="006234AA">
        <w:rPr>
          <w:lang w:val="nl-NL"/>
        </w:rPr>
        <w:t xml:space="preserve">sau ngày mở vị thế </w:t>
      </w:r>
      <w:r w:rsidR="00F44C95" w:rsidRPr="006234AA">
        <w:rPr>
          <w:lang w:val="nl-NL"/>
        </w:rPr>
        <w:t>= Giá thanh toán cuối ngày - Giá thanh toán cuối ngày của ngày giao dịch liền trước (giá tham chiếu) × Hệ số nhân của hợp đồng</w:t>
      </w:r>
      <w:r w:rsidR="009B0AB4" w:rsidRPr="006234AA">
        <w:rPr>
          <w:lang w:val="nl-NL"/>
        </w:rPr>
        <w:t xml:space="preserve"> × Số lượng chứng khoán phái sinh đang nắm giữ</w:t>
      </w:r>
    </w:p>
    <w:p w:rsidR="00074D3D" w:rsidRPr="006234AA" w:rsidRDefault="00074D3D" w:rsidP="00074D3D">
      <w:pPr>
        <w:spacing w:after="120"/>
        <w:rPr>
          <w:lang w:val="nl-NL"/>
        </w:rPr>
      </w:pPr>
      <w:r w:rsidRPr="006234AA">
        <w:rPr>
          <w:lang w:val="nl-NL"/>
        </w:rPr>
        <w:t xml:space="preserve">- Lãi/lỗ </w:t>
      </w:r>
      <w:r w:rsidR="009B0AB4" w:rsidRPr="006234AA">
        <w:rPr>
          <w:lang w:val="nl-NL"/>
        </w:rPr>
        <w:t>vị thế</w:t>
      </w:r>
      <w:r w:rsidRPr="006234AA">
        <w:rPr>
          <w:lang w:val="nl-NL"/>
        </w:rPr>
        <w:t xml:space="preserve"> tại </w:t>
      </w:r>
      <w:r w:rsidR="007A4397" w:rsidRPr="006234AA">
        <w:rPr>
          <w:lang w:val="nl-NL"/>
        </w:rPr>
        <w:t xml:space="preserve">một </w:t>
      </w:r>
      <w:r w:rsidRPr="006234AA">
        <w:rPr>
          <w:lang w:val="nl-NL"/>
        </w:rPr>
        <w:t xml:space="preserve">thời điểm </w:t>
      </w:r>
      <w:r w:rsidR="007A4397" w:rsidRPr="006234AA">
        <w:rPr>
          <w:lang w:val="nl-NL"/>
        </w:rPr>
        <w:t xml:space="preserve">bất kỳ </w:t>
      </w:r>
      <w:r w:rsidRPr="006234AA">
        <w:rPr>
          <w:lang w:val="nl-NL"/>
        </w:rPr>
        <w:t xml:space="preserve">= Giá thị trường </w:t>
      </w:r>
      <w:r w:rsidR="007A4397" w:rsidRPr="006234AA">
        <w:rPr>
          <w:lang w:val="nl-NL"/>
        </w:rPr>
        <w:t xml:space="preserve">tại thời điểm xác định lãi lỗ vị thế </w:t>
      </w:r>
      <w:r w:rsidRPr="006234AA">
        <w:rPr>
          <w:lang w:val="nl-NL"/>
        </w:rPr>
        <w:t>- Giá thanh toán cuối ngày của ngày giao dịch liền trước (giá tham chiếu) × Hệ số nhân của hợp đồng</w:t>
      </w:r>
      <w:r w:rsidR="009B0AB4" w:rsidRPr="006234AA">
        <w:rPr>
          <w:lang w:val="nl-NL"/>
        </w:rPr>
        <w:t xml:space="preserve"> × Số lượng chứng khoán phái sinh đang nắm giữ</w:t>
      </w:r>
    </w:p>
    <w:p w:rsidR="00F44C95" w:rsidRPr="006234AA" w:rsidRDefault="00F44C95" w:rsidP="003C0546">
      <w:pPr>
        <w:spacing w:after="120"/>
        <w:rPr>
          <w:lang w:val="nl-NL"/>
        </w:rPr>
      </w:pPr>
      <w:r w:rsidRPr="006234AA">
        <w:rPr>
          <w:lang w:val="nl-NL"/>
        </w:rPr>
        <w:t>a) Nếu giá thanh toán cuối ngày</w:t>
      </w:r>
      <w:r w:rsidR="00074D3D" w:rsidRPr="006234AA">
        <w:rPr>
          <w:lang w:val="nl-NL"/>
        </w:rPr>
        <w:t xml:space="preserve"> (hoặc giá thị trường tại thời điểm tính toán)</w:t>
      </w:r>
      <w:r w:rsidRPr="006234AA">
        <w:rPr>
          <w:lang w:val="nl-NL"/>
        </w:rPr>
        <w:t xml:space="preserve"> cao hơn giá tham chiếu, thì vị thế mua được một khoản lãi và vị thế bán chịu một khoản lỗ;</w:t>
      </w:r>
    </w:p>
    <w:p w:rsidR="00F44C95" w:rsidRPr="006234AA" w:rsidRDefault="00F44C95" w:rsidP="003C0546">
      <w:pPr>
        <w:spacing w:after="120"/>
        <w:rPr>
          <w:lang w:val="nl-NL"/>
        </w:rPr>
      </w:pPr>
      <w:r w:rsidRPr="006234AA">
        <w:rPr>
          <w:lang w:val="nl-NL"/>
        </w:rPr>
        <w:t xml:space="preserve">b) Nếu giá thanh toán cuối ngày </w:t>
      </w:r>
      <w:r w:rsidR="00074D3D" w:rsidRPr="006234AA">
        <w:rPr>
          <w:lang w:val="nl-NL"/>
        </w:rPr>
        <w:t>(hoặc giá thị trường tại thời điểm tính toán)</w:t>
      </w:r>
      <w:r w:rsidRPr="006234AA">
        <w:rPr>
          <w:lang w:val="nl-NL"/>
        </w:rPr>
        <w:t xml:space="preserve"> </w:t>
      </w:r>
      <w:r w:rsidR="004444C5" w:rsidRPr="006234AA">
        <w:rPr>
          <w:lang w:val="nl-NL"/>
        </w:rPr>
        <w:t xml:space="preserve">thấp </w:t>
      </w:r>
      <w:r w:rsidRPr="006234AA">
        <w:rPr>
          <w:lang w:val="nl-NL"/>
        </w:rPr>
        <w:t>hơn giá tham chiếu thì vị thế mua chịu một khoản lỗ và vị thế bán được một khoản lãi.</w:t>
      </w:r>
    </w:p>
    <w:p w:rsidR="00F44C95" w:rsidRPr="006234AA" w:rsidRDefault="00F44C95" w:rsidP="005D1E44">
      <w:pPr>
        <w:spacing w:after="120"/>
        <w:rPr>
          <w:lang w:val="nl-NL"/>
        </w:rPr>
      </w:pPr>
      <w:r w:rsidRPr="006234AA">
        <w:rPr>
          <w:lang w:val="nl-NL"/>
        </w:rPr>
        <w:t xml:space="preserve">2. </w:t>
      </w:r>
      <w:r w:rsidR="00074D3D" w:rsidRPr="006234AA">
        <w:rPr>
          <w:lang w:val="nl-NL"/>
        </w:rPr>
        <w:t>L</w:t>
      </w:r>
      <w:r w:rsidRPr="006234AA">
        <w:rPr>
          <w:lang w:val="nl-NL"/>
        </w:rPr>
        <w:t>ãi lỗ của tài k</w:t>
      </w:r>
      <w:r w:rsidR="005D1E44" w:rsidRPr="006234AA">
        <w:rPr>
          <w:lang w:val="nl-NL"/>
        </w:rPr>
        <w:t xml:space="preserve">hoản giao dịch </w:t>
      </w:r>
      <w:r w:rsidRPr="006234AA">
        <w:rPr>
          <w:lang w:val="nl-NL"/>
        </w:rPr>
        <w:t xml:space="preserve">là </w:t>
      </w:r>
      <w:r w:rsidR="00A6268D" w:rsidRPr="006234AA">
        <w:rPr>
          <w:lang w:val="nl-NL"/>
        </w:rPr>
        <w:t xml:space="preserve">tổng mức lãi, đã khấu trừ các khoản </w:t>
      </w:r>
      <w:r w:rsidRPr="006234AA">
        <w:rPr>
          <w:lang w:val="nl-NL"/>
        </w:rPr>
        <w:t xml:space="preserve">lỗ </w:t>
      </w:r>
      <w:r w:rsidR="00A6268D" w:rsidRPr="006234AA">
        <w:rPr>
          <w:lang w:val="nl-NL"/>
        </w:rPr>
        <w:t>từ</w:t>
      </w:r>
      <w:r w:rsidRPr="006234AA">
        <w:rPr>
          <w:lang w:val="nl-NL"/>
        </w:rPr>
        <w:t xml:space="preserve"> tất cả </w:t>
      </w:r>
      <w:r w:rsidR="009B0AB4" w:rsidRPr="006234AA">
        <w:rPr>
          <w:lang w:val="nl-NL"/>
        </w:rPr>
        <w:t xml:space="preserve">vị thế các </w:t>
      </w:r>
      <w:r w:rsidR="00A6268D" w:rsidRPr="006234AA">
        <w:rPr>
          <w:lang w:val="nl-NL"/>
        </w:rPr>
        <w:t>chứng khoán phái sinh đang có trên tài khoản giao dịch</w:t>
      </w:r>
      <w:r w:rsidRPr="006234AA">
        <w:rPr>
          <w:lang w:val="nl-NL"/>
        </w:rPr>
        <w:t>.</w:t>
      </w:r>
    </w:p>
    <w:p w:rsidR="00D740AC" w:rsidRPr="006234AA" w:rsidRDefault="00D740AC" w:rsidP="005D1E44">
      <w:pPr>
        <w:spacing w:after="120"/>
        <w:rPr>
          <w:lang w:val="nl-NL"/>
        </w:rPr>
      </w:pPr>
      <w:r w:rsidRPr="006234AA">
        <w:rPr>
          <w:lang w:val="nl-NL"/>
        </w:rPr>
        <w:t xml:space="preserve">3. Thành viên bù trừ có trách nhiệm xác định lãi lỗ vị thế hàng ngày và hạch toán đầy đủ vào tài khoản ký quỹ của nhà đầu tư ngay sau khi tiếp nhận thanh toán từ Trung tâm Lưu ký chứng khoán. </w:t>
      </w:r>
    </w:p>
    <w:p w:rsidR="00B614BC" w:rsidRPr="006234AA" w:rsidRDefault="00503480" w:rsidP="003C0546">
      <w:pPr>
        <w:pStyle w:val="Heading4"/>
        <w:spacing w:after="120"/>
      </w:pPr>
      <w:bookmarkStart w:id="215" w:name="_Toc422672008"/>
      <w:bookmarkStart w:id="216" w:name="_Toc383551243"/>
      <w:bookmarkStart w:id="217" w:name="_Toc383932757"/>
      <w:bookmarkStart w:id="218" w:name="_Toc385602484"/>
      <w:bookmarkStart w:id="219" w:name="_Toc387730757"/>
      <w:bookmarkStart w:id="220" w:name="_Toc397003392"/>
      <w:bookmarkStart w:id="221" w:name="_Toc383551245"/>
      <w:r w:rsidRPr="006234AA">
        <w:t>Quản lý</w:t>
      </w:r>
      <w:r w:rsidR="00B614BC" w:rsidRPr="006234AA">
        <w:t xml:space="preserve"> vị thế</w:t>
      </w:r>
      <w:bookmarkEnd w:id="215"/>
    </w:p>
    <w:p w:rsidR="00B614BC" w:rsidRPr="006234AA" w:rsidRDefault="00B614BC" w:rsidP="003C0546">
      <w:pPr>
        <w:spacing w:after="120"/>
        <w:rPr>
          <w:lang w:val="nl-NL"/>
        </w:rPr>
      </w:pPr>
      <w:r w:rsidRPr="006234AA">
        <w:rPr>
          <w:lang w:val="nl-NL"/>
        </w:rPr>
        <w:t xml:space="preserve">1. </w:t>
      </w:r>
      <w:r w:rsidR="00AD3884" w:rsidRPr="006234AA">
        <w:rPr>
          <w:lang w:val="nl-NL"/>
        </w:rPr>
        <w:t>Tại mọi thời điểm, v</w:t>
      </w:r>
      <w:r w:rsidRPr="006234AA">
        <w:rPr>
          <w:lang w:val="nl-NL"/>
        </w:rPr>
        <w:t xml:space="preserve">ị thế mở </w:t>
      </w:r>
      <w:r w:rsidR="00D740AC" w:rsidRPr="006234AA">
        <w:rPr>
          <w:lang w:val="nl-NL"/>
        </w:rPr>
        <w:t>mỗi chứng khoán phái sinh</w:t>
      </w:r>
      <w:r w:rsidR="00AD3884" w:rsidRPr="006234AA">
        <w:rPr>
          <w:lang w:val="nl-NL"/>
        </w:rPr>
        <w:t xml:space="preserve"> có thể được nhà đầu tư</w:t>
      </w:r>
      <w:r w:rsidRPr="006234AA">
        <w:rPr>
          <w:lang w:val="nl-NL"/>
        </w:rPr>
        <w:t xml:space="preserve"> </w:t>
      </w:r>
      <w:r w:rsidR="00D740AC" w:rsidRPr="006234AA">
        <w:rPr>
          <w:lang w:val="nl-NL"/>
        </w:rPr>
        <w:t>thực hiện</w:t>
      </w:r>
      <w:r w:rsidRPr="006234AA">
        <w:rPr>
          <w:lang w:val="nl-NL"/>
        </w:rPr>
        <w:t xml:space="preserve"> theo một trong các </w:t>
      </w:r>
      <w:r w:rsidR="00AD3884" w:rsidRPr="006234AA">
        <w:rPr>
          <w:lang w:val="nl-NL"/>
        </w:rPr>
        <w:t>giải pháp</w:t>
      </w:r>
      <w:r w:rsidRPr="006234AA">
        <w:rPr>
          <w:lang w:val="nl-NL"/>
        </w:rPr>
        <w:t xml:space="preserve"> sau:</w:t>
      </w:r>
    </w:p>
    <w:p w:rsidR="00B614BC" w:rsidRPr="006234AA" w:rsidRDefault="00B614BC" w:rsidP="003C0546">
      <w:pPr>
        <w:spacing w:after="120"/>
        <w:rPr>
          <w:lang w:val="nl-NL"/>
        </w:rPr>
      </w:pPr>
      <w:r w:rsidRPr="006234AA">
        <w:rPr>
          <w:lang w:val="nl-NL"/>
        </w:rPr>
        <w:lastRenderedPageBreak/>
        <w:t xml:space="preserve">a) </w:t>
      </w:r>
      <w:r w:rsidR="009B0AB4" w:rsidRPr="006234AA">
        <w:rPr>
          <w:lang w:val="nl-NL"/>
        </w:rPr>
        <w:t>Thực hiện</w:t>
      </w:r>
      <w:r w:rsidR="00D740AC" w:rsidRPr="006234AA">
        <w:rPr>
          <w:lang w:val="nl-NL"/>
        </w:rPr>
        <w:t xml:space="preserve"> giao dịch đối ứng</w:t>
      </w:r>
      <w:r w:rsidR="009B0AB4" w:rsidRPr="006234AA">
        <w:rPr>
          <w:lang w:val="nl-NL"/>
        </w:rPr>
        <w:t xml:space="preserve"> (giao dịch ngược chiều với vị thế đang nắm giữ)</w:t>
      </w:r>
      <w:r w:rsidR="00D740AC" w:rsidRPr="006234AA">
        <w:rPr>
          <w:lang w:val="nl-NL"/>
        </w:rPr>
        <w:t xml:space="preserve"> để đ</w:t>
      </w:r>
      <w:r w:rsidRPr="006234AA">
        <w:rPr>
          <w:lang w:val="nl-NL"/>
        </w:rPr>
        <w:t>óng vị thế</w:t>
      </w:r>
      <w:r w:rsidR="00AD3884" w:rsidRPr="006234AA">
        <w:rPr>
          <w:lang w:val="nl-NL"/>
        </w:rPr>
        <w:t xml:space="preserve"> (đóng toàn phần hoặc đóng một phần)</w:t>
      </w:r>
      <w:r w:rsidR="00D740AC" w:rsidRPr="006234AA">
        <w:rPr>
          <w:lang w:val="nl-NL"/>
        </w:rPr>
        <w:t>;</w:t>
      </w:r>
    </w:p>
    <w:p w:rsidR="00B614BC" w:rsidRPr="006234AA" w:rsidRDefault="00B614BC" w:rsidP="003C0546">
      <w:pPr>
        <w:spacing w:after="120"/>
        <w:rPr>
          <w:lang w:val="nl-NL"/>
        </w:rPr>
      </w:pPr>
      <w:r w:rsidRPr="006234AA">
        <w:rPr>
          <w:lang w:val="nl-NL"/>
        </w:rPr>
        <w:t xml:space="preserve">b) </w:t>
      </w:r>
      <w:r w:rsidR="00AD3884" w:rsidRPr="006234AA">
        <w:rPr>
          <w:lang w:val="nl-NL"/>
        </w:rPr>
        <w:t>T</w:t>
      </w:r>
      <w:r w:rsidR="00D740AC" w:rsidRPr="006234AA">
        <w:rPr>
          <w:lang w:val="nl-NL"/>
        </w:rPr>
        <w:t>iếp tục duy trì vị thế</w:t>
      </w:r>
      <w:r w:rsidR="009B0AB4" w:rsidRPr="006234AA">
        <w:rPr>
          <w:lang w:val="nl-NL"/>
        </w:rPr>
        <w:t>: Nhà đầu tư đặt lệnh giao dịch cùng chiều cùng chứng khoán phái sinh, hoặc không thực hiện thêm giao dịch</w:t>
      </w:r>
    </w:p>
    <w:p w:rsidR="00B614BC" w:rsidRPr="006234AA" w:rsidRDefault="00B614BC" w:rsidP="00D740AC">
      <w:pPr>
        <w:spacing w:after="120"/>
        <w:rPr>
          <w:lang w:val="nl-NL"/>
        </w:rPr>
      </w:pPr>
      <w:r w:rsidRPr="006234AA">
        <w:rPr>
          <w:lang w:val="nl-NL"/>
        </w:rPr>
        <w:t xml:space="preserve">c) </w:t>
      </w:r>
      <w:r w:rsidR="00D740AC" w:rsidRPr="006234AA">
        <w:rPr>
          <w:lang w:val="nl-NL"/>
        </w:rPr>
        <w:t>Thanh lý vị thế đáo hạn thông qua hoạt động</w:t>
      </w:r>
      <w:r w:rsidRPr="006234AA">
        <w:rPr>
          <w:lang w:val="nl-NL"/>
        </w:rPr>
        <w:t xml:space="preserve"> giao </w:t>
      </w:r>
      <w:r w:rsidR="00D740AC" w:rsidRPr="006234AA">
        <w:rPr>
          <w:lang w:val="nl-NL"/>
        </w:rPr>
        <w:t xml:space="preserve">dịch tài sản cơ sở hoặc thanh toán khoản chênh lệch giá trị; </w:t>
      </w:r>
    </w:p>
    <w:p w:rsidR="00B614BC" w:rsidRPr="006234AA" w:rsidRDefault="00D740AC" w:rsidP="003C0546">
      <w:pPr>
        <w:spacing w:after="120"/>
        <w:rPr>
          <w:lang w:val="nl-NL"/>
        </w:rPr>
      </w:pPr>
      <w:r w:rsidRPr="006234AA">
        <w:rPr>
          <w:lang w:val="nl-NL"/>
        </w:rPr>
        <w:t>d</w:t>
      </w:r>
      <w:r w:rsidR="00B614BC" w:rsidRPr="006234AA">
        <w:rPr>
          <w:lang w:val="nl-NL"/>
        </w:rPr>
        <w:t xml:space="preserve">) Các trường hợp khác </w:t>
      </w:r>
      <w:r w:rsidRPr="006234AA">
        <w:rPr>
          <w:lang w:val="nl-NL"/>
        </w:rPr>
        <w:t>theo</w:t>
      </w:r>
      <w:r w:rsidR="00B614BC" w:rsidRPr="006234AA">
        <w:rPr>
          <w:lang w:val="nl-NL"/>
        </w:rPr>
        <w:t xml:space="preserve"> </w:t>
      </w:r>
      <w:r w:rsidRPr="006234AA">
        <w:rPr>
          <w:lang w:val="nl-NL"/>
        </w:rPr>
        <w:t>q</w:t>
      </w:r>
      <w:r w:rsidR="00B614BC" w:rsidRPr="006234AA">
        <w:rPr>
          <w:lang w:val="nl-NL"/>
        </w:rPr>
        <w:t xml:space="preserve">uy chế </w:t>
      </w:r>
      <w:r w:rsidRPr="006234AA">
        <w:rPr>
          <w:lang w:val="nl-NL"/>
        </w:rPr>
        <w:t>của</w:t>
      </w:r>
      <w:r w:rsidR="00B614BC" w:rsidRPr="006234AA">
        <w:rPr>
          <w:lang w:val="nl-NL"/>
        </w:rPr>
        <w:t xml:space="preserve"> Trung tâm lưu ký chứng khoán.</w:t>
      </w:r>
    </w:p>
    <w:p w:rsidR="00B614BC" w:rsidRPr="006234AA" w:rsidRDefault="00B614BC" w:rsidP="003C0546">
      <w:pPr>
        <w:spacing w:after="120"/>
        <w:rPr>
          <w:lang w:val="nl-NL"/>
        </w:rPr>
      </w:pPr>
      <w:r w:rsidRPr="006234AA">
        <w:rPr>
          <w:lang w:val="nl-NL"/>
        </w:rPr>
        <w:t>2. Đóng vị thế:</w:t>
      </w:r>
    </w:p>
    <w:p w:rsidR="00AD3884" w:rsidRPr="006234AA" w:rsidRDefault="00B614BC" w:rsidP="003C0546">
      <w:pPr>
        <w:spacing w:after="120"/>
        <w:rPr>
          <w:lang w:val="nl-NL"/>
        </w:rPr>
      </w:pPr>
      <w:r w:rsidRPr="006234AA">
        <w:rPr>
          <w:lang w:val="nl-NL"/>
        </w:rPr>
        <w:t xml:space="preserve">a) </w:t>
      </w:r>
      <w:r w:rsidR="00AD3884" w:rsidRPr="006234AA">
        <w:rPr>
          <w:lang w:val="nl-NL"/>
        </w:rPr>
        <w:t>Nhà đầu tư đang nắm giữ vị thế mua (hoặc bán) một chứng khoán phái sinh, đặt lệnh giao dịch bán (hoặc mua) cùng chứng khoán phái sinh đó</w:t>
      </w:r>
      <w:r w:rsidR="009B0AB4" w:rsidRPr="006234AA">
        <w:rPr>
          <w:lang w:val="nl-NL"/>
        </w:rPr>
        <w:t xml:space="preserve"> trên cùng một tài khoản giao dịch</w:t>
      </w:r>
      <w:r w:rsidR="00AD3884" w:rsidRPr="006234AA">
        <w:rPr>
          <w:lang w:val="nl-NL"/>
        </w:rPr>
        <w:t xml:space="preserve">; </w:t>
      </w:r>
    </w:p>
    <w:p w:rsidR="009B0AB4" w:rsidRPr="006234AA" w:rsidRDefault="00AD3884" w:rsidP="00E52BCC">
      <w:pPr>
        <w:spacing w:after="120"/>
        <w:rPr>
          <w:lang w:val="nl-NL"/>
        </w:rPr>
      </w:pPr>
      <w:r w:rsidRPr="006234AA">
        <w:rPr>
          <w:lang w:val="nl-NL"/>
        </w:rPr>
        <w:t xml:space="preserve">b) Sau khi giao dịch, vị thế mở mới của nhà đầu tư được điều chỉnh giảm bớt lượng chứng khoán vừa </w:t>
      </w:r>
      <w:r w:rsidR="009B0AB4" w:rsidRPr="006234AA">
        <w:rPr>
          <w:lang w:val="nl-NL"/>
        </w:rPr>
        <w:t>giao dịch</w:t>
      </w:r>
      <w:r w:rsidRPr="006234AA">
        <w:rPr>
          <w:lang w:val="nl-NL"/>
        </w:rPr>
        <w:t xml:space="preserve"> </w:t>
      </w:r>
      <w:r w:rsidR="00E52BCC" w:rsidRPr="006234AA">
        <w:rPr>
          <w:lang w:val="nl-NL"/>
        </w:rPr>
        <w:t>trong trường hợp c</w:t>
      </w:r>
      <w:r w:rsidRPr="006234AA">
        <w:rPr>
          <w:lang w:val="nl-NL"/>
        </w:rPr>
        <w:t>hứng khoán phái sinh giao dịch phải là loại thanh toán bằng tiền</w:t>
      </w:r>
      <w:r w:rsidR="00B614BC" w:rsidRPr="006234AA">
        <w:rPr>
          <w:lang w:val="nl-NL"/>
        </w:rPr>
        <w:t>;</w:t>
      </w:r>
      <w:r w:rsidR="00E52BCC" w:rsidRPr="006234AA">
        <w:rPr>
          <w:lang w:val="nl-NL"/>
        </w:rPr>
        <w:t xml:space="preserve"> hoặc</w:t>
      </w:r>
      <w:r w:rsidRPr="006234AA">
        <w:rPr>
          <w:lang w:val="nl-NL"/>
        </w:rPr>
        <w:t xml:space="preserve"> </w:t>
      </w:r>
      <w:r w:rsidR="00E52BCC" w:rsidRPr="006234AA">
        <w:rPr>
          <w:lang w:val="nl-NL"/>
        </w:rPr>
        <w:t>c</w:t>
      </w:r>
      <w:r w:rsidRPr="006234AA">
        <w:rPr>
          <w:lang w:val="nl-NL"/>
        </w:rPr>
        <w:t>hứng khoán phái sinh giao dịch là loại chuyển giao bằng tài sản cơ sở và</w:t>
      </w:r>
      <w:r w:rsidR="009B0AB4" w:rsidRPr="006234AA">
        <w:rPr>
          <w:lang w:val="nl-NL"/>
        </w:rPr>
        <w:t xml:space="preserve"> yêu cầu đóng vị thế được</w:t>
      </w:r>
      <w:r w:rsidRPr="006234AA">
        <w:rPr>
          <w:lang w:val="nl-NL"/>
        </w:rPr>
        <w:t xml:space="preserve"> nhà đầu tư </w:t>
      </w:r>
      <w:r w:rsidR="009B0AB4" w:rsidRPr="006234AA">
        <w:rPr>
          <w:lang w:val="nl-NL"/>
        </w:rPr>
        <w:t xml:space="preserve">ghi rõ trên phiếu lệnh. </w:t>
      </w:r>
      <w:r w:rsidR="00E52BCC" w:rsidRPr="006234AA">
        <w:rPr>
          <w:lang w:val="nl-NL"/>
        </w:rPr>
        <w:t xml:space="preserve">Trong trường hợp còn lại, nhà đầu tư được coi mở vị thế chứng khoán phái sinh mới, trong khi tiếp tục duy trì vị thế chứng khoán phái sinh cũ. </w:t>
      </w:r>
      <w:r w:rsidRPr="006234AA">
        <w:rPr>
          <w:lang w:val="nl-NL"/>
        </w:rPr>
        <w:t xml:space="preserve"> </w:t>
      </w:r>
    </w:p>
    <w:p w:rsidR="009B0AB4" w:rsidRPr="006234AA" w:rsidRDefault="00B614BC" w:rsidP="00E52BCC">
      <w:pPr>
        <w:spacing w:after="120"/>
        <w:rPr>
          <w:lang w:val="nl-NL"/>
        </w:rPr>
      </w:pPr>
      <w:r w:rsidRPr="006234AA">
        <w:rPr>
          <w:lang w:val="nl-NL"/>
        </w:rPr>
        <w:t xml:space="preserve">c) </w:t>
      </w:r>
      <w:r w:rsidR="00E52BCC" w:rsidRPr="006234AA">
        <w:rPr>
          <w:lang w:val="nl-NL"/>
        </w:rPr>
        <w:t>Cuối ngày giao dịch,</w:t>
      </w:r>
      <w:r w:rsidRPr="006234AA">
        <w:rPr>
          <w:lang w:val="nl-NL"/>
        </w:rPr>
        <w:t xml:space="preserve"> </w:t>
      </w:r>
      <w:r w:rsidR="009B0AB4" w:rsidRPr="006234AA">
        <w:rPr>
          <w:lang w:val="nl-NL"/>
        </w:rPr>
        <w:t xml:space="preserve">khoản lãi lỗ của phần vị thế đã đóng </w:t>
      </w:r>
      <w:r w:rsidRPr="006234AA">
        <w:rPr>
          <w:lang w:val="nl-NL"/>
        </w:rPr>
        <w:t xml:space="preserve">được hạch toán vào tài khoản </w:t>
      </w:r>
      <w:r w:rsidR="009B0AB4" w:rsidRPr="006234AA">
        <w:rPr>
          <w:lang w:val="nl-NL"/>
        </w:rPr>
        <w:t xml:space="preserve">ký quỹ </w:t>
      </w:r>
      <w:r w:rsidRPr="006234AA">
        <w:rPr>
          <w:lang w:val="nl-NL"/>
        </w:rPr>
        <w:t xml:space="preserve">của </w:t>
      </w:r>
      <w:r w:rsidR="009B0AB4" w:rsidRPr="006234AA">
        <w:rPr>
          <w:lang w:val="nl-NL"/>
        </w:rPr>
        <w:t>nhà đầu tư</w:t>
      </w:r>
      <w:r w:rsidR="00E52BCC" w:rsidRPr="006234AA">
        <w:rPr>
          <w:lang w:val="nl-NL"/>
        </w:rPr>
        <w:t>; phần vị thế chưa đóng hoặc vị thế mới mở được đánh giá lại để duy trì theo quy định tại Khoản 3 Điều này.</w:t>
      </w:r>
    </w:p>
    <w:p w:rsidR="00B614BC" w:rsidRPr="006234AA" w:rsidRDefault="00B614BC" w:rsidP="003C0546">
      <w:pPr>
        <w:spacing w:after="120"/>
        <w:rPr>
          <w:lang w:val="nl-NL"/>
        </w:rPr>
      </w:pPr>
      <w:r w:rsidRPr="006234AA">
        <w:rPr>
          <w:lang w:val="nl-NL"/>
        </w:rPr>
        <w:t xml:space="preserve">3. </w:t>
      </w:r>
      <w:r w:rsidR="009B0AB4" w:rsidRPr="006234AA">
        <w:rPr>
          <w:lang w:val="nl-NL"/>
        </w:rPr>
        <w:t xml:space="preserve">Duy trì </w:t>
      </w:r>
      <w:r w:rsidRPr="006234AA">
        <w:rPr>
          <w:lang w:val="nl-NL"/>
        </w:rPr>
        <w:t>vị thế:</w:t>
      </w:r>
    </w:p>
    <w:p w:rsidR="009B0AB4" w:rsidRPr="006234AA" w:rsidRDefault="00B614BC" w:rsidP="009B0AB4">
      <w:pPr>
        <w:spacing w:after="120"/>
        <w:rPr>
          <w:lang w:val="nl-NL"/>
        </w:rPr>
      </w:pPr>
      <w:r w:rsidRPr="006234AA">
        <w:rPr>
          <w:lang w:val="nl-NL"/>
        </w:rPr>
        <w:t xml:space="preserve">a) </w:t>
      </w:r>
      <w:r w:rsidR="009B0AB4" w:rsidRPr="006234AA">
        <w:rPr>
          <w:lang w:val="nl-NL"/>
        </w:rPr>
        <w:t xml:space="preserve">Nhà đầu tư đang nắm giữ vị thế mua (hoặc bán) một chứng khoán phái sinh, </w:t>
      </w:r>
      <w:r w:rsidR="00E52BCC" w:rsidRPr="006234AA">
        <w:rPr>
          <w:lang w:val="nl-NL"/>
        </w:rPr>
        <w:t>thực hiện</w:t>
      </w:r>
      <w:r w:rsidR="009B0AB4" w:rsidRPr="006234AA">
        <w:rPr>
          <w:lang w:val="nl-NL"/>
        </w:rPr>
        <w:t xml:space="preserve"> mua </w:t>
      </w:r>
      <w:r w:rsidR="00E52BCC" w:rsidRPr="006234AA">
        <w:rPr>
          <w:lang w:val="nl-NL"/>
        </w:rPr>
        <w:t xml:space="preserve">thêm </w:t>
      </w:r>
      <w:r w:rsidR="009B0AB4" w:rsidRPr="006234AA">
        <w:rPr>
          <w:lang w:val="nl-NL"/>
        </w:rPr>
        <w:t>(hoặc bán</w:t>
      </w:r>
      <w:r w:rsidR="00E52BCC" w:rsidRPr="006234AA">
        <w:rPr>
          <w:lang w:val="nl-NL"/>
        </w:rPr>
        <w:t xml:space="preserve"> thêm</w:t>
      </w:r>
      <w:r w:rsidR="009B0AB4" w:rsidRPr="006234AA">
        <w:rPr>
          <w:lang w:val="nl-NL"/>
        </w:rPr>
        <w:t xml:space="preserve">) cùng chứng khoán phái sinh đó trên cùng một tài khoản giao dịch; </w:t>
      </w:r>
    </w:p>
    <w:p w:rsidR="009B0AB4" w:rsidRPr="006234AA" w:rsidRDefault="009B0AB4" w:rsidP="00E52BCC">
      <w:pPr>
        <w:spacing w:after="120"/>
        <w:rPr>
          <w:lang w:val="nl-NL"/>
        </w:rPr>
      </w:pPr>
      <w:r w:rsidRPr="006234AA">
        <w:rPr>
          <w:lang w:val="nl-NL"/>
        </w:rPr>
        <w:t xml:space="preserve">b) Sau khi giao dịch, vị thế mở mới của nhà đầu tư được điều chỉnh tăng thêm lượng chứng khoán đã giao dịch trong trường hợp </w:t>
      </w:r>
      <w:r w:rsidR="00E52BCC" w:rsidRPr="006234AA">
        <w:rPr>
          <w:lang w:val="nl-NL"/>
        </w:rPr>
        <w:t>c</w:t>
      </w:r>
      <w:r w:rsidRPr="006234AA">
        <w:rPr>
          <w:lang w:val="nl-NL"/>
        </w:rPr>
        <w:t xml:space="preserve">hứng khoán phái sinh giao dịch phải là loại thanh toán bằng tiền; hoặc </w:t>
      </w:r>
      <w:r w:rsidR="00E52BCC" w:rsidRPr="006234AA">
        <w:rPr>
          <w:lang w:val="nl-NL"/>
        </w:rPr>
        <w:t>c</w:t>
      </w:r>
      <w:r w:rsidRPr="006234AA">
        <w:rPr>
          <w:lang w:val="nl-NL"/>
        </w:rPr>
        <w:t>hứng khoán phái sinh giao dịch là loại chuyển giao bằng tài sản cơ sở và yêu cầu đóng vị thế được nhà đầu tư ghi rõ trên phiếu lệnh.</w:t>
      </w:r>
      <w:r w:rsidR="00E52BCC" w:rsidRPr="006234AA">
        <w:rPr>
          <w:lang w:val="nl-NL"/>
        </w:rPr>
        <w:t xml:space="preserve"> Trong trường hợp còn lại, nhà đầu tư được coi mở vị thế chứng khoán phái sinh mới, trong khi tiếp tục duy trì vị thế chứng khoán phái sinh cũ;</w:t>
      </w:r>
    </w:p>
    <w:p w:rsidR="00E52BCC" w:rsidRPr="006234AA" w:rsidRDefault="00E52BCC" w:rsidP="003C0546">
      <w:pPr>
        <w:spacing w:after="120"/>
        <w:rPr>
          <w:lang w:val="nl-NL"/>
        </w:rPr>
      </w:pPr>
      <w:r w:rsidRPr="006234AA">
        <w:rPr>
          <w:lang w:val="nl-NL"/>
        </w:rPr>
        <w:t>c) Cuối ngày giao dịch</w:t>
      </w:r>
      <w:r w:rsidR="00B614BC" w:rsidRPr="006234AA">
        <w:rPr>
          <w:lang w:val="nl-NL"/>
        </w:rPr>
        <w:t xml:space="preserve">, </w:t>
      </w:r>
      <w:r w:rsidRPr="006234AA">
        <w:rPr>
          <w:lang w:val="nl-NL"/>
        </w:rPr>
        <w:t>vị thế mỗi chứng khoán phái sinh của nhà đầu tư được đánh giá lại</w:t>
      </w:r>
      <w:r w:rsidR="00617848" w:rsidRPr="006234AA">
        <w:rPr>
          <w:lang w:val="nl-NL"/>
        </w:rPr>
        <w:t xml:space="preserve"> (daily marking to market)</w:t>
      </w:r>
      <w:r w:rsidRPr="006234AA">
        <w:rPr>
          <w:lang w:val="nl-NL"/>
        </w:rPr>
        <w:t xml:space="preserve"> theo nguyên tắc sau:</w:t>
      </w:r>
    </w:p>
    <w:p w:rsidR="00414918" w:rsidRPr="006234AA" w:rsidRDefault="00E52BCC" w:rsidP="00D16EEE">
      <w:pPr>
        <w:spacing w:after="120"/>
        <w:rPr>
          <w:lang w:val="nl-NL"/>
        </w:rPr>
      </w:pPr>
      <w:r w:rsidRPr="006234AA">
        <w:rPr>
          <w:lang w:val="nl-NL"/>
        </w:rPr>
        <w:t xml:space="preserve">- </w:t>
      </w:r>
      <w:r w:rsidR="00B614BC" w:rsidRPr="006234AA">
        <w:rPr>
          <w:lang w:val="nl-NL"/>
        </w:rPr>
        <w:t xml:space="preserve">Trung tâm lưu ký chứng khoán đánh giá lại các </w:t>
      </w:r>
      <w:r w:rsidRPr="006234AA">
        <w:rPr>
          <w:lang w:val="nl-NL"/>
        </w:rPr>
        <w:t>vị thế mở đứng tên</w:t>
      </w:r>
      <w:r w:rsidR="00B614BC" w:rsidRPr="006234AA">
        <w:rPr>
          <w:lang w:val="nl-NL"/>
        </w:rPr>
        <w:t xml:space="preserve"> thành viên bù trừ</w:t>
      </w:r>
      <w:r w:rsidRPr="006234AA">
        <w:rPr>
          <w:lang w:val="nl-NL"/>
        </w:rPr>
        <w:t>, bao gồm cả vị thế mở của nhà đầu tư</w:t>
      </w:r>
      <w:r w:rsidR="00B614BC" w:rsidRPr="006234AA">
        <w:rPr>
          <w:lang w:val="nl-NL"/>
        </w:rPr>
        <w:t xml:space="preserve">. Việc đánh giá lại </w:t>
      </w:r>
      <w:r w:rsidRPr="006234AA">
        <w:rPr>
          <w:lang w:val="nl-NL"/>
        </w:rPr>
        <w:t xml:space="preserve">vị thế mở là quá trình </w:t>
      </w:r>
      <w:r w:rsidR="00B614BC" w:rsidRPr="006234AA">
        <w:rPr>
          <w:lang w:val="nl-NL"/>
        </w:rPr>
        <w:t xml:space="preserve">thay thế các Hợp đồng mở trong ngày giao dịch liền kề trước đó bằng các Hợp đồng mở </w:t>
      </w:r>
      <w:r w:rsidRPr="006234AA">
        <w:rPr>
          <w:lang w:val="nl-NL"/>
        </w:rPr>
        <w:t xml:space="preserve">mới với mức giá mới chính là giá thanh toán cuối ngày </w:t>
      </w:r>
      <w:r w:rsidR="00B614BC" w:rsidRPr="006234AA">
        <w:rPr>
          <w:lang w:val="nl-NL"/>
        </w:rPr>
        <w:t xml:space="preserve">được </w:t>
      </w:r>
      <w:r w:rsidRPr="006234AA">
        <w:rPr>
          <w:lang w:val="nl-NL"/>
        </w:rPr>
        <w:t>xác định tại</w:t>
      </w:r>
      <w:r w:rsidR="00B614BC" w:rsidRPr="006234AA">
        <w:rPr>
          <w:lang w:val="nl-NL"/>
        </w:rPr>
        <w:t xml:space="preserve"> ngày đánh giá lại hợp đồng</w:t>
      </w:r>
      <w:r w:rsidR="00D16EEE" w:rsidRPr="006234AA">
        <w:rPr>
          <w:lang w:val="nl-NL"/>
        </w:rPr>
        <w:t xml:space="preserve">. Trên cơ sở kết quả đánh giá lại vị thế </w:t>
      </w:r>
      <w:r w:rsidR="00D16EEE" w:rsidRPr="006234AA">
        <w:rPr>
          <w:lang w:val="nl-NL"/>
        </w:rPr>
        <w:lastRenderedPageBreak/>
        <w:t>do Trung tâm Lưu ký chứng khoán thông báo,</w:t>
      </w:r>
      <w:r w:rsidR="00414918" w:rsidRPr="006234AA">
        <w:rPr>
          <w:lang w:val="nl-NL"/>
        </w:rPr>
        <w:t xml:space="preserve"> </w:t>
      </w:r>
      <w:r w:rsidR="00D16EEE" w:rsidRPr="006234AA">
        <w:rPr>
          <w:lang w:val="nl-NL"/>
        </w:rPr>
        <w:t>t</w:t>
      </w:r>
      <w:r w:rsidR="00414918" w:rsidRPr="006234AA">
        <w:rPr>
          <w:lang w:val="nl-NL"/>
        </w:rPr>
        <w:t xml:space="preserve">hành viên bù trừ có trách nhiệm đánh giá lại vị thế của từng nhà đầu tư trên hệ thống tài khoản ký quỹ của nhà đầu tư do mình quản lý. </w:t>
      </w:r>
    </w:p>
    <w:p w:rsidR="00B614BC" w:rsidRPr="006234AA" w:rsidRDefault="00D16EEE" w:rsidP="006215E5">
      <w:pPr>
        <w:spacing w:after="120"/>
        <w:rPr>
          <w:lang w:val="nl-NL"/>
        </w:rPr>
      </w:pPr>
      <w:r w:rsidRPr="006234AA">
        <w:rPr>
          <w:lang w:val="nl-NL"/>
        </w:rPr>
        <w:t>-</w:t>
      </w:r>
      <w:r w:rsidR="007A4397" w:rsidRPr="006234AA">
        <w:rPr>
          <w:lang w:val="nl-NL"/>
        </w:rPr>
        <w:t xml:space="preserve"> Vị thế mở mới của nhà đầu tư bao gồm các Hợp đồng mở mới với</w:t>
      </w:r>
      <w:r w:rsidR="00B614BC" w:rsidRPr="006234AA">
        <w:rPr>
          <w:lang w:val="nl-NL"/>
        </w:rPr>
        <w:t xml:space="preserve"> </w:t>
      </w:r>
      <w:r w:rsidR="007A4397" w:rsidRPr="006234AA">
        <w:rPr>
          <w:lang w:val="nl-NL"/>
        </w:rPr>
        <w:t>g</w:t>
      </w:r>
      <w:r w:rsidR="00B614BC" w:rsidRPr="006234AA">
        <w:rPr>
          <w:lang w:val="nl-NL"/>
        </w:rPr>
        <w:t>iá</w:t>
      </w:r>
      <w:r w:rsidR="007A4397" w:rsidRPr="006234AA">
        <w:rPr>
          <w:lang w:val="nl-NL"/>
        </w:rPr>
        <w:t xml:space="preserve"> </w:t>
      </w:r>
      <w:r w:rsidR="006215E5" w:rsidRPr="006234AA">
        <w:rPr>
          <w:lang w:val="nl-NL"/>
        </w:rPr>
        <w:t>thanh toán mới</w:t>
      </w:r>
      <w:r w:rsidR="007A4397" w:rsidRPr="006234AA">
        <w:rPr>
          <w:lang w:val="nl-NL"/>
        </w:rPr>
        <w:t xml:space="preserve"> là giá thanh toán cuối ngày, và</w:t>
      </w:r>
      <w:r w:rsidR="00B614BC" w:rsidRPr="006234AA">
        <w:rPr>
          <w:lang w:val="nl-NL"/>
        </w:rPr>
        <w:t xml:space="preserve"> </w:t>
      </w:r>
      <w:r w:rsidR="007A4397" w:rsidRPr="006234AA">
        <w:rPr>
          <w:lang w:val="nl-NL"/>
        </w:rPr>
        <w:t>ngày</w:t>
      </w:r>
      <w:r w:rsidR="00B614BC" w:rsidRPr="006234AA">
        <w:rPr>
          <w:lang w:val="nl-NL"/>
        </w:rPr>
        <w:t xml:space="preserve"> </w:t>
      </w:r>
      <w:r w:rsidR="007A4397" w:rsidRPr="006234AA">
        <w:rPr>
          <w:lang w:val="nl-NL"/>
        </w:rPr>
        <w:t>giao kết</w:t>
      </w:r>
      <w:r w:rsidR="00B614BC" w:rsidRPr="006234AA">
        <w:rPr>
          <w:lang w:val="nl-NL"/>
        </w:rPr>
        <w:t xml:space="preserve"> </w:t>
      </w:r>
      <w:r w:rsidR="007A4397" w:rsidRPr="006234AA">
        <w:rPr>
          <w:lang w:val="nl-NL"/>
        </w:rPr>
        <w:t>h</w:t>
      </w:r>
      <w:r w:rsidR="00B614BC" w:rsidRPr="006234AA">
        <w:rPr>
          <w:lang w:val="nl-NL"/>
        </w:rPr>
        <w:t xml:space="preserve">ợp đồng </w:t>
      </w:r>
      <w:r w:rsidR="006215E5" w:rsidRPr="006234AA">
        <w:rPr>
          <w:lang w:val="nl-NL"/>
        </w:rPr>
        <w:t xml:space="preserve">mới </w:t>
      </w:r>
      <w:r w:rsidR="00B614BC" w:rsidRPr="006234AA">
        <w:rPr>
          <w:lang w:val="nl-NL"/>
        </w:rPr>
        <w:t xml:space="preserve">là ngày giao dịch có </w:t>
      </w:r>
      <w:r w:rsidR="007A4397" w:rsidRPr="006234AA">
        <w:rPr>
          <w:lang w:val="nl-NL"/>
        </w:rPr>
        <w:t>g</w:t>
      </w:r>
      <w:r w:rsidR="00B614BC" w:rsidRPr="006234AA">
        <w:rPr>
          <w:lang w:val="nl-NL"/>
        </w:rPr>
        <w:t>iá thanh toán cuối ngày được sử dụng</w:t>
      </w:r>
      <w:r w:rsidR="006215E5" w:rsidRPr="006234AA">
        <w:rPr>
          <w:lang w:val="nl-NL"/>
        </w:rPr>
        <w:t>.</w:t>
      </w:r>
      <w:r w:rsidR="00B614BC" w:rsidRPr="006234AA">
        <w:rPr>
          <w:lang w:val="nl-NL"/>
        </w:rPr>
        <w:t xml:space="preserve"> Các Hợp đồng </w:t>
      </w:r>
      <w:r w:rsidR="007A4397" w:rsidRPr="006234AA">
        <w:rPr>
          <w:lang w:val="nl-NL"/>
        </w:rPr>
        <w:t xml:space="preserve">mới </w:t>
      </w:r>
      <w:r w:rsidR="00B614BC" w:rsidRPr="006234AA">
        <w:rPr>
          <w:lang w:val="nl-NL"/>
        </w:rPr>
        <w:t>sẽ thay thế các Hợp đồng của ngày giao dịch liền trước;</w:t>
      </w:r>
    </w:p>
    <w:p w:rsidR="00B614BC" w:rsidRPr="006234AA" w:rsidRDefault="00B614BC" w:rsidP="003C0546">
      <w:pPr>
        <w:spacing w:after="120"/>
        <w:rPr>
          <w:lang w:val="nl-NL"/>
        </w:rPr>
      </w:pPr>
      <w:r w:rsidRPr="006234AA">
        <w:rPr>
          <w:lang w:val="nl-NL"/>
        </w:rPr>
        <w:t xml:space="preserve">d) </w:t>
      </w:r>
      <w:r w:rsidR="00503480" w:rsidRPr="006234AA">
        <w:rPr>
          <w:lang w:val="nl-NL"/>
        </w:rPr>
        <w:t>Sau ngày giao dịch, k</w:t>
      </w:r>
      <w:r w:rsidRPr="006234AA">
        <w:rPr>
          <w:lang w:val="nl-NL"/>
        </w:rPr>
        <w:t xml:space="preserve">hi đánh giá lại các </w:t>
      </w:r>
      <w:r w:rsidR="00503480" w:rsidRPr="006234AA">
        <w:rPr>
          <w:lang w:val="nl-NL"/>
        </w:rPr>
        <w:t>vị thế</w:t>
      </w:r>
      <w:r w:rsidRPr="006234AA">
        <w:rPr>
          <w:lang w:val="nl-NL"/>
        </w:rPr>
        <w:t>, Trung tâm lưu ký chứng khoán</w:t>
      </w:r>
      <w:r w:rsidR="007A4397" w:rsidRPr="006234AA">
        <w:rPr>
          <w:lang w:val="nl-NL"/>
        </w:rPr>
        <w:t xml:space="preserve"> xác định lãi</w:t>
      </w:r>
      <w:r w:rsidRPr="006234AA">
        <w:rPr>
          <w:lang w:val="nl-NL"/>
        </w:rPr>
        <w:t xml:space="preserve"> lỗ </w:t>
      </w:r>
      <w:r w:rsidR="007A4397" w:rsidRPr="006234AA">
        <w:rPr>
          <w:lang w:val="nl-NL"/>
        </w:rPr>
        <w:t>vị thế của từng tài khoản ký quỹ</w:t>
      </w:r>
      <w:r w:rsidR="00503480" w:rsidRPr="006234AA">
        <w:rPr>
          <w:lang w:val="nl-NL"/>
        </w:rPr>
        <w:t xml:space="preserve"> theo quy định tại Điều 54 Thông tư này,</w:t>
      </w:r>
      <w:r w:rsidRPr="006234AA">
        <w:rPr>
          <w:lang w:val="nl-NL"/>
        </w:rPr>
        <w:t xml:space="preserve"> </w:t>
      </w:r>
      <w:r w:rsidR="00503480" w:rsidRPr="006234AA">
        <w:rPr>
          <w:lang w:val="nl-NL"/>
        </w:rPr>
        <w:t xml:space="preserve">sau đó </w:t>
      </w:r>
      <w:r w:rsidRPr="006234AA">
        <w:rPr>
          <w:lang w:val="nl-NL"/>
        </w:rPr>
        <w:t>hạch toán</w:t>
      </w:r>
      <w:r w:rsidR="00503480" w:rsidRPr="006234AA">
        <w:rPr>
          <w:lang w:val="nl-NL"/>
        </w:rPr>
        <w:t xml:space="preserve"> kết quả lãi lỗ vị thế theo cơ chế bù trừ ròng song phương giữa thành viên bù trừ và Trung tâm Lưu ký chứng khoán. Thành viên bù trừ có trách nhiệm hạch toán</w:t>
      </w:r>
      <w:r w:rsidRPr="006234AA">
        <w:rPr>
          <w:lang w:val="nl-NL"/>
        </w:rPr>
        <w:t xml:space="preserve"> </w:t>
      </w:r>
      <w:r w:rsidR="00503480" w:rsidRPr="006234AA">
        <w:rPr>
          <w:lang w:val="nl-NL"/>
        </w:rPr>
        <w:t xml:space="preserve">đầy đủ, kịp thời </w:t>
      </w:r>
      <w:r w:rsidRPr="006234AA">
        <w:rPr>
          <w:lang w:val="nl-NL"/>
        </w:rPr>
        <w:t>lãi lỗ</w:t>
      </w:r>
      <w:r w:rsidR="00503480" w:rsidRPr="006234AA">
        <w:rPr>
          <w:lang w:val="nl-NL"/>
        </w:rPr>
        <w:t xml:space="preserve"> vị thế</w:t>
      </w:r>
      <w:r w:rsidRPr="006234AA">
        <w:rPr>
          <w:lang w:val="nl-NL"/>
        </w:rPr>
        <w:t xml:space="preserve"> vào tài khoản của </w:t>
      </w:r>
      <w:r w:rsidR="00503480" w:rsidRPr="006234AA">
        <w:rPr>
          <w:lang w:val="nl-NL"/>
        </w:rPr>
        <w:t>từng nhà đầu tư</w:t>
      </w:r>
      <w:r w:rsidRPr="006234AA">
        <w:rPr>
          <w:lang w:val="nl-NL"/>
        </w:rPr>
        <w:t>;</w:t>
      </w:r>
    </w:p>
    <w:p w:rsidR="00503480" w:rsidRPr="006234AA" w:rsidRDefault="00DA1CA7" w:rsidP="00DA1CA7">
      <w:pPr>
        <w:spacing w:after="120"/>
        <w:rPr>
          <w:lang w:val="nl-NL"/>
        </w:rPr>
      </w:pPr>
      <w:r w:rsidRPr="006234AA">
        <w:rPr>
          <w:lang w:val="nl-NL"/>
        </w:rPr>
        <w:t>4.  Thanh lý vị thế đáo hạn:</w:t>
      </w:r>
    </w:p>
    <w:p w:rsidR="00C17185" w:rsidRPr="006234AA" w:rsidRDefault="00503480" w:rsidP="007B1428">
      <w:pPr>
        <w:spacing w:after="120"/>
        <w:rPr>
          <w:lang w:val="nl-NL"/>
        </w:rPr>
      </w:pPr>
      <w:r w:rsidRPr="006234AA">
        <w:rPr>
          <w:lang w:val="nl-NL"/>
        </w:rPr>
        <w:t xml:space="preserve">a) </w:t>
      </w:r>
      <w:r w:rsidR="00C17185" w:rsidRPr="006234AA">
        <w:rPr>
          <w:lang w:val="nl-NL"/>
        </w:rPr>
        <w:t>Trường hợp chứng khoán phái sinh đáo hạn thực hiện thanh toán bằng tiền, Trung tâm Lưu ký chứng khoán hạch toán lãi lỗ vị thế của ngày giao dịch cuối cùng cho các vị thế mở đứng tên thành viên bù trừ vào tài khoản bù trừ thanh toán của thành viên bù trừ</w:t>
      </w:r>
      <w:r w:rsidR="007B1428" w:rsidRPr="006234AA">
        <w:rPr>
          <w:lang w:val="nl-NL"/>
        </w:rPr>
        <w:t xml:space="preserve">. </w:t>
      </w:r>
      <w:r w:rsidR="00617848" w:rsidRPr="006234AA">
        <w:rPr>
          <w:lang w:val="nl-NL"/>
        </w:rPr>
        <w:t>Thành viên bù trừ có trách nhiệm phân bổ và hạch toán đầy đủ, kịp thời</w:t>
      </w:r>
      <w:r w:rsidR="00C17185" w:rsidRPr="006234AA">
        <w:rPr>
          <w:lang w:val="nl-NL"/>
        </w:rPr>
        <w:t xml:space="preserve"> </w:t>
      </w:r>
      <w:r w:rsidR="00617848" w:rsidRPr="006234AA">
        <w:rPr>
          <w:lang w:val="nl-NL"/>
        </w:rPr>
        <w:t>lãi lỗ vị thế vào tài khoản ký quỹ của từng nhà đầu tư vào ngày thanh toán cuối cùng.</w:t>
      </w:r>
    </w:p>
    <w:p w:rsidR="00503480" w:rsidRPr="006234AA" w:rsidRDefault="00617848" w:rsidP="007B1428">
      <w:pPr>
        <w:tabs>
          <w:tab w:val="left" w:pos="1260"/>
        </w:tabs>
        <w:spacing w:after="120"/>
        <w:ind w:firstLine="720"/>
        <w:rPr>
          <w:lang w:val="nl-NL"/>
        </w:rPr>
      </w:pPr>
      <w:r w:rsidRPr="006234AA">
        <w:t>b) Trường hợp chứng khoán phái sinh đáo hạn thực hiện thanh toán dưới hình thức chuyển giao tài sản cơ sở</w:t>
      </w:r>
      <w:r w:rsidR="007B1428" w:rsidRPr="006234AA">
        <w:t>,</w:t>
      </w:r>
      <w:r w:rsidR="00DB1D6E" w:rsidRPr="006234AA">
        <w:t xml:space="preserve"> quy trình chuyển giao tài sản cơ sở và thanh toán giao dịch thực hiện theo quy định tại Điều</w:t>
      </w:r>
      <w:r w:rsidR="00CD793E" w:rsidRPr="006234AA">
        <w:t xml:space="preserve"> 25 Thông tư này.</w:t>
      </w:r>
      <w:r w:rsidRPr="006234AA">
        <w:t xml:space="preserve"> </w:t>
      </w:r>
    </w:p>
    <w:p w:rsidR="00610B0B" w:rsidRPr="006234AA" w:rsidRDefault="00610B0B" w:rsidP="00610B0B">
      <w:pPr>
        <w:pStyle w:val="Heading4"/>
        <w:spacing w:after="120"/>
      </w:pPr>
      <w:bookmarkStart w:id="222" w:name="_Toc422672009"/>
      <w:bookmarkStart w:id="223" w:name="_Toc387730762"/>
      <w:bookmarkStart w:id="224" w:name="_Toc397003397"/>
      <w:bookmarkEnd w:id="216"/>
      <w:bookmarkEnd w:id="217"/>
      <w:bookmarkEnd w:id="218"/>
      <w:bookmarkEnd w:id="219"/>
      <w:bookmarkEnd w:id="220"/>
      <w:bookmarkEnd w:id="221"/>
      <w:r w:rsidRPr="006234AA">
        <w:t>Biện pháp xử lý khi nhà đầu tư mất khả năng thanh toán</w:t>
      </w:r>
      <w:bookmarkEnd w:id="222"/>
    </w:p>
    <w:p w:rsidR="00610B0B" w:rsidRPr="006234AA" w:rsidRDefault="00610B0B" w:rsidP="00610B0B">
      <w:pPr>
        <w:spacing w:after="120"/>
        <w:rPr>
          <w:lang w:val="nl-NL"/>
        </w:rPr>
      </w:pPr>
      <w:r w:rsidRPr="006234AA">
        <w:rPr>
          <w:lang w:val="nl-NL"/>
        </w:rPr>
        <w:t>1. Nhà đầu tư bị coi là mất khả năng thanh toán trong các trường hợp sau đây:</w:t>
      </w:r>
    </w:p>
    <w:p w:rsidR="00610B0B" w:rsidRPr="006234AA" w:rsidRDefault="003976B7" w:rsidP="00610B0B">
      <w:pPr>
        <w:spacing w:after="120"/>
        <w:rPr>
          <w:lang w:val="nl-NL"/>
        </w:rPr>
      </w:pPr>
      <w:r w:rsidRPr="006234AA">
        <w:rPr>
          <w:lang w:val="nl-NL"/>
        </w:rPr>
        <w:t xml:space="preserve">a) Không bổ sung ký quỹ kịp thời hoặc bổ sung không đầy đủ theo lệnh gọi ký quỹ của thành viên bù trừ trong thời gian đã được quy định tại hợp đồng mở tài khoản giao dịch, </w:t>
      </w:r>
      <w:r w:rsidR="00610B0B" w:rsidRPr="006234AA">
        <w:rPr>
          <w:lang w:val="nl-NL"/>
        </w:rPr>
        <w:t>trừ trường hợp do nguyên nhân khách quan và bất khả kháng mà thành viên bù trừ và Trung tâm lưu ký chứng khoán chấp nhận;</w:t>
      </w:r>
    </w:p>
    <w:p w:rsidR="003976B7" w:rsidRPr="006234AA" w:rsidRDefault="003976B7" w:rsidP="003976B7">
      <w:pPr>
        <w:spacing w:after="120"/>
        <w:rPr>
          <w:lang w:val="nl-NL"/>
        </w:rPr>
      </w:pPr>
      <w:r w:rsidRPr="006234AA">
        <w:rPr>
          <w:lang w:val="nl-NL"/>
        </w:rPr>
        <w:t>b</w:t>
      </w:r>
      <w:r w:rsidR="00610B0B" w:rsidRPr="006234AA">
        <w:rPr>
          <w:lang w:val="nl-NL"/>
        </w:rPr>
        <w:t xml:space="preserve">) Nhà đầu tư không thực hiện nghĩa vụ thanh toán </w:t>
      </w:r>
      <w:r w:rsidRPr="006234AA">
        <w:rPr>
          <w:lang w:val="nl-NL"/>
        </w:rPr>
        <w:t>đúng</w:t>
      </w:r>
      <w:r w:rsidR="00610B0B" w:rsidRPr="006234AA">
        <w:rPr>
          <w:lang w:val="nl-NL"/>
        </w:rPr>
        <w:t xml:space="preserve"> hạn</w:t>
      </w:r>
      <w:r w:rsidRPr="006234AA">
        <w:rPr>
          <w:lang w:val="nl-NL"/>
        </w:rPr>
        <w:t>; không chuyển giao tài sản cơ sở đúng hạn đối với vị thế mở của mình khi đáo hạn;</w:t>
      </w:r>
    </w:p>
    <w:p w:rsidR="003976B7" w:rsidRPr="006234AA" w:rsidRDefault="003976B7" w:rsidP="003976B7">
      <w:pPr>
        <w:spacing w:after="120"/>
        <w:rPr>
          <w:lang w:val="nl-NL"/>
        </w:rPr>
      </w:pPr>
      <w:r w:rsidRPr="006234AA">
        <w:rPr>
          <w:lang w:val="nl-NL"/>
        </w:rPr>
        <w:t xml:space="preserve">c) Các trường hợp khác theo hợp đồng mở tài khoản giao dịch. </w:t>
      </w:r>
    </w:p>
    <w:p w:rsidR="00610B0B" w:rsidRPr="006234AA" w:rsidRDefault="00610B0B" w:rsidP="00610B0B">
      <w:pPr>
        <w:spacing w:after="120"/>
        <w:rPr>
          <w:lang w:val="nl-NL"/>
        </w:rPr>
      </w:pPr>
      <w:r w:rsidRPr="006234AA">
        <w:rPr>
          <w:lang w:val="nl-NL"/>
        </w:rPr>
        <w:t xml:space="preserve">2. Khi nhà đầu tư bị coi là mất khả năng thanh toán, thành viên bù trừ có trách nhiệm thông báo ngay cho Trung tâm lưu ký chứng khoán về vị thế mở, </w:t>
      </w:r>
      <w:r w:rsidR="003976B7" w:rsidRPr="006234AA">
        <w:rPr>
          <w:lang w:val="nl-NL"/>
        </w:rPr>
        <w:t>danh mục</w:t>
      </w:r>
      <w:r w:rsidRPr="006234AA">
        <w:rPr>
          <w:lang w:val="nl-NL"/>
        </w:rPr>
        <w:t xml:space="preserve"> tài sản ký quỹ</w:t>
      </w:r>
      <w:r w:rsidR="003976B7" w:rsidRPr="006234AA">
        <w:rPr>
          <w:lang w:val="nl-NL"/>
        </w:rPr>
        <w:t xml:space="preserve"> của nhà đầu tư đó và</w:t>
      </w:r>
      <w:r w:rsidRPr="006234AA">
        <w:rPr>
          <w:lang w:val="nl-NL"/>
        </w:rPr>
        <w:t>thực hiện các giải pháp xử lý</w:t>
      </w:r>
      <w:r w:rsidR="003976B7" w:rsidRPr="006234AA">
        <w:rPr>
          <w:lang w:val="nl-NL"/>
        </w:rPr>
        <w:t xml:space="preserve"> phù hợp, bao gồm:</w:t>
      </w:r>
    </w:p>
    <w:p w:rsidR="00610B0B" w:rsidRPr="006234AA" w:rsidRDefault="00610B0B" w:rsidP="00610B0B">
      <w:pPr>
        <w:spacing w:after="120"/>
        <w:rPr>
          <w:lang w:val="nl-NL"/>
        </w:rPr>
      </w:pPr>
      <w:r w:rsidRPr="006234AA">
        <w:rPr>
          <w:lang w:val="nl-NL"/>
        </w:rPr>
        <w:t xml:space="preserve">a) </w:t>
      </w:r>
      <w:r w:rsidR="003976B7" w:rsidRPr="006234AA">
        <w:rPr>
          <w:lang w:val="nl-NL"/>
        </w:rPr>
        <w:t>T</w:t>
      </w:r>
      <w:r w:rsidRPr="006234AA">
        <w:rPr>
          <w:lang w:val="nl-NL"/>
        </w:rPr>
        <w:t xml:space="preserve">hành viên bù trừ được thực hiện các giao dịch </w:t>
      </w:r>
      <w:r w:rsidR="003976B7" w:rsidRPr="006234AA">
        <w:rPr>
          <w:lang w:val="nl-NL"/>
        </w:rPr>
        <w:t xml:space="preserve">tự doanh để </w:t>
      </w:r>
      <w:r w:rsidRPr="006234AA">
        <w:rPr>
          <w:lang w:val="nl-NL"/>
        </w:rPr>
        <w:t>đóng vị thế mở của nhà đầu tư.</w:t>
      </w:r>
      <w:r w:rsidR="003976B7" w:rsidRPr="006234AA">
        <w:rPr>
          <w:lang w:val="nl-NL"/>
        </w:rPr>
        <w:t xml:space="preserve"> Trường hợp lệnh giao dịch của thành viên bù trừ không thể </w:t>
      </w:r>
      <w:r w:rsidR="003976B7" w:rsidRPr="006234AA">
        <w:rPr>
          <w:lang w:val="nl-NL"/>
        </w:rPr>
        <w:lastRenderedPageBreak/>
        <w:t>khớp được trên hệ thống,</w:t>
      </w:r>
      <w:r w:rsidRPr="006234AA">
        <w:rPr>
          <w:lang w:val="nl-NL"/>
        </w:rPr>
        <w:t xml:space="preserve"> </w:t>
      </w:r>
      <w:r w:rsidR="003976B7" w:rsidRPr="006234AA">
        <w:rPr>
          <w:lang w:val="nl-NL"/>
        </w:rPr>
        <w:t>thành viên bù trừ được thực hiện giao dịch bắt buộc</w:t>
      </w:r>
      <w:r w:rsidR="00F9058E" w:rsidRPr="006234AA">
        <w:rPr>
          <w:lang w:val="nl-NL"/>
        </w:rPr>
        <w:t xml:space="preserve"> để</w:t>
      </w:r>
      <w:r w:rsidR="003976B7" w:rsidRPr="006234AA">
        <w:rPr>
          <w:lang w:val="nl-NL"/>
        </w:rPr>
        <w:t xml:space="preserve"> đóng vị thế của nhà đầu tư với mức giá </w:t>
      </w:r>
      <w:r w:rsidRPr="006234AA">
        <w:rPr>
          <w:lang w:val="nl-NL"/>
        </w:rPr>
        <w:t xml:space="preserve">giao dịch </w:t>
      </w:r>
      <w:r w:rsidR="003976B7" w:rsidRPr="006234AA">
        <w:rPr>
          <w:lang w:val="nl-NL"/>
        </w:rPr>
        <w:t>do</w:t>
      </w:r>
      <w:r w:rsidRPr="006234AA">
        <w:rPr>
          <w:lang w:val="nl-NL"/>
        </w:rPr>
        <w:t xml:space="preserve"> Trung tâm lưu ký chứng khoán </w:t>
      </w:r>
      <w:r w:rsidR="003976B7" w:rsidRPr="006234AA">
        <w:rPr>
          <w:lang w:val="nl-NL"/>
        </w:rPr>
        <w:t>phối hợp với</w:t>
      </w:r>
      <w:r w:rsidRPr="006234AA">
        <w:rPr>
          <w:lang w:val="nl-NL"/>
        </w:rPr>
        <w:t xml:space="preserve"> Sở giao dịch chứng khoán</w:t>
      </w:r>
      <w:r w:rsidR="003976B7" w:rsidRPr="006234AA">
        <w:rPr>
          <w:lang w:val="nl-NL"/>
        </w:rPr>
        <w:t xml:space="preserve"> xác định</w:t>
      </w:r>
      <w:r w:rsidRPr="006234AA">
        <w:rPr>
          <w:lang w:val="nl-NL"/>
        </w:rPr>
        <w:t xml:space="preserve">. </w:t>
      </w:r>
    </w:p>
    <w:p w:rsidR="00610B0B" w:rsidRPr="006234AA" w:rsidRDefault="00610B0B" w:rsidP="00F9058E">
      <w:pPr>
        <w:spacing w:after="120"/>
        <w:rPr>
          <w:lang w:val="nl-NL"/>
        </w:rPr>
      </w:pPr>
      <w:r w:rsidRPr="006234AA">
        <w:rPr>
          <w:lang w:val="nl-NL"/>
        </w:rPr>
        <w:t>b) Đình chỉ việc nhận lệ</w:t>
      </w:r>
      <w:r w:rsidR="00F9058E" w:rsidRPr="006234AA">
        <w:rPr>
          <w:lang w:val="nl-NL"/>
        </w:rPr>
        <w:t>nh giao dịch mới từ nhà đầu tư; đồng thời h</w:t>
      </w:r>
      <w:r w:rsidRPr="006234AA">
        <w:rPr>
          <w:lang w:val="nl-NL"/>
        </w:rPr>
        <w:t>ủy các lệnh giao dịch chưa thực hiện của nhà đầu tư;</w:t>
      </w:r>
    </w:p>
    <w:p w:rsidR="00F9058E" w:rsidRPr="006234AA" w:rsidRDefault="00F9058E" w:rsidP="00610B0B">
      <w:pPr>
        <w:rPr>
          <w:lang w:val="nl-NL"/>
        </w:rPr>
      </w:pPr>
      <w:r w:rsidRPr="006234AA">
        <w:rPr>
          <w:lang w:val="nl-NL"/>
        </w:rPr>
        <w:t>c</w:t>
      </w:r>
      <w:r w:rsidR="00610B0B" w:rsidRPr="006234AA">
        <w:rPr>
          <w:lang w:val="nl-NL"/>
        </w:rPr>
        <w:t xml:space="preserve">) Bán thanh lý các tài sản ký quỹ, sử dụng tiền gửi ký quỹ của nhà đầu tư để thanh toán, mua tài sản cơ sở để chuyển giao đối với các hợp đồng đến hạn. Trường hợp không đủ, thành viên bù trừ phải </w:t>
      </w:r>
      <w:r w:rsidRPr="006234AA">
        <w:rPr>
          <w:lang w:val="nl-NL"/>
        </w:rPr>
        <w:t xml:space="preserve">sử dụng tài sản của mình </w:t>
      </w:r>
      <w:r w:rsidR="00610B0B" w:rsidRPr="006234AA">
        <w:rPr>
          <w:lang w:val="nl-NL"/>
        </w:rPr>
        <w:t>để thực hiện các vị thế mở</w:t>
      </w:r>
      <w:r w:rsidRPr="006234AA">
        <w:rPr>
          <w:lang w:val="nl-NL"/>
        </w:rPr>
        <w:t xml:space="preserve"> của nhà đầu tư</w:t>
      </w:r>
      <w:r w:rsidR="00610B0B" w:rsidRPr="006234AA">
        <w:rPr>
          <w:lang w:val="nl-NL"/>
        </w:rPr>
        <w:t xml:space="preserve">. </w:t>
      </w:r>
    </w:p>
    <w:p w:rsidR="001C5390" w:rsidRPr="006234AA" w:rsidRDefault="00F9058E" w:rsidP="006F0952">
      <w:pPr>
        <w:rPr>
          <w:lang w:val="nl-NL"/>
        </w:rPr>
      </w:pPr>
      <w:r w:rsidRPr="006234AA">
        <w:rPr>
          <w:lang w:val="nl-NL"/>
        </w:rPr>
        <w:t xml:space="preserve">3. </w:t>
      </w:r>
      <w:r w:rsidR="00610B0B" w:rsidRPr="006234AA">
        <w:rPr>
          <w:lang w:val="nl-NL"/>
        </w:rPr>
        <w:t>Nhà đầu tư có trách nhiệm hoàn trả thành viên bù trừ toàn bộ phần tài sản đã tạm ứng và chịu mọi chi phí phát sinh liên quan.</w:t>
      </w:r>
      <w:bookmarkStart w:id="225" w:name="_Toc385602518"/>
      <w:bookmarkEnd w:id="201"/>
      <w:bookmarkEnd w:id="202"/>
      <w:bookmarkEnd w:id="203"/>
      <w:bookmarkEnd w:id="204"/>
      <w:bookmarkEnd w:id="212"/>
      <w:bookmarkEnd w:id="213"/>
      <w:bookmarkEnd w:id="214"/>
      <w:bookmarkEnd w:id="223"/>
      <w:bookmarkEnd w:id="224"/>
    </w:p>
    <w:bookmarkEnd w:id="225"/>
    <w:p w:rsidR="0024137E" w:rsidRPr="006234AA" w:rsidRDefault="0024137E" w:rsidP="003C0546">
      <w:pPr>
        <w:spacing w:after="120"/>
        <w:rPr>
          <w:b/>
          <w:bCs/>
          <w:lang w:val="nl-NL"/>
        </w:rPr>
      </w:pPr>
    </w:p>
    <w:p w:rsidR="00627372" w:rsidRPr="006234AA" w:rsidRDefault="002E63C2" w:rsidP="003C0546">
      <w:pPr>
        <w:pStyle w:val="Heading1"/>
        <w:spacing w:after="120"/>
      </w:pPr>
      <w:bookmarkStart w:id="226" w:name="_Toc422672010"/>
      <w:r w:rsidRPr="006234AA">
        <w:t>Chương</w:t>
      </w:r>
      <w:r w:rsidR="00627372" w:rsidRPr="006234AA">
        <w:t xml:space="preserve"> VII</w:t>
      </w:r>
      <w:bookmarkEnd w:id="226"/>
    </w:p>
    <w:p w:rsidR="00627372" w:rsidRPr="006234AA" w:rsidRDefault="00627372" w:rsidP="003C0546">
      <w:pPr>
        <w:pStyle w:val="Heading1"/>
        <w:spacing w:after="120"/>
      </w:pPr>
      <w:bookmarkStart w:id="227" w:name="_Toc385602534"/>
      <w:bookmarkStart w:id="228" w:name="_Toc422672011"/>
      <w:r w:rsidRPr="006234AA">
        <w:t>NGHĨA VỤ BÁO CÁO</w:t>
      </w:r>
      <w:bookmarkEnd w:id="227"/>
      <w:bookmarkEnd w:id="228"/>
    </w:p>
    <w:p w:rsidR="00627372" w:rsidRPr="006234AA" w:rsidRDefault="00627372" w:rsidP="00EC51BE">
      <w:pPr>
        <w:pStyle w:val="Heading3"/>
        <w:spacing w:after="120"/>
        <w:ind w:left="0" w:firstLine="851"/>
      </w:pPr>
      <w:bookmarkStart w:id="229" w:name="_Toc385602535"/>
      <w:bookmarkStart w:id="230" w:name="_Toc385602537"/>
      <w:bookmarkEnd w:id="229"/>
    </w:p>
    <w:bookmarkEnd w:id="230"/>
    <w:p w:rsidR="00627372" w:rsidRPr="006234AA" w:rsidRDefault="00EC51BE" w:rsidP="00EC51BE">
      <w:pPr>
        <w:pStyle w:val="Heading4"/>
        <w:tabs>
          <w:tab w:val="left" w:pos="1260"/>
        </w:tabs>
        <w:spacing w:after="120"/>
        <w:ind w:left="0" w:firstLine="851"/>
      </w:pPr>
      <w:r w:rsidRPr="006234AA">
        <w:t xml:space="preserve"> </w:t>
      </w:r>
      <w:bookmarkStart w:id="231" w:name="_Toc422672012"/>
      <w:r w:rsidRPr="006234AA">
        <w:t>Nghĩa vụ báo cáo của t</w:t>
      </w:r>
      <w:r w:rsidR="008C7768" w:rsidRPr="006234AA">
        <w:t>ổ chức kinh doanh</w:t>
      </w:r>
      <w:r w:rsidRPr="006234AA">
        <w:t xml:space="preserve"> dịch vụ</w:t>
      </w:r>
      <w:r w:rsidR="008C7768" w:rsidRPr="006234AA">
        <w:t xml:space="preserve"> chứng khoán</w:t>
      </w:r>
      <w:r w:rsidR="00627372" w:rsidRPr="006234AA">
        <w:t xml:space="preserve"> phái sinh</w:t>
      </w:r>
      <w:bookmarkEnd w:id="231"/>
    </w:p>
    <w:p w:rsidR="001C5390" w:rsidRPr="006234AA" w:rsidRDefault="001C5390" w:rsidP="003C0546">
      <w:pPr>
        <w:spacing w:after="120"/>
        <w:rPr>
          <w:lang w:val="nl-NL"/>
        </w:rPr>
      </w:pPr>
      <w:r w:rsidRPr="006234AA">
        <w:rPr>
          <w:lang w:val="nl-NL"/>
        </w:rPr>
        <w:t xml:space="preserve">1. </w:t>
      </w:r>
      <w:r w:rsidR="008C7768" w:rsidRPr="006234AA">
        <w:rPr>
          <w:lang w:val="nl-NL"/>
        </w:rPr>
        <w:t>Tổ chức kinh doanh</w:t>
      </w:r>
      <w:r w:rsidR="00EC51BE" w:rsidRPr="006234AA">
        <w:rPr>
          <w:lang w:val="nl-NL"/>
        </w:rPr>
        <w:t xml:space="preserve"> dịch vụ</w:t>
      </w:r>
      <w:r w:rsidR="008C7768" w:rsidRPr="006234AA">
        <w:rPr>
          <w:lang w:val="nl-NL"/>
        </w:rPr>
        <w:t xml:space="preserve"> chứng khoán</w:t>
      </w:r>
      <w:r w:rsidRPr="006234AA">
        <w:rPr>
          <w:lang w:val="nl-NL"/>
        </w:rPr>
        <w:t xml:space="preserve"> phái sinh gửi Ủy ban chứng khoán Nhà nước các báo cáo sau:</w:t>
      </w:r>
    </w:p>
    <w:p w:rsidR="001C5390" w:rsidRPr="006234AA" w:rsidRDefault="001C5390" w:rsidP="003C0546">
      <w:pPr>
        <w:spacing w:after="120"/>
        <w:rPr>
          <w:lang w:val="nl-NL"/>
        </w:rPr>
      </w:pPr>
      <w:r w:rsidRPr="006234AA">
        <w:rPr>
          <w:lang w:val="nl-NL"/>
        </w:rPr>
        <w:t xml:space="preserve">a) Báo cáo tình hình hoạt động hàng tháng với nội dung theo mẫu quy định tại </w:t>
      </w:r>
      <w:r w:rsidR="004162A5" w:rsidRPr="006234AA">
        <w:rPr>
          <w:lang w:val="nl-NL"/>
        </w:rPr>
        <w:t>P</w:t>
      </w:r>
      <w:r w:rsidRPr="006234AA">
        <w:rPr>
          <w:lang w:val="nl-NL"/>
        </w:rPr>
        <w:t>hụ lục số 7 ban hành kèm theo Thông tư này;</w:t>
      </w:r>
    </w:p>
    <w:p w:rsidR="001C5390" w:rsidRPr="006234AA" w:rsidRDefault="001C5390" w:rsidP="003C0546">
      <w:pPr>
        <w:spacing w:after="120"/>
        <w:rPr>
          <w:lang w:val="nl-NL"/>
        </w:rPr>
      </w:pPr>
      <w:r w:rsidRPr="006234AA">
        <w:rPr>
          <w:lang w:val="nl-NL"/>
        </w:rPr>
        <w:t>b) Báo cáo tình hình hoạt động giao dịch</w:t>
      </w:r>
      <w:r w:rsidR="002D57C4" w:rsidRPr="006234AA">
        <w:rPr>
          <w:lang w:val="nl-NL"/>
        </w:rPr>
        <w:t>; hoạt động bù trừ, thanh toán</w:t>
      </w:r>
      <w:r w:rsidRPr="006234AA">
        <w:rPr>
          <w:lang w:val="nl-NL"/>
        </w:rPr>
        <w:t xml:space="preserve"> chứng khoán phái sinh hàng tháng theo mẫu quy định tại Phụ lục số 8 ban hàng kèm theo Thông tư này;</w:t>
      </w:r>
    </w:p>
    <w:p w:rsidR="001C5390" w:rsidRPr="006234AA" w:rsidRDefault="001C5390" w:rsidP="003C0546">
      <w:pPr>
        <w:spacing w:after="120"/>
        <w:rPr>
          <w:lang w:val="nl-NL"/>
        </w:rPr>
      </w:pPr>
      <w:r w:rsidRPr="006234AA">
        <w:rPr>
          <w:lang w:val="nl-NL"/>
        </w:rPr>
        <w:t xml:space="preserve">c) Báo cáo hàng tháng tỷ lệ vốn khả dụng theo quy định tại Phụ lục số </w:t>
      </w:r>
      <w:r w:rsidR="00C75408" w:rsidRPr="006234AA">
        <w:rPr>
          <w:lang w:val="nl-NL"/>
        </w:rPr>
        <w:t xml:space="preserve">9 </w:t>
      </w:r>
      <w:r w:rsidRPr="006234AA">
        <w:rPr>
          <w:lang w:val="nl-NL"/>
        </w:rPr>
        <w:t>ban hành kèm theo thông tư này.</w:t>
      </w:r>
    </w:p>
    <w:p w:rsidR="001C5390" w:rsidRPr="006234AA" w:rsidRDefault="001C5390" w:rsidP="003C0546">
      <w:pPr>
        <w:spacing w:after="120"/>
        <w:rPr>
          <w:lang w:val="nl-NL"/>
        </w:rPr>
      </w:pPr>
      <w:r w:rsidRPr="006234AA">
        <w:rPr>
          <w:lang w:val="nl-NL"/>
        </w:rPr>
        <w:t xml:space="preserve">2. </w:t>
      </w:r>
      <w:r w:rsidR="008C7768" w:rsidRPr="006234AA">
        <w:rPr>
          <w:lang w:val="nl-NL"/>
        </w:rPr>
        <w:t>Tổ chức kinh doanh chứng khoán</w:t>
      </w:r>
      <w:r w:rsidRPr="006234AA">
        <w:rPr>
          <w:lang w:val="nl-NL"/>
        </w:rPr>
        <w:t xml:space="preserve"> phái sinh phải </w:t>
      </w:r>
      <w:r w:rsidR="002D57C4" w:rsidRPr="006234AA">
        <w:rPr>
          <w:lang w:val="nl-NL"/>
        </w:rPr>
        <w:t xml:space="preserve">công bố thông tin đồng thời </w:t>
      </w:r>
      <w:r w:rsidR="00EC51BE" w:rsidRPr="006234AA">
        <w:rPr>
          <w:lang w:val="nl-NL"/>
        </w:rPr>
        <w:t>b</w:t>
      </w:r>
      <w:r w:rsidRPr="006234AA">
        <w:rPr>
          <w:lang w:val="nl-NL"/>
        </w:rPr>
        <w:t xml:space="preserve">áo </w:t>
      </w:r>
      <w:r w:rsidR="00EC51BE" w:rsidRPr="006234AA">
        <w:rPr>
          <w:lang w:val="nl-NL"/>
        </w:rPr>
        <w:t xml:space="preserve">cáo </w:t>
      </w:r>
      <w:r w:rsidRPr="006234AA">
        <w:rPr>
          <w:lang w:val="nl-NL"/>
        </w:rPr>
        <w:t>cho Ủy ban Chứng khoán Nhà nước những sự kiện sau:</w:t>
      </w:r>
    </w:p>
    <w:p w:rsidR="001C5390" w:rsidRPr="006234AA" w:rsidRDefault="001C5390" w:rsidP="00EC51BE">
      <w:pPr>
        <w:spacing w:after="120"/>
        <w:rPr>
          <w:lang w:val="nl-NL"/>
        </w:rPr>
      </w:pPr>
      <w:r w:rsidRPr="006234AA">
        <w:rPr>
          <w:lang w:val="nl-NL"/>
        </w:rPr>
        <w:t>a) Thay đổi thành viên bù trừ;</w:t>
      </w:r>
    </w:p>
    <w:p w:rsidR="001C5390" w:rsidRPr="006234AA" w:rsidRDefault="00EC51BE" w:rsidP="003C0546">
      <w:pPr>
        <w:spacing w:after="120"/>
        <w:rPr>
          <w:lang w:val="nl-NL"/>
        </w:rPr>
      </w:pPr>
      <w:r w:rsidRPr="006234AA">
        <w:rPr>
          <w:lang w:val="nl-NL"/>
        </w:rPr>
        <w:t>b</w:t>
      </w:r>
      <w:r w:rsidR="001C5390" w:rsidRPr="006234AA">
        <w:rPr>
          <w:lang w:val="nl-NL"/>
        </w:rPr>
        <w:t xml:space="preserve">) Nhân viên, </w:t>
      </w:r>
      <w:r w:rsidR="00185326" w:rsidRPr="006234AA">
        <w:rPr>
          <w:lang w:val="nl-NL"/>
        </w:rPr>
        <w:t xml:space="preserve">thành viên </w:t>
      </w:r>
      <w:r w:rsidR="001C5390" w:rsidRPr="006234AA">
        <w:rPr>
          <w:lang w:val="nl-NL"/>
        </w:rPr>
        <w:t>ban điều hành</w:t>
      </w:r>
      <w:r w:rsidRPr="006234AA">
        <w:rPr>
          <w:lang w:val="nl-NL"/>
        </w:rPr>
        <w:t>, thành viên hội đồng quản trị, hội đồng thành viên, chủ tịch công ty</w:t>
      </w:r>
      <w:r w:rsidR="001C5390" w:rsidRPr="006234AA">
        <w:rPr>
          <w:lang w:val="nl-NL"/>
        </w:rPr>
        <w:t xml:space="preserve"> </w:t>
      </w:r>
      <w:r w:rsidRPr="006234AA">
        <w:rPr>
          <w:lang w:val="nl-NL"/>
        </w:rPr>
        <w:t>bị truy tố, khởi tố bị can, bị tạm giam</w:t>
      </w:r>
      <w:r w:rsidR="001C5390" w:rsidRPr="006234AA">
        <w:rPr>
          <w:lang w:val="nl-NL"/>
        </w:rPr>
        <w:t>;</w:t>
      </w:r>
    </w:p>
    <w:p w:rsidR="001C5390" w:rsidRPr="006234AA" w:rsidRDefault="00EC51BE" w:rsidP="003C0546">
      <w:pPr>
        <w:spacing w:after="120"/>
        <w:rPr>
          <w:lang w:val="nl-NL"/>
        </w:rPr>
      </w:pPr>
      <w:r w:rsidRPr="006234AA">
        <w:rPr>
          <w:lang w:val="nl-NL"/>
        </w:rPr>
        <w:t>c</w:t>
      </w:r>
      <w:r w:rsidR="001C5390" w:rsidRPr="006234AA">
        <w:rPr>
          <w:lang w:val="nl-NL"/>
        </w:rPr>
        <w:t xml:space="preserve">) Các trường hợp </w:t>
      </w:r>
      <w:r w:rsidR="002D57C4" w:rsidRPr="006234AA">
        <w:rPr>
          <w:lang w:val="nl-NL"/>
        </w:rPr>
        <w:t xml:space="preserve">khác theo quy định pháp luật chứng khoán về tổ chức hoạt động công ty chứng khoán, công ty quản lý quỹ và </w:t>
      </w:r>
      <w:r w:rsidR="001C5390" w:rsidRPr="006234AA">
        <w:rPr>
          <w:lang w:val="nl-NL"/>
        </w:rPr>
        <w:t>theo yêu cầu của Ủy ban Chứng khoán Nhà nước.</w:t>
      </w:r>
    </w:p>
    <w:p w:rsidR="00627372" w:rsidRPr="006234AA" w:rsidRDefault="002D57C4" w:rsidP="003C0546">
      <w:pPr>
        <w:pStyle w:val="Heading4"/>
        <w:spacing w:after="120"/>
      </w:pPr>
      <w:bookmarkStart w:id="232" w:name="_Toc422672013"/>
      <w:r w:rsidRPr="006234AA">
        <w:t xml:space="preserve">Nghĩa vụ công bố thông tin của </w:t>
      </w:r>
      <w:r w:rsidR="009541A8" w:rsidRPr="006234AA">
        <w:t>Sở giao dịch chứng khoán</w:t>
      </w:r>
      <w:bookmarkEnd w:id="232"/>
    </w:p>
    <w:p w:rsidR="001F3649" w:rsidRPr="006234AA" w:rsidRDefault="004834B3" w:rsidP="00D36937">
      <w:pPr>
        <w:pStyle w:val="BodyTextIndent"/>
        <w:numPr>
          <w:ilvl w:val="0"/>
          <w:numId w:val="46"/>
        </w:numPr>
        <w:tabs>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Sở giao dịch chứng khoán </w:t>
      </w:r>
      <w:r w:rsidR="002D57C4" w:rsidRPr="006234AA">
        <w:rPr>
          <w:rFonts w:ascii="Times New Roman" w:hAnsi="Times New Roman"/>
          <w:lang w:val="nl-NL"/>
        </w:rPr>
        <w:t xml:space="preserve">có trách nhiệm </w:t>
      </w:r>
      <w:r w:rsidRPr="006234AA">
        <w:rPr>
          <w:rFonts w:ascii="Times New Roman" w:hAnsi="Times New Roman"/>
          <w:lang w:val="nl-NL"/>
        </w:rPr>
        <w:t>c</w:t>
      </w:r>
      <w:r w:rsidR="001F3649" w:rsidRPr="006234AA">
        <w:rPr>
          <w:rFonts w:ascii="Times New Roman" w:hAnsi="Times New Roman"/>
          <w:lang w:val="nl-NL"/>
        </w:rPr>
        <w:t xml:space="preserve">ông bố </w:t>
      </w:r>
      <w:r w:rsidRPr="006234AA">
        <w:rPr>
          <w:rFonts w:ascii="Times New Roman" w:hAnsi="Times New Roman"/>
          <w:lang w:val="nl-NL"/>
        </w:rPr>
        <w:t xml:space="preserve">các </w:t>
      </w:r>
      <w:r w:rsidR="001F3649" w:rsidRPr="006234AA">
        <w:rPr>
          <w:rFonts w:ascii="Times New Roman" w:hAnsi="Times New Roman"/>
          <w:lang w:val="nl-NL"/>
        </w:rPr>
        <w:t xml:space="preserve">thông tin </w:t>
      </w:r>
      <w:r w:rsidRPr="006234AA">
        <w:rPr>
          <w:rFonts w:ascii="Times New Roman" w:hAnsi="Times New Roman"/>
          <w:lang w:val="nl-NL"/>
        </w:rPr>
        <w:t>sau</w:t>
      </w:r>
      <w:r w:rsidR="001F3649" w:rsidRPr="006234AA">
        <w:rPr>
          <w:rFonts w:ascii="Times New Roman" w:hAnsi="Times New Roman"/>
          <w:lang w:val="nl-NL"/>
        </w:rPr>
        <w:t xml:space="preserve">: </w:t>
      </w:r>
    </w:p>
    <w:p w:rsidR="001F3649" w:rsidRPr="006234AA" w:rsidRDefault="001F3649" w:rsidP="00D36937">
      <w:pPr>
        <w:pStyle w:val="BodyTextIndent"/>
        <w:numPr>
          <w:ilvl w:val="1"/>
          <w:numId w:val="43"/>
        </w:numPr>
        <w:tabs>
          <w:tab w:val="left" w:pos="993"/>
        </w:tabs>
        <w:spacing w:after="120"/>
        <w:ind w:left="0" w:firstLine="709"/>
        <w:jc w:val="both"/>
        <w:rPr>
          <w:rFonts w:ascii="Times New Roman" w:hAnsi="Times New Roman"/>
          <w:lang w:val="nl-NL"/>
        </w:rPr>
      </w:pPr>
      <w:r w:rsidRPr="006234AA">
        <w:rPr>
          <w:rFonts w:ascii="Times New Roman" w:hAnsi="Times New Roman"/>
          <w:lang w:val="nl-NL"/>
        </w:rPr>
        <w:lastRenderedPageBreak/>
        <w:t>Giá tham chiếu, giá trần, giá sàn, giá mở cửa/đóng cửa của từng phiên giao dịch/ngày, giá thực hiện, giá dự kiến (trường hợp khớp lệnh định kỳ), giá thỏa thuận (nếu có);</w:t>
      </w:r>
    </w:p>
    <w:p w:rsidR="001F3649" w:rsidRPr="006234AA" w:rsidRDefault="001F3649" w:rsidP="00D36937">
      <w:pPr>
        <w:pStyle w:val="BodyTextIndent"/>
        <w:numPr>
          <w:ilvl w:val="1"/>
          <w:numId w:val="43"/>
        </w:numPr>
        <w:tabs>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Các mức giá chào mua, chào bán tốt nhất </w:t>
      </w:r>
      <w:r w:rsidR="004834B3" w:rsidRPr="006234AA">
        <w:rPr>
          <w:rFonts w:ascii="Times New Roman" w:hAnsi="Times New Roman"/>
          <w:lang w:val="nl-NL"/>
        </w:rPr>
        <w:t xml:space="preserve">và khối lượng đặt mua, đặt bán </w:t>
      </w:r>
      <w:r w:rsidRPr="006234AA">
        <w:rPr>
          <w:rFonts w:ascii="Times New Roman" w:hAnsi="Times New Roman"/>
          <w:lang w:val="nl-NL"/>
        </w:rPr>
        <w:t xml:space="preserve">tương ứng </w:t>
      </w:r>
      <w:r w:rsidR="004834B3" w:rsidRPr="006234AA">
        <w:rPr>
          <w:rFonts w:ascii="Times New Roman" w:hAnsi="Times New Roman"/>
          <w:lang w:val="nl-NL"/>
        </w:rPr>
        <w:t>của từng</w:t>
      </w:r>
      <w:r w:rsidRPr="006234AA">
        <w:rPr>
          <w:rFonts w:ascii="Times New Roman" w:hAnsi="Times New Roman"/>
          <w:lang w:val="nl-NL"/>
        </w:rPr>
        <w:t xml:space="preserve"> loại chứng khoán phái sinh</w:t>
      </w:r>
      <w:r w:rsidR="004834B3" w:rsidRPr="006234AA">
        <w:rPr>
          <w:rFonts w:ascii="Times New Roman" w:hAnsi="Times New Roman"/>
          <w:lang w:val="nl-NL"/>
        </w:rPr>
        <w:t>.</w:t>
      </w:r>
      <w:r w:rsidRPr="006234AA">
        <w:rPr>
          <w:rFonts w:ascii="Times New Roman" w:hAnsi="Times New Roman"/>
          <w:lang w:val="nl-NL"/>
        </w:rPr>
        <w:t xml:space="preserve"> </w:t>
      </w:r>
    </w:p>
    <w:p w:rsidR="00EC10C9" w:rsidRPr="006234AA" w:rsidRDefault="001F3649" w:rsidP="003C0546">
      <w:pPr>
        <w:spacing w:after="120"/>
        <w:rPr>
          <w:lang w:val="nl-NL"/>
        </w:rPr>
      </w:pPr>
      <w:r w:rsidRPr="006234AA">
        <w:rPr>
          <w:lang w:val="nl-NL"/>
        </w:rPr>
        <w:t xml:space="preserve">2. </w:t>
      </w:r>
      <w:r w:rsidR="004834B3" w:rsidRPr="006234AA">
        <w:rPr>
          <w:lang w:val="nl-NL"/>
        </w:rPr>
        <w:t>Trung tâm Lưu ký chứng khoán phối hợp, cung cấp các thông tin cần thiết để Sở giao dịch chứng khoán thực hiện c</w:t>
      </w:r>
      <w:r w:rsidRPr="006234AA">
        <w:rPr>
          <w:lang w:val="nl-NL"/>
        </w:rPr>
        <w:t xml:space="preserve">ông bố </w:t>
      </w:r>
      <w:r w:rsidR="00A37CF1" w:rsidRPr="006234AA">
        <w:rPr>
          <w:lang w:val="nl-NL"/>
        </w:rPr>
        <w:t>k</w:t>
      </w:r>
      <w:r w:rsidRPr="006234AA">
        <w:rPr>
          <w:lang w:val="nl-NL"/>
        </w:rPr>
        <w:t xml:space="preserve">ết quả giao dịch hàng ngày đối với từng </w:t>
      </w:r>
      <w:r w:rsidR="004834B3" w:rsidRPr="006234AA">
        <w:rPr>
          <w:lang w:val="nl-NL"/>
        </w:rPr>
        <w:t>chứng khoán phái sinh</w:t>
      </w:r>
      <w:r w:rsidR="00A37CF1" w:rsidRPr="006234AA">
        <w:rPr>
          <w:lang w:val="nl-NL"/>
        </w:rPr>
        <w:t xml:space="preserve"> như sau:</w:t>
      </w:r>
    </w:p>
    <w:p w:rsidR="00EC10C9" w:rsidRPr="006234AA" w:rsidRDefault="00A37CF1" w:rsidP="003C0546">
      <w:pPr>
        <w:spacing w:after="120"/>
        <w:rPr>
          <w:lang w:val="nl-NL"/>
        </w:rPr>
      </w:pPr>
      <w:r w:rsidRPr="006234AA">
        <w:rPr>
          <w:lang w:val="nl-NL"/>
        </w:rPr>
        <w:t>a</w:t>
      </w:r>
      <w:r w:rsidR="001F3649" w:rsidRPr="006234AA">
        <w:rPr>
          <w:lang w:val="nl-NL"/>
        </w:rPr>
        <w:t xml:space="preserve">) </w:t>
      </w:r>
      <w:r w:rsidR="004834B3" w:rsidRPr="006234AA">
        <w:rPr>
          <w:lang w:val="nl-NL"/>
        </w:rPr>
        <w:t>Khối lượng giao dịch (t</w:t>
      </w:r>
      <w:r w:rsidR="001F3649" w:rsidRPr="006234AA">
        <w:rPr>
          <w:lang w:val="nl-NL"/>
        </w:rPr>
        <w:t>ổng số lượng vị thế mở</w:t>
      </w:r>
      <w:r w:rsidR="004834B3" w:rsidRPr="006234AA">
        <w:rPr>
          <w:lang w:val="nl-NL"/>
        </w:rPr>
        <w:t>)</w:t>
      </w:r>
      <w:r w:rsidR="001F3649" w:rsidRPr="006234AA">
        <w:rPr>
          <w:lang w:val="nl-NL"/>
        </w:rPr>
        <w:t xml:space="preserve"> và </w:t>
      </w:r>
      <w:r w:rsidR="004834B3" w:rsidRPr="006234AA">
        <w:rPr>
          <w:lang w:val="nl-NL"/>
        </w:rPr>
        <w:t>biến động khối lượng giao dịch (</w:t>
      </w:r>
      <w:r w:rsidR="001F3649" w:rsidRPr="006234AA">
        <w:rPr>
          <w:lang w:val="nl-NL"/>
        </w:rPr>
        <w:t>thay đổi tổng số lượng vị thế mở</w:t>
      </w:r>
      <w:r w:rsidR="004834B3" w:rsidRPr="006234AA">
        <w:rPr>
          <w:lang w:val="nl-NL"/>
        </w:rPr>
        <w:t>)</w:t>
      </w:r>
      <w:r w:rsidR="001F3649" w:rsidRPr="006234AA">
        <w:rPr>
          <w:lang w:val="nl-NL"/>
        </w:rPr>
        <w:t xml:space="preserve"> của từng </w:t>
      </w:r>
      <w:r w:rsidR="004834B3" w:rsidRPr="006234AA">
        <w:rPr>
          <w:lang w:val="nl-NL"/>
        </w:rPr>
        <w:t>chứng khoán phái sinh</w:t>
      </w:r>
      <w:r w:rsidR="001F3649" w:rsidRPr="006234AA">
        <w:rPr>
          <w:lang w:val="nl-NL"/>
        </w:rPr>
        <w:t>;</w:t>
      </w:r>
    </w:p>
    <w:p w:rsidR="00EC10C9" w:rsidRPr="006234AA" w:rsidRDefault="00A37CF1" w:rsidP="003C0546">
      <w:pPr>
        <w:spacing w:after="120"/>
        <w:rPr>
          <w:lang w:val="nl-NL"/>
        </w:rPr>
      </w:pPr>
      <w:r w:rsidRPr="006234AA">
        <w:rPr>
          <w:lang w:val="nl-NL"/>
        </w:rPr>
        <w:t>b</w:t>
      </w:r>
      <w:r w:rsidR="001F3649" w:rsidRPr="006234AA">
        <w:rPr>
          <w:lang w:val="nl-NL"/>
        </w:rPr>
        <w:t xml:space="preserve">) Giá </w:t>
      </w:r>
      <w:r w:rsidR="004834B3" w:rsidRPr="006234AA">
        <w:rPr>
          <w:lang w:val="nl-NL"/>
        </w:rPr>
        <w:t>thanh</w:t>
      </w:r>
      <w:r w:rsidR="001F3649" w:rsidRPr="006234AA">
        <w:rPr>
          <w:lang w:val="nl-NL"/>
        </w:rPr>
        <w:t xml:space="preserve"> toán </w:t>
      </w:r>
      <w:r w:rsidR="004834B3" w:rsidRPr="006234AA">
        <w:rPr>
          <w:lang w:val="nl-NL"/>
        </w:rPr>
        <w:t>cuối</w:t>
      </w:r>
      <w:r w:rsidR="001F3649" w:rsidRPr="006234AA">
        <w:rPr>
          <w:lang w:val="nl-NL"/>
        </w:rPr>
        <w:t xml:space="preserve"> ngày, mức thay đổi của giá </w:t>
      </w:r>
      <w:r w:rsidR="004834B3" w:rsidRPr="006234AA">
        <w:rPr>
          <w:lang w:val="nl-NL"/>
        </w:rPr>
        <w:t>thanh toán cuối</w:t>
      </w:r>
      <w:r w:rsidR="001F3649" w:rsidRPr="006234AA">
        <w:rPr>
          <w:lang w:val="nl-NL"/>
        </w:rPr>
        <w:t xml:space="preserve"> ngày</w:t>
      </w:r>
      <w:r w:rsidR="004834B3" w:rsidRPr="006234AA">
        <w:rPr>
          <w:lang w:val="nl-NL"/>
        </w:rPr>
        <w:t>,</w:t>
      </w:r>
      <w:r w:rsidR="001F3649" w:rsidRPr="006234AA">
        <w:rPr>
          <w:lang w:val="nl-NL"/>
        </w:rPr>
        <w:t xml:space="preserve"> giá thanh toán cuối cùng </w:t>
      </w:r>
      <w:r w:rsidR="004834B3" w:rsidRPr="006234AA">
        <w:rPr>
          <w:lang w:val="nl-NL"/>
        </w:rPr>
        <w:t>(nếu có);</w:t>
      </w:r>
    </w:p>
    <w:p w:rsidR="004834B3" w:rsidRPr="006234AA" w:rsidRDefault="00A37CF1" w:rsidP="003C0546">
      <w:pPr>
        <w:spacing w:after="120"/>
        <w:rPr>
          <w:lang w:val="nl-NL"/>
        </w:rPr>
      </w:pPr>
      <w:r w:rsidRPr="006234AA">
        <w:rPr>
          <w:lang w:val="nl-NL"/>
        </w:rPr>
        <w:t>c</w:t>
      </w:r>
      <w:r w:rsidR="004834B3" w:rsidRPr="006234AA">
        <w:rPr>
          <w:lang w:val="nl-NL"/>
        </w:rPr>
        <w:t xml:space="preserve">) Khối lượng mở (open interest) của từng loại chứng khoán phái sinh của ngày </w:t>
      </w:r>
      <w:r w:rsidRPr="006234AA">
        <w:rPr>
          <w:lang w:val="nl-NL"/>
        </w:rPr>
        <w:t>g</w:t>
      </w:r>
      <w:r w:rsidR="004834B3" w:rsidRPr="006234AA">
        <w:rPr>
          <w:lang w:val="nl-NL"/>
        </w:rPr>
        <w:t>iao dịch trước đó.</w:t>
      </w:r>
    </w:p>
    <w:p w:rsidR="00EC10C9" w:rsidRPr="006234AA" w:rsidRDefault="002D57C4" w:rsidP="002D57C4">
      <w:pPr>
        <w:pStyle w:val="BodyTextIndent"/>
        <w:tabs>
          <w:tab w:val="left" w:pos="0"/>
          <w:tab w:val="left" w:pos="993"/>
        </w:tabs>
        <w:spacing w:after="120"/>
        <w:jc w:val="both"/>
        <w:rPr>
          <w:rFonts w:ascii="Times New Roman" w:hAnsi="Times New Roman"/>
          <w:lang w:val="nl-NL"/>
        </w:rPr>
      </w:pPr>
      <w:r w:rsidRPr="006234AA">
        <w:rPr>
          <w:rFonts w:ascii="Times New Roman" w:hAnsi="Times New Roman"/>
          <w:lang w:val="nl-NL"/>
        </w:rPr>
        <w:t xml:space="preserve">3. </w:t>
      </w:r>
      <w:r w:rsidR="003F4557" w:rsidRPr="006234AA">
        <w:rPr>
          <w:rFonts w:ascii="Times New Roman" w:hAnsi="Times New Roman"/>
          <w:lang w:val="nl-NL"/>
        </w:rPr>
        <w:t>Sở giao dịch chứng khoán có trách nhiệm duy trì việc c</w:t>
      </w:r>
      <w:r w:rsidR="001F3649" w:rsidRPr="006234AA">
        <w:rPr>
          <w:rFonts w:ascii="Times New Roman" w:hAnsi="Times New Roman"/>
          <w:lang w:val="nl-NL"/>
        </w:rPr>
        <w:t xml:space="preserve">ông bố </w:t>
      </w:r>
      <w:r w:rsidR="003F4557" w:rsidRPr="006234AA">
        <w:rPr>
          <w:rFonts w:ascii="Times New Roman" w:hAnsi="Times New Roman"/>
          <w:lang w:val="nl-NL"/>
        </w:rPr>
        <w:t>thường xuyên bảng báo giá trên trang thông tin điện tử của mình</w:t>
      </w:r>
      <w:r w:rsidR="001F3649" w:rsidRPr="006234AA">
        <w:rPr>
          <w:rFonts w:ascii="Times New Roman" w:hAnsi="Times New Roman"/>
          <w:lang w:val="nl-NL"/>
        </w:rPr>
        <w:t xml:space="preserve"> </w:t>
      </w:r>
      <w:r w:rsidR="003F4557" w:rsidRPr="006234AA">
        <w:rPr>
          <w:rFonts w:ascii="Times New Roman" w:hAnsi="Times New Roman"/>
          <w:lang w:val="nl-NL"/>
        </w:rPr>
        <w:t>với các thông tin dưới đây</w:t>
      </w:r>
      <w:r w:rsidR="001F3649" w:rsidRPr="006234AA">
        <w:rPr>
          <w:rFonts w:ascii="Times New Roman" w:hAnsi="Times New Roman"/>
          <w:lang w:val="nl-NL"/>
        </w:rPr>
        <w:t xml:space="preserve">: </w:t>
      </w:r>
    </w:p>
    <w:p w:rsidR="001F3649" w:rsidRPr="006234AA" w:rsidRDefault="003F4557" w:rsidP="00D36937">
      <w:pPr>
        <w:pStyle w:val="BodyTextIndent"/>
        <w:numPr>
          <w:ilvl w:val="0"/>
          <w:numId w:val="44"/>
        </w:numPr>
        <w:tabs>
          <w:tab w:val="left" w:pos="993"/>
        </w:tabs>
        <w:spacing w:after="120"/>
        <w:ind w:left="0" w:firstLine="709"/>
        <w:jc w:val="both"/>
        <w:rPr>
          <w:rFonts w:ascii="Times New Roman" w:hAnsi="Times New Roman"/>
          <w:lang w:val="nl-NL"/>
        </w:rPr>
      </w:pPr>
      <w:r w:rsidRPr="006234AA">
        <w:rPr>
          <w:rFonts w:ascii="Times New Roman" w:hAnsi="Times New Roman"/>
          <w:lang w:val="nl-NL"/>
        </w:rPr>
        <w:t>Thông tin về</w:t>
      </w:r>
      <w:r w:rsidR="001F3649" w:rsidRPr="006234AA">
        <w:rPr>
          <w:rFonts w:ascii="Times New Roman" w:hAnsi="Times New Roman"/>
          <w:lang w:val="nl-NL"/>
        </w:rPr>
        <w:t xml:space="preserve"> </w:t>
      </w:r>
      <w:r w:rsidRPr="006234AA">
        <w:rPr>
          <w:rFonts w:ascii="Times New Roman" w:hAnsi="Times New Roman"/>
          <w:lang w:val="nl-NL"/>
        </w:rPr>
        <w:t>từng</w:t>
      </w:r>
      <w:r w:rsidR="001F3649" w:rsidRPr="006234AA">
        <w:rPr>
          <w:rFonts w:ascii="Times New Roman" w:hAnsi="Times New Roman"/>
          <w:lang w:val="nl-NL"/>
        </w:rPr>
        <w:t xml:space="preserve"> chứng khoán phái sinh</w:t>
      </w:r>
      <w:r w:rsidRPr="006234AA">
        <w:rPr>
          <w:rFonts w:ascii="Times New Roman" w:hAnsi="Times New Roman"/>
          <w:lang w:val="nl-NL"/>
        </w:rPr>
        <w:t xml:space="preserve"> đang niêm yết, thời gian đáo hạn của từng mã;</w:t>
      </w:r>
      <w:r w:rsidR="001F3649" w:rsidRPr="006234AA">
        <w:rPr>
          <w:rFonts w:ascii="Times New Roman" w:hAnsi="Times New Roman"/>
          <w:lang w:val="nl-NL"/>
        </w:rPr>
        <w:t xml:space="preserve"> </w:t>
      </w:r>
    </w:p>
    <w:p w:rsidR="001F3649" w:rsidRPr="006234AA" w:rsidRDefault="003F4557" w:rsidP="00D36937">
      <w:pPr>
        <w:pStyle w:val="BodyTextIndent"/>
        <w:numPr>
          <w:ilvl w:val="0"/>
          <w:numId w:val="44"/>
        </w:numPr>
        <w:tabs>
          <w:tab w:val="left" w:pos="993"/>
        </w:tabs>
        <w:spacing w:after="120"/>
        <w:ind w:left="0" w:firstLine="709"/>
        <w:jc w:val="both"/>
        <w:rPr>
          <w:rFonts w:ascii="Times New Roman" w:hAnsi="Times New Roman"/>
          <w:lang w:val="nl-NL"/>
        </w:rPr>
      </w:pPr>
      <w:r w:rsidRPr="006234AA">
        <w:rPr>
          <w:rFonts w:ascii="Times New Roman" w:hAnsi="Times New Roman"/>
          <w:lang w:val="nl-NL"/>
        </w:rPr>
        <w:t>G</w:t>
      </w:r>
      <w:r w:rsidR="001F3649" w:rsidRPr="006234AA">
        <w:rPr>
          <w:rFonts w:ascii="Times New Roman" w:hAnsi="Times New Roman"/>
          <w:lang w:val="nl-NL"/>
        </w:rPr>
        <w:t>iá</w:t>
      </w:r>
      <w:r w:rsidRPr="006234AA">
        <w:rPr>
          <w:rFonts w:ascii="Times New Roman" w:hAnsi="Times New Roman"/>
          <w:lang w:val="nl-NL"/>
        </w:rPr>
        <w:t xml:space="preserve"> mở cửa</w:t>
      </w:r>
      <w:r w:rsidR="001F3649" w:rsidRPr="006234AA">
        <w:rPr>
          <w:rFonts w:ascii="Times New Roman" w:hAnsi="Times New Roman"/>
          <w:lang w:val="nl-NL"/>
        </w:rPr>
        <w:t xml:space="preserve">, </w:t>
      </w:r>
      <w:r w:rsidRPr="006234AA">
        <w:rPr>
          <w:rFonts w:ascii="Times New Roman" w:hAnsi="Times New Roman"/>
          <w:lang w:val="nl-NL"/>
        </w:rPr>
        <w:t xml:space="preserve">giá giao dịch cao nhất trong phiên, giá giao dịch thấp nhất trong phiên, giá đóng cửa, giá thanh toán cuối ngày, mức thay đổi của giá thanh toán cuối ngày, giá giao dịch cao nhất tính từ thời điểm niêm yết, giá giao dịch thấp nhất tính từ thời điểm niêm yết, </w:t>
      </w:r>
      <w:r w:rsidR="001F3649" w:rsidRPr="006234AA">
        <w:rPr>
          <w:rFonts w:ascii="Times New Roman" w:hAnsi="Times New Roman"/>
          <w:lang w:val="nl-NL"/>
        </w:rPr>
        <w:t xml:space="preserve">khối lượng </w:t>
      </w:r>
      <w:r w:rsidRPr="006234AA">
        <w:rPr>
          <w:rFonts w:ascii="Times New Roman" w:hAnsi="Times New Roman"/>
          <w:lang w:val="nl-NL"/>
        </w:rPr>
        <w:t xml:space="preserve">mở </w:t>
      </w:r>
      <w:r w:rsidR="001F3649" w:rsidRPr="006234AA">
        <w:rPr>
          <w:rFonts w:ascii="Times New Roman" w:hAnsi="Times New Roman"/>
          <w:lang w:val="nl-NL"/>
        </w:rPr>
        <w:t>từng chứng khoán phái sinh</w:t>
      </w:r>
      <w:r w:rsidR="00A37CF1" w:rsidRPr="006234AA">
        <w:rPr>
          <w:rFonts w:ascii="Times New Roman" w:hAnsi="Times New Roman"/>
          <w:lang w:val="nl-NL"/>
        </w:rPr>
        <w:t xml:space="preserve"> của ngày giao dịch gần nhất.</w:t>
      </w:r>
      <w:r w:rsidR="001F3649" w:rsidRPr="006234AA">
        <w:rPr>
          <w:rFonts w:ascii="Times New Roman" w:hAnsi="Times New Roman"/>
          <w:lang w:val="nl-NL"/>
        </w:rPr>
        <w:t xml:space="preserve"> </w:t>
      </w:r>
    </w:p>
    <w:p w:rsidR="00EC10C9" w:rsidRPr="006234AA" w:rsidRDefault="002D57C4" w:rsidP="002D57C4">
      <w:pPr>
        <w:pStyle w:val="BodyTextIndent"/>
        <w:tabs>
          <w:tab w:val="left" w:pos="0"/>
          <w:tab w:val="left" w:pos="993"/>
        </w:tabs>
        <w:spacing w:after="120"/>
        <w:ind w:firstLine="720"/>
        <w:jc w:val="both"/>
        <w:rPr>
          <w:rFonts w:ascii="Times New Roman" w:hAnsi="Times New Roman"/>
          <w:lang w:val="nl-NL"/>
        </w:rPr>
      </w:pPr>
      <w:r w:rsidRPr="006234AA">
        <w:rPr>
          <w:rFonts w:ascii="Times New Roman" w:hAnsi="Times New Roman"/>
          <w:lang w:val="nl-NL"/>
        </w:rPr>
        <w:t>4. Sở giao dịch chứng khoán có trách nhiệm c</w:t>
      </w:r>
      <w:r w:rsidR="001F3649" w:rsidRPr="006234AA">
        <w:rPr>
          <w:rFonts w:ascii="Times New Roman" w:hAnsi="Times New Roman"/>
          <w:lang w:val="nl-NL"/>
        </w:rPr>
        <w:t xml:space="preserve">ông bố thông tin về niêm yết mới, niêm yết thay thế: </w:t>
      </w:r>
    </w:p>
    <w:p w:rsidR="001F3649" w:rsidRPr="006234AA" w:rsidRDefault="001F3649" w:rsidP="00D36937">
      <w:pPr>
        <w:pStyle w:val="BodyTextIndent"/>
        <w:numPr>
          <w:ilvl w:val="2"/>
          <w:numId w:val="43"/>
        </w:numPr>
        <w:tabs>
          <w:tab w:val="left" w:pos="0"/>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Công bố thông tin về </w:t>
      </w:r>
      <w:r w:rsidR="002D57C4" w:rsidRPr="006234AA">
        <w:rPr>
          <w:rFonts w:ascii="Times New Roman" w:hAnsi="Times New Roman"/>
          <w:lang w:val="nl-NL"/>
        </w:rPr>
        <w:t xml:space="preserve">loại chứng khoán phái sinh </w:t>
      </w:r>
      <w:r w:rsidRPr="006234AA">
        <w:rPr>
          <w:rFonts w:ascii="Times New Roman" w:hAnsi="Times New Roman"/>
          <w:lang w:val="nl-NL"/>
        </w:rPr>
        <w:t>niêm yết mới sau khi được Ủy ban Chứng khoán Nhà nước chấp thuận;</w:t>
      </w:r>
    </w:p>
    <w:p w:rsidR="001F3649" w:rsidRPr="006234AA" w:rsidRDefault="001F3649" w:rsidP="00D36937">
      <w:pPr>
        <w:pStyle w:val="BodyTextIndent"/>
        <w:numPr>
          <w:ilvl w:val="2"/>
          <w:numId w:val="43"/>
        </w:numPr>
        <w:tabs>
          <w:tab w:val="left" w:pos="0"/>
          <w:tab w:val="left" w:pos="993"/>
        </w:tabs>
        <w:spacing w:after="120"/>
        <w:ind w:left="0" w:firstLine="709"/>
        <w:jc w:val="both"/>
        <w:rPr>
          <w:rFonts w:ascii="Times New Roman" w:hAnsi="Times New Roman"/>
          <w:lang w:val="nl-NL"/>
        </w:rPr>
      </w:pPr>
      <w:r w:rsidRPr="006234AA">
        <w:rPr>
          <w:rFonts w:ascii="Times New Roman" w:hAnsi="Times New Roman"/>
          <w:lang w:val="nl-NL"/>
        </w:rPr>
        <w:t>Công bố thông tin về hủy niêm yết, niêm yết thay thế chứng khoán phái sinh trên Sở giao dịch chứng khoán;</w:t>
      </w:r>
    </w:p>
    <w:p w:rsidR="001F3649" w:rsidRPr="006234AA" w:rsidRDefault="001F3649" w:rsidP="00D36937">
      <w:pPr>
        <w:pStyle w:val="BodyTextIndent"/>
        <w:numPr>
          <w:ilvl w:val="2"/>
          <w:numId w:val="43"/>
        </w:numPr>
        <w:tabs>
          <w:tab w:val="left" w:pos="0"/>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Công bố thông tin về tài sản cơ sở đủ điều kiện để thực hiện chuyển giao (đối với loại chứng khoán phái sinh thực hiện thanh toán bằng vật chất); công bố thông tin về thay đổi rổ chỉ số tài sản cơ sở. </w:t>
      </w:r>
    </w:p>
    <w:p w:rsidR="00EC10C9" w:rsidRPr="006234AA" w:rsidRDefault="001F3649" w:rsidP="00D36937">
      <w:pPr>
        <w:pStyle w:val="BodyTextIndent"/>
        <w:numPr>
          <w:ilvl w:val="3"/>
          <w:numId w:val="43"/>
        </w:numPr>
        <w:tabs>
          <w:tab w:val="left" w:pos="0"/>
          <w:tab w:val="left" w:pos="993"/>
        </w:tabs>
        <w:spacing w:after="120"/>
        <w:ind w:left="0" w:firstLine="720"/>
        <w:jc w:val="both"/>
        <w:rPr>
          <w:rFonts w:ascii="Times New Roman" w:hAnsi="Times New Roman"/>
          <w:lang w:val="nl-NL"/>
        </w:rPr>
      </w:pPr>
      <w:r w:rsidRPr="006234AA">
        <w:rPr>
          <w:rFonts w:ascii="Times New Roman" w:hAnsi="Times New Roman"/>
          <w:lang w:val="nl-NL"/>
        </w:rPr>
        <w:t>Công bố thông tin về thành viên giao dịch, thành viên tạo lập thị trường:</w:t>
      </w:r>
    </w:p>
    <w:p w:rsidR="001F3649" w:rsidRPr="006234AA" w:rsidRDefault="001F3649" w:rsidP="00D36937">
      <w:pPr>
        <w:pStyle w:val="BodyTextIndent"/>
        <w:numPr>
          <w:ilvl w:val="0"/>
          <w:numId w:val="45"/>
        </w:numPr>
        <w:tabs>
          <w:tab w:val="left" w:pos="0"/>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Thông tin về </w:t>
      </w:r>
      <w:r w:rsidR="002D57C4" w:rsidRPr="006234AA">
        <w:rPr>
          <w:rFonts w:ascii="Times New Roman" w:hAnsi="Times New Roman"/>
          <w:lang w:val="nl-NL"/>
        </w:rPr>
        <w:t>chấp thuận</w:t>
      </w:r>
      <w:r w:rsidRPr="006234AA">
        <w:rPr>
          <w:rFonts w:ascii="Times New Roman" w:hAnsi="Times New Roman"/>
          <w:lang w:val="nl-NL"/>
        </w:rPr>
        <w:t xml:space="preserve"> thành viên giao dịch</w:t>
      </w:r>
      <w:r w:rsidR="002D57C4" w:rsidRPr="006234AA">
        <w:rPr>
          <w:rFonts w:ascii="Times New Roman" w:hAnsi="Times New Roman"/>
          <w:lang w:val="nl-NL"/>
        </w:rPr>
        <w:t xml:space="preserve"> mới</w:t>
      </w:r>
      <w:r w:rsidRPr="006234AA">
        <w:rPr>
          <w:rFonts w:ascii="Times New Roman" w:hAnsi="Times New Roman"/>
          <w:lang w:val="nl-NL"/>
        </w:rPr>
        <w:t>, thành viên tạo lập thị trường</w:t>
      </w:r>
      <w:r w:rsidR="002D57C4" w:rsidRPr="006234AA">
        <w:rPr>
          <w:rFonts w:ascii="Times New Roman" w:hAnsi="Times New Roman"/>
          <w:lang w:val="nl-NL"/>
        </w:rPr>
        <w:t xml:space="preserve"> mới</w:t>
      </w:r>
      <w:r w:rsidRPr="006234AA">
        <w:rPr>
          <w:rFonts w:ascii="Times New Roman" w:hAnsi="Times New Roman"/>
          <w:lang w:val="nl-NL"/>
        </w:rPr>
        <w:t xml:space="preserve">; </w:t>
      </w:r>
    </w:p>
    <w:p w:rsidR="001F3649" w:rsidRPr="006234AA" w:rsidRDefault="001F3649" w:rsidP="00D36937">
      <w:pPr>
        <w:pStyle w:val="BodyTextIndent"/>
        <w:numPr>
          <w:ilvl w:val="0"/>
          <w:numId w:val="45"/>
        </w:numPr>
        <w:tabs>
          <w:tab w:val="left" w:pos="0"/>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Thông tin về xử phạt thành viên, thành viên tạo lập thị trường (nếu có); </w:t>
      </w:r>
    </w:p>
    <w:p w:rsidR="001F3649" w:rsidRPr="006234AA" w:rsidRDefault="001F3649" w:rsidP="00D36937">
      <w:pPr>
        <w:pStyle w:val="BodyTextIndent"/>
        <w:numPr>
          <w:ilvl w:val="0"/>
          <w:numId w:val="45"/>
        </w:numPr>
        <w:tabs>
          <w:tab w:val="left" w:pos="0"/>
          <w:tab w:val="left" w:pos="993"/>
        </w:tabs>
        <w:spacing w:after="120"/>
        <w:ind w:left="0" w:firstLine="709"/>
        <w:jc w:val="both"/>
        <w:rPr>
          <w:rFonts w:ascii="Times New Roman" w:hAnsi="Times New Roman"/>
          <w:lang w:val="nl-NL"/>
        </w:rPr>
      </w:pPr>
      <w:r w:rsidRPr="006234AA">
        <w:rPr>
          <w:rFonts w:ascii="Times New Roman" w:hAnsi="Times New Roman"/>
          <w:lang w:val="nl-NL"/>
        </w:rPr>
        <w:lastRenderedPageBreak/>
        <w:t xml:space="preserve">Thông tư về chấm dứt tư cách thành viên, tư cách thành viên tạo lập thị trường; </w:t>
      </w:r>
    </w:p>
    <w:p w:rsidR="001F3649" w:rsidRPr="006234AA" w:rsidRDefault="001F3649" w:rsidP="00D36937">
      <w:pPr>
        <w:pStyle w:val="BodyTextIndent"/>
        <w:numPr>
          <w:ilvl w:val="0"/>
          <w:numId w:val="45"/>
        </w:numPr>
        <w:tabs>
          <w:tab w:val="left" w:pos="0"/>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Thông tin định kỳ, bất thường theo yêu cầu của thành viên giao dịch, thành viên tạo lập thị trường thực hiện công bố thông tin qua phương tiện công bố thông tin của Sở giao dịch chứng khoán; </w:t>
      </w:r>
    </w:p>
    <w:p w:rsidR="00EC10C9" w:rsidRPr="006234AA" w:rsidRDefault="002D57C4" w:rsidP="00D36937">
      <w:pPr>
        <w:pStyle w:val="BodyTextIndent"/>
        <w:numPr>
          <w:ilvl w:val="3"/>
          <w:numId w:val="43"/>
        </w:numPr>
        <w:tabs>
          <w:tab w:val="left" w:pos="0"/>
          <w:tab w:val="left" w:pos="993"/>
        </w:tabs>
        <w:spacing w:after="120"/>
        <w:ind w:left="0" w:firstLine="720"/>
        <w:jc w:val="both"/>
        <w:rPr>
          <w:rFonts w:ascii="Times New Roman" w:hAnsi="Times New Roman"/>
          <w:lang w:val="nl-NL"/>
        </w:rPr>
      </w:pPr>
      <w:r w:rsidRPr="006234AA">
        <w:rPr>
          <w:rFonts w:ascii="Times New Roman" w:hAnsi="Times New Roman"/>
          <w:lang w:val="nl-NL"/>
        </w:rPr>
        <w:t xml:space="preserve"> </w:t>
      </w:r>
      <w:r w:rsidR="001F3649" w:rsidRPr="006234AA">
        <w:rPr>
          <w:rFonts w:ascii="Times New Roman" w:hAnsi="Times New Roman"/>
          <w:lang w:val="nl-NL"/>
        </w:rPr>
        <w:t xml:space="preserve">Công bố thông tin giám sát hoạt động của thị trường chứng khoán phái sinh: </w:t>
      </w:r>
    </w:p>
    <w:p w:rsidR="001F3649" w:rsidRPr="006234AA" w:rsidRDefault="001F3649" w:rsidP="00D36937">
      <w:pPr>
        <w:pStyle w:val="BodyTextIndent"/>
        <w:numPr>
          <w:ilvl w:val="1"/>
          <w:numId w:val="42"/>
        </w:numPr>
        <w:tabs>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 Thông tin về việc tạm ngừng giao dịch thị trường chứng khoán phái sinh khi xảy ra sự cố bất khả kháng hoặc khi có những dấu hiệu bất thường trong giao dịch; </w:t>
      </w:r>
    </w:p>
    <w:p w:rsidR="001F3649" w:rsidRPr="006234AA" w:rsidRDefault="001F3649" w:rsidP="00D36937">
      <w:pPr>
        <w:pStyle w:val="BodyTextIndent"/>
        <w:numPr>
          <w:ilvl w:val="1"/>
          <w:numId w:val="42"/>
        </w:numPr>
        <w:tabs>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Thông tin về tạm ngừng và cho phép giao dịch trở lại đối với hợp đồng chứng khoán phái sinh; </w:t>
      </w:r>
    </w:p>
    <w:p w:rsidR="001F3649" w:rsidRPr="006234AA" w:rsidRDefault="001F3649" w:rsidP="00D36937">
      <w:pPr>
        <w:pStyle w:val="BodyTextIndent"/>
        <w:numPr>
          <w:ilvl w:val="1"/>
          <w:numId w:val="42"/>
        </w:numPr>
        <w:tabs>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Thông tin về thay đổi biên độ dao động giá, áp dụng giới hạn lệnh, giới hạn lệnh tích lũy; </w:t>
      </w:r>
    </w:p>
    <w:p w:rsidR="001F3649" w:rsidRPr="006234AA" w:rsidRDefault="001F3649" w:rsidP="00D36937">
      <w:pPr>
        <w:pStyle w:val="BodyTextIndent"/>
        <w:numPr>
          <w:ilvl w:val="1"/>
          <w:numId w:val="42"/>
        </w:numPr>
        <w:tabs>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Thông tin về việc hủy bỏ hoặc sửa đổi mẫu và các điều khoản của hợp đồng chứng khoán phái sinh sau khi được Ủy ban Chứng khoán Nhà nước chấp thuận;  </w:t>
      </w:r>
    </w:p>
    <w:p w:rsidR="00EC10C9" w:rsidRPr="006234AA" w:rsidRDefault="001F3649" w:rsidP="003C0546">
      <w:pPr>
        <w:pStyle w:val="BodyTextIndent"/>
        <w:tabs>
          <w:tab w:val="left" w:pos="993"/>
        </w:tabs>
        <w:spacing w:after="120"/>
        <w:ind w:firstLine="709"/>
        <w:jc w:val="both"/>
        <w:rPr>
          <w:rFonts w:ascii="Times New Roman" w:hAnsi="Times New Roman"/>
          <w:lang w:val="nl-NL"/>
        </w:rPr>
      </w:pPr>
      <w:r w:rsidRPr="006234AA">
        <w:rPr>
          <w:rFonts w:ascii="Times New Roman" w:hAnsi="Times New Roman"/>
          <w:lang w:val="nl-NL"/>
        </w:rPr>
        <w:t>đ) Thông tin về vi phạm nghĩa vụ công bố thông tin của thành viên giao dịch, thành viên tạo lập thị trường;</w:t>
      </w:r>
    </w:p>
    <w:p w:rsidR="001F3649" w:rsidRPr="006234AA" w:rsidRDefault="001F3649" w:rsidP="00D36937">
      <w:pPr>
        <w:pStyle w:val="BodyTextIndent"/>
        <w:numPr>
          <w:ilvl w:val="1"/>
          <w:numId w:val="42"/>
        </w:numPr>
        <w:tabs>
          <w:tab w:val="left" w:pos="993"/>
        </w:tabs>
        <w:spacing w:after="120"/>
        <w:ind w:left="0" w:firstLine="709"/>
        <w:jc w:val="both"/>
        <w:rPr>
          <w:rFonts w:ascii="Times New Roman" w:hAnsi="Times New Roman"/>
          <w:lang w:val="nl-NL"/>
        </w:rPr>
      </w:pPr>
      <w:r w:rsidRPr="006234AA">
        <w:rPr>
          <w:rFonts w:ascii="Times New Roman" w:hAnsi="Times New Roman"/>
          <w:lang w:val="nl-NL"/>
        </w:rPr>
        <w:t xml:space="preserve">Các </w:t>
      </w:r>
      <w:r w:rsidR="002D57C4" w:rsidRPr="006234AA">
        <w:rPr>
          <w:rFonts w:ascii="Times New Roman" w:hAnsi="Times New Roman"/>
          <w:lang w:val="nl-NL"/>
        </w:rPr>
        <w:t xml:space="preserve">thông tin khác </w:t>
      </w:r>
      <w:r w:rsidRPr="006234AA">
        <w:rPr>
          <w:rFonts w:ascii="Times New Roman" w:hAnsi="Times New Roman"/>
          <w:lang w:val="nl-NL"/>
        </w:rPr>
        <w:t xml:space="preserve">theo quy định </w:t>
      </w:r>
      <w:r w:rsidR="002D57C4" w:rsidRPr="006234AA">
        <w:rPr>
          <w:rFonts w:ascii="Times New Roman" w:hAnsi="Times New Roman"/>
          <w:lang w:val="nl-NL"/>
        </w:rPr>
        <w:t xml:space="preserve">của pháp luật và theo yêu cầu </w:t>
      </w:r>
      <w:r w:rsidRPr="006234AA">
        <w:rPr>
          <w:rFonts w:ascii="Times New Roman" w:hAnsi="Times New Roman"/>
          <w:lang w:val="nl-NL"/>
        </w:rPr>
        <w:t xml:space="preserve">của Ủy ban Chứng khoán Nhà nước, Sở giao dịch chứng khoán. </w:t>
      </w:r>
    </w:p>
    <w:p w:rsidR="004E1C97" w:rsidRPr="006234AA" w:rsidRDefault="002D57C4" w:rsidP="002D57C4">
      <w:pPr>
        <w:pStyle w:val="Heading4"/>
        <w:tabs>
          <w:tab w:val="left" w:pos="1260"/>
        </w:tabs>
        <w:spacing w:after="120"/>
        <w:ind w:left="0" w:firstLine="851"/>
        <w:rPr>
          <w:rFonts w:eastAsia="DFKai-SB"/>
          <w:kern w:val="20"/>
        </w:rPr>
      </w:pPr>
      <w:bookmarkStart w:id="233" w:name="_Toc422672014"/>
      <w:r w:rsidRPr="006234AA">
        <w:rPr>
          <w:rFonts w:eastAsia="DFKai-SB"/>
          <w:kern w:val="20"/>
        </w:rPr>
        <w:t xml:space="preserve">Nghĩa vụ báo cáo của </w:t>
      </w:r>
      <w:r w:rsidR="008573AD" w:rsidRPr="006234AA">
        <w:rPr>
          <w:rFonts w:eastAsia="DFKai-SB"/>
          <w:kern w:val="20"/>
        </w:rPr>
        <w:t xml:space="preserve">Trung tâm lưu ký </w:t>
      </w:r>
      <w:r w:rsidR="008573AD" w:rsidRPr="006234AA">
        <w:rPr>
          <w:rFonts w:eastAsia="DFKai-SB"/>
        </w:rPr>
        <w:t>chứng</w:t>
      </w:r>
      <w:r w:rsidR="008573AD" w:rsidRPr="006234AA">
        <w:rPr>
          <w:rFonts w:eastAsia="DFKai-SB"/>
          <w:kern w:val="20"/>
        </w:rPr>
        <w:t xml:space="preserve"> khoán</w:t>
      </w:r>
      <w:bookmarkEnd w:id="233"/>
      <w:r w:rsidR="004E1C97" w:rsidRPr="006234AA">
        <w:rPr>
          <w:rFonts w:eastAsia="DFKai-SB"/>
          <w:kern w:val="20"/>
        </w:rPr>
        <w:t xml:space="preserve"> </w:t>
      </w:r>
    </w:p>
    <w:p w:rsidR="004E1C97" w:rsidRPr="006234AA" w:rsidRDefault="001C5390" w:rsidP="003C0546">
      <w:pPr>
        <w:spacing w:after="120"/>
        <w:rPr>
          <w:lang w:val="nl-NL"/>
        </w:rPr>
      </w:pPr>
      <w:r w:rsidRPr="006234AA">
        <w:rPr>
          <w:lang w:val="nl-NL"/>
        </w:rPr>
        <w:t xml:space="preserve">1. </w:t>
      </w:r>
      <w:r w:rsidR="008573AD" w:rsidRPr="006234AA">
        <w:rPr>
          <w:lang w:val="nl-NL"/>
        </w:rPr>
        <w:t>Trung tâm lưu ký chứng khoán</w:t>
      </w:r>
      <w:r w:rsidR="004E1C97" w:rsidRPr="006234AA">
        <w:rPr>
          <w:lang w:val="nl-NL"/>
        </w:rPr>
        <w:t xml:space="preserve"> </w:t>
      </w:r>
      <w:r w:rsidR="002D57C4" w:rsidRPr="006234AA">
        <w:rPr>
          <w:lang w:val="nl-NL"/>
        </w:rPr>
        <w:t>định kỳ gửi các báo cáo</w:t>
      </w:r>
      <w:r w:rsidR="004E1C97" w:rsidRPr="006234AA">
        <w:rPr>
          <w:lang w:val="nl-NL"/>
        </w:rPr>
        <w:t xml:space="preserve"> </w:t>
      </w:r>
      <w:r w:rsidR="002D57C4" w:rsidRPr="006234AA">
        <w:rPr>
          <w:lang w:val="nl-NL"/>
        </w:rPr>
        <w:t xml:space="preserve">dưới đây cho </w:t>
      </w:r>
      <w:r w:rsidR="00DD4F7A" w:rsidRPr="006234AA">
        <w:rPr>
          <w:lang w:val="nl-NL"/>
        </w:rPr>
        <w:t>Ủy ban Chứng khoán Nhà nước</w:t>
      </w:r>
      <w:r w:rsidR="004E1C97" w:rsidRPr="006234AA">
        <w:rPr>
          <w:lang w:val="nl-NL"/>
        </w:rPr>
        <w:t>:</w:t>
      </w:r>
    </w:p>
    <w:p w:rsidR="004E1C97" w:rsidRPr="006234AA" w:rsidRDefault="004E1C97" w:rsidP="003C0546">
      <w:pPr>
        <w:spacing w:after="120"/>
        <w:rPr>
          <w:lang w:val="nl-NL"/>
        </w:rPr>
      </w:pPr>
      <w:r w:rsidRPr="006234AA">
        <w:rPr>
          <w:lang w:val="nl-NL"/>
        </w:rPr>
        <w:t>a) Báo cáo tháng về hoạt động bù trừ và thanh toán chứng khoán phái sinh</w:t>
      </w:r>
      <w:r w:rsidR="001E1F6C" w:rsidRPr="006234AA">
        <w:rPr>
          <w:lang w:val="nl-NL"/>
        </w:rPr>
        <w:t>,</w:t>
      </w:r>
      <w:r w:rsidR="00324A04" w:rsidRPr="006234AA">
        <w:rPr>
          <w:lang w:val="nl-NL"/>
        </w:rPr>
        <w:t xml:space="preserve"> niêm yết và không niêm yết,</w:t>
      </w:r>
      <w:r w:rsidR="00E76CEB" w:rsidRPr="006234AA">
        <w:rPr>
          <w:lang w:val="nl-NL"/>
        </w:rPr>
        <w:t xml:space="preserve"> </w:t>
      </w:r>
      <w:r w:rsidR="001E1F6C" w:rsidRPr="006234AA">
        <w:rPr>
          <w:lang w:val="nl-NL"/>
        </w:rPr>
        <w:t xml:space="preserve">kể cả các </w:t>
      </w:r>
      <w:r w:rsidR="00724AC6" w:rsidRPr="006234AA">
        <w:rPr>
          <w:lang w:val="nl-NL"/>
        </w:rPr>
        <w:t xml:space="preserve">báo cáo về tình hình sửa lỗi sau giao dịch, báo cáo sử dụng cơ chế bảo đảm thanh toán, báo cáo giám sát và xử lý vi phạm của </w:t>
      </w:r>
      <w:r w:rsidR="00413F41" w:rsidRPr="006234AA">
        <w:rPr>
          <w:lang w:val="nl-NL"/>
        </w:rPr>
        <w:t>thành viên bù trừ</w:t>
      </w:r>
      <w:r w:rsidR="00724AC6" w:rsidRPr="006234AA">
        <w:rPr>
          <w:i/>
          <w:lang w:val="nl-NL"/>
        </w:rPr>
        <w:t xml:space="preserve"> </w:t>
      </w:r>
      <w:r w:rsidRPr="006234AA">
        <w:rPr>
          <w:lang w:val="nl-NL"/>
        </w:rPr>
        <w:t xml:space="preserve">theo nội dung quy định tại </w:t>
      </w:r>
      <w:r w:rsidR="004162A5" w:rsidRPr="006234AA">
        <w:rPr>
          <w:lang w:val="nl-NL"/>
        </w:rPr>
        <w:t>P</w:t>
      </w:r>
      <w:r w:rsidRPr="006234AA">
        <w:rPr>
          <w:lang w:val="nl-NL"/>
        </w:rPr>
        <w:t xml:space="preserve">hụ lục </w:t>
      </w:r>
      <w:r w:rsidR="00724AC6" w:rsidRPr="006234AA">
        <w:rPr>
          <w:lang w:val="nl-NL"/>
        </w:rPr>
        <w:t xml:space="preserve">số </w:t>
      </w:r>
      <w:r w:rsidR="00C13042" w:rsidRPr="006234AA">
        <w:rPr>
          <w:lang w:val="nl-NL"/>
        </w:rPr>
        <w:t xml:space="preserve">24 </w:t>
      </w:r>
      <w:r w:rsidR="00724AC6" w:rsidRPr="006234AA">
        <w:rPr>
          <w:lang w:val="nl-NL"/>
        </w:rPr>
        <w:t>ban hành kèm theo Thông tư này</w:t>
      </w:r>
      <w:r w:rsidR="00324A04" w:rsidRPr="006234AA">
        <w:rPr>
          <w:lang w:val="nl-NL"/>
        </w:rPr>
        <w:t>;</w:t>
      </w:r>
    </w:p>
    <w:p w:rsidR="002604D0" w:rsidRPr="006234AA" w:rsidRDefault="002604D0" w:rsidP="003C0546">
      <w:pPr>
        <w:spacing w:after="120"/>
        <w:rPr>
          <w:lang w:val="nl-NL"/>
        </w:rPr>
      </w:pPr>
      <w:r w:rsidRPr="006234AA">
        <w:rPr>
          <w:lang w:val="nl-NL"/>
        </w:rPr>
        <w:t>b) Báo cáo quý, bán niên, năm</w:t>
      </w:r>
      <w:r w:rsidR="00AC11EE" w:rsidRPr="006234AA">
        <w:rPr>
          <w:lang w:val="nl-NL"/>
        </w:rPr>
        <w:t>.</w:t>
      </w:r>
    </w:p>
    <w:p w:rsidR="004E1C97" w:rsidRPr="006234AA" w:rsidRDefault="001C5390" w:rsidP="003C0546">
      <w:pPr>
        <w:spacing w:after="120"/>
        <w:rPr>
          <w:lang w:val="nl-NL"/>
        </w:rPr>
      </w:pPr>
      <w:r w:rsidRPr="006234AA">
        <w:rPr>
          <w:lang w:val="nl-NL"/>
        </w:rPr>
        <w:t xml:space="preserve">2. </w:t>
      </w:r>
      <w:r w:rsidR="008573AD" w:rsidRPr="006234AA">
        <w:rPr>
          <w:lang w:val="nl-NL"/>
        </w:rPr>
        <w:t>Trung tâm lưu ký chứng khoán</w:t>
      </w:r>
      <w:r w:rsidR="006032C8" w:rsidRPr="006234AA">
        <w:rPr>
          <w:lang w:val="nl-NL"/>
        </w:rPr>
        <w:t xml:space="preserve"> </w:t>
      </w:r>
      <w:r w:rsidR="004E1C97" w:rsidRPr="006234AA">
        <w:rPr>
          <w:lang w:val="nl-NL"/>
        </w:rPr>
        <w:t xml:space="preserve">phải báo cáo </w:t>
      </w:r>
      <w:r w:rsidR="00DD4F7A" w:rsidRPr="006234AA">
        <w:rPr>
          <w:lang w:val="nl-NL"/>
        </w:rPr>
        <w:t>Ủy ban Chứng khoán Nhà nước</w:t>
      </w:r>
      <w:r w:rsidR="004E1C97" w:rsidRPr="006234AA">
        <w:rPr>
          <w:lang w:val="nl-NL"/>
        </w:rPr>
        <w:t xml:space="preserve"> trong thời hạn tối đa </w:t>
      </w:r>
      <w:r w:rsidR="006032C8" w:rsidRPr="006234AA">
        <w:rPr>
          <w:lang w:val="nl-NL"/>
        </w:rPr>
        <w:t>hai mươi bốn (</w:t>
      </w:r>
      <w:r w:rsidR="004E1C97" w:rsidRPr="006234AA">
        <w:rPr>
          <w:lang w:val="nl-NL"/>
        </w:rPr>
        <w:t>24</w:t>
      </w:r>
      <w:r w:rsidR="006032C8" w:rsidRPr="006234AA">
        <w:rPr>
          <w:lang w:val="nl-NL"/>
        </w:rPr>
        <w:t>)</w:t>
      </w:r>
      <w:r w:rsidR="004E1C97" w:rsidRPr="006234AA">
        <w:rPr>
          <w:lang w:val="nl-NL"/>
        </w:rPr>
        <w:t xml:space="preserve"> giờ kể từ khi xảy ra các sự kiện </w:t>
      </w:r>
      <w:r w:rsidR="002604D0" w:rsidRPr="006234AA">
        <w:rPr>
          <w:lang w:val="nl-NL"/>
        </w:rPr>
        <w:t xml:space="preserve">bất thường </w:t>
      </w:r>
      <w:r w:rsidR="004E1C97" w:rsidRPr="006234AA">
        <w:rPr>
          <w:lang w:val="nl-NL"/>
        </w:rPr>
        <w:t>sau:</w:t>
      </w:r>
    </w:p>
    <w:p w:rsidR="004E1C97" w:rsidRPr="006234AA" w:rsidRDefault="004E1C97" w:rsidP="003C0546">
      <w:pPr>
        <w:spacing w:after="120"/>
        <w:rPr>
          <w:lang w:val="nl-NL"/>
        </w:rPr>
      </w:pPr>
      <w:r w:rsidRPr="006234AA">
        <w:rPr>
          <w:lang w:val="nl-NL"/>
        </w:rPr>
        <w:t>a</w:t>
      </w:r>
      <w:r w:rsidR="006032C8" w:rsidRPr="006234AA">
        <w:rPr>
          <w:lang w:val="nl-NL"/>
        </w:rPr>
        <w:t>)</w:t>
      </w:r>
      <w:r w:rsidRPr="006234AA">
        <w:rPr>
          <w:lang w:val="nl-NL"/>
        </w:rPr>
        <w:t xml:space="preserve"> </w:t>
      </w:r>
      <w:r w:rsidR="00413F41" w:rsidRPr="006234AA">
        <w:rPr>
          <w:lang w:val="nl-NL"/>
        </w:rPr>
        <w:t>Thành viên bù trừ</w:t>
      </w:r>
      <w:r w:rsidRPr="006234AA">
        <w:rPr>
          <w:lang w:val="nl-NL"/>
        </w:rPr>
        <w:t xml:space="preserve"> mất khả năng thanh toán giao dịch chứng khoán phái sinh.</w:t>
      </w:r>
    </w:p>
    <w:p w:rsidR="004E1C97" w:rsidRPr="006234AA" w:rsidRDefault="006032C8" w:rsidP="003C0546">
      <w:pPr>
        <w:spacing w:after="120"/>
        <w:rPr>
          <w:lang w:val="nl-NL"/>
        </w:rPr>
      </w:pPr>
      <w:r w:rsidRPr="006234AA">
        <w:rPr>
          <w:lang w:val="nl-NL"/>
        </w:rPr>
        <w:t>b)</w:t>
      </w:r>
      <w:r w:rsidR="004E1C97" w:rsidRPr="006234AA">
        <w:rPr>
          <w:lang w:val="nl-NL"/>
        </w:rPr>
        <w:t xml:space="preserve"> Đình chỉ</w:t>
      </w:r>
      <w:r w:rsidR="002D57C4" w:rsidRPr="006234AA">
        <w:rPr>
          <w:lang w:val="nl-NL"/>
        </w:rPr>
        <w:t>, chấm dứt</w:t>
      </w:r>
      <w:r w:rsidR="004E1C97" w:rsidRPr="006234AA">
        <w:rPr>
          <w:lang w:val="nl-NL"/>
        </w:rPr>
        <w:t xml:space="preserve"> hoạt động </w:t>
      </w:r>
      <w:r w:rsidR="00666F37" w:rsidRPr="006234AA">
        <w:rPr>
          <w:lang w:val="nl-NL"/>
        </w:rPr>
        <w:t>bù trừ, thanh toán</w:t>
      </w:r>
      <w:r w:rsidR="004E1C97" w:rsidRPr="006234AA">
        <w:rPr>
          <w:lang w:val="nl-NL"/>
        </w:rPr>
        <w:t xml:space="preserve"> của </w:t>
      </w:r>
      <w:r w:rsidR="00413F41" w:rsidRPr="006234AA">
        <w:rPr>
          <w:lang w:val="nl-NL"/>
        </w:rPr>
        <w:t>thành viên bù trừ</w:t>
      </w:r>
      <w:r w:rsidR="004E1C97" w:rsidRPr="006234AA">
        <w:rPr>
          <w:lang w:val="nl-NL"/>
        </w:rPr>
        <w:t>.</w:t>
      </w:r>
    </w:p>
    <w:p w:rsidR="004E1C97" w:rsidRPr="006234AA" w:rsidRDefault="002D57C4" w:rsidP="002D57C4">
      <w:pPr>
        <w:spacing w:after="120"/>
        <w:rPr>
          <w:lang w:val="nl-NL"/>
        </w:rPr>
      </w:pPr>
      <w:r w:rsidRPr="006234AA">
        <w:rPr>
          <w:lang w:val="nl-NL"/>
        </w:rPr>
        <w:lastRenderedPageBreak/>
        <w:t>c</w:t>
      </w:r>
      <w:r w:rsidR="006032C8" w:rsidRPr="006234AA">
        <w:rPr>
          <w:lang w:val="nl-NL"/>
        </w:rPr>
        <w:t>)</w:t>
      </w:r>
      <w:r w:rsidR="004E1C97" w:rsidRPr="006234AA">
        <w:rPr>
          <w:lang w:val="nl-NL"/>
        </w:rPr>
        <w:t xml:space="preserve"> </w:t>
      </w:r>
      <w:r w:rsidRPr="006234AA">
        <w:rPr>
          <w:lang w:val="nl-NL"/>
        </w:rPr>
        <w:t>Các trường hợp khác theo quy định của pháp luật và theo yêu cầu của Ủy ban Chứng khoán Nhà nước.</w:t>
      </w:r>
    </w:p>
    <w:p w:rsidR="00627372" w:rsidRPr="006234AA" w:rsidRDefault="00627372" w:rsidP="003C0546">
      <w:pPr>
        <w:pStyle w:val="Heading4"/>
        <w:spacing w:after="120"/>
      </w:pPr>
      <w:bookmarkStart w:id="234" w:name="_Toc422672015"/>
      <w:r w:rsidRPr="006234AA">
        <w:t>Thời hạn nộp báo cáo</w:t>
      </w:r>
      <w:bookmarkEnd w:id="234"/>
    </w:p>
    <w:p w:rsidR="001C5390" w:rsidRPr="006234AA" w:rsidRDefault="001C5390" w:rsidP="003C0546">
      <w:pPr>
        <w:spacing w:after="120"/>
        <w:rPr>
          <w:lang w:val="nl-NL"/>
        </w:rPr>
      </w:pPr>
      <w:r w:rsidRPr="006234AA">
        <w:rPr>
          <w:lang w:val="nl-NL"/>
        </w:rPr>
        <w:t>1. Đối với báo cáo định kỳ</w:t>
      </w:r>
    </w:p>
    <w:p w:rsidR="001C5390" w:rsidRPr="006234AA" w:rsidRDefault="001C5390" w:rsidP="003C0546">
      <w:pPr>
        <w:spacing w:after="120"/>
        <w:rPr>
          <w:lang w:val="nl-NL"/>
        </w:rPr>
      </w:pPr>
      <w:r w:rsidRPr="006234AA">
        <w:rPr>
          <w:lang w:val="nl-NL"/>
        </w:rPr>
        <w:t>a) Trong thời hạn mười (10) ngày kể từ ngày kết thúc tháng đối với các báo cáo tháng;</w:t>
      </w:r>
    </w:p>
    <w:p w:rsidR="001C5390" w:rsidRPr="006234AA" w:rsidRDefault="001C5390" w:rsidP="003C0546">
      <w:pPr>
        <w:spacing w:after="120"/>
        <w:rPr>
          <w:lang w:val="nl-NL"/>
        </w:rPr>
      </w:pPr>
      <w:r w:rsidRPr="006234AA">
        <w:rPr>
          <w:lang w:val="nl-NL"/>
        </w:rPr>
        <w:t>b) Trong thời hạn hai mươi (20) ngày kể từ ngày kết thúc quý đối với các báo cáo tháng;</w:t>
      </w:r>
    </w:p>
    <w:p w:rsidR="001C5390" w:rsidRPr="006234AA" w:rsidRDefault="001C5390" w:rsidP="003C0546">
      <w:pPr>
        <w:spacing w:after="120"/>
        <w:rPr>
          <w:lang w:val="nl-NL"/>
        </w:rPr>
      </w:pPr>
      <w:r w:rsidRPr="006234AA">
        <w:rPr>
          <w:lang w:val="nl-NL"/>
        </w:rPr>
        <w:t>c) Trong thời hạn bốn mươi lăm (45) ngày kể từ ngày kết thúc sáu tháng đầu năm đối với các báo cáo bán niên;</w:t>
      </w:r>
    </w:p>
    <w:p w:rsidR="001C5390" w:rsidRPr="006234AA" w:rsidRDefault="001C5390" w:rsidP="003C0546">
      <w:pPr>
        <w:spacing w:after="120"/>
        <w:rPr>
          <w:lang w:val="nl-NL"/>
        </w:rPr>
      </w:pPr>
      <w:r w:rsidRPr="006234AA">
        <w:rPr>
          <w:lang w:val="nl-NL"/>
        </w:rPr>
        <w:t>d) Trong thời hạn chín mươi (90) ngày kể từ ngày kết thúc năm đối với các báo cáo năm.</w:t>
      </w:r>
    </w:p>
    <w:p w:rsidR="001C5390" w:rsidRPr="006234AA" w:rsidRDefault="001C5390" w:rsidP="003C0546">
      <w:pPr>
        <w:spacing w:after="120"/>
        <w:rPr>
          <w:lang w:val="nl-NL"/>
        </w:rPr>
      </w:pPr>
      <w:r w:rsidRPr="006234AA">
        <w:rPr>
          <w:lang w:val="nl-NL"/>
        </w:rPr>
        <w:t>2. Đối với báo cáo các sự kiện phát sinh</w:t>
      </w:r>
    </w:p>
    <w:p w:rsidR="001C5390" w:rsidRPr="006234AA" w:rsidRDefault="001C5390" w:rsidP="003C0546">
      <w:pPr>
        <w:spacing w:after="120"/>
        <w:rPr>
          <w:lang w:val="nl-NL"/>
        </w:rPr>
      </w:pPr>
      <w:r w:rsidRPr="006234AA">
        <w:rPr>
          <w:lang w:val="nl-NL"/>
        </w:rPr>
        <w:t>a) Trong thời hạn ba (03) ngày kể từ ngày phát sinh sự kiện theo quy định tại khoản 2, 3 Điều 102, khoản 2 Điều 103 Thông tư này;</w:t>
      </w:r>
    </w:p>
    <w:p w:rsidR="001C5390" w:rsidRPr="006234AA" w:rsidRDefault="001C5390" w:rsidP="003C0546">
      <w:pPr>
        <w:spacing w:after="120"/>
        <w:rPr>
          <w:lang w:val="nl-NL"/>
        </w:rPr>
      </w:pPr>
      <w:r w:rsidRPr="006234AA">
        <w:rPr>
          <w:lang w:val="nl-NL"/>
        </w:rPr>
        <w:t>b) Trong thời hạn bốn mươi tám (48) giờ kể từ ngày nhận được yêu cầu báo cáo của Ủy ban Chứng khoán Nhà nước.</w:t>
      </w:r>
    </w:p>
    <w:p w:rsidR="00627372" w:rsidRPr="006234AA" w:rsidRDefault="001C5390" w:rsidP="003C0546">
      <w:pPr>
        <w:spacing w:after="120"/>
        <w:rPr>
          <w:lang w:val="nl-NL"/>
        </w:rPr>
      </w:pPr>
      <w:r w:rsidRPr="006234AA">
        <w:rPr>
          <w:lang w:val="nl-NL"/>
        </w:rPr>
        <w:t>3. Tất cả các báo cáo theo quy định tại Điều 102, Điều103 Thông tư này phải được gửi kèm tệp thông tin điện tử.</w:t>
      </w:r>
    </w:p>
    <w:p w:rsidR="001C5390" w:rsidRPr="006234AA" w:rsidRDefault="001C5390" w:rsidP="003C0546">
      <w:pPr>
        <w:spacing w:after="120"/>
        <w:rPr>
          <w:lang w:val="nl-NL"/>
        </w:rPr>
      </w:pPr>
    </w:p>
    <w:p w:rsidR="00627372" w:rsidRPr="006234AA" w:rsidRDefault="00942F7F" w:rsidP="003C0546">
      <w:pPr>
        <w:pStyle w:val="Heading1"/>
        <w:spacing w:after="120"/>
      </w:pPr>
      <w:bookmarkStart w:id="235" w:name="_Toc422672016"/>
      <w:r w:rsidRPr="006234AA">
        <w:t>Chương</w:t>
      </w:r>
      <w:r w:rsidR="00627372" w:rsidRPr="006234AA">
        <w:t xml:space="preserve"> VIII</w:t>
      </w:r>
      <w:bookmarkEnd w:id="235"/>
    </w:p>
    <w:p w:rsidR="00627372" w:rsidRPr="006234AA" w:rsidRDefault="00627372" w:rsidP="003C0546">
      <w:pPr>
        <w:pStyle w:val="Heading1"/>
        <w:spacing w:after="120"/>
      </w:pPr>
      <w:bookmarkStart w:id="236" w:name="_Toc422672017"/>
      <w:r w:rsidRPr="006234AA">
        <w:t>ĐIỀU KHOẢN THI HÀNH</w:t>
      </w:r>
      <w:bookmarkEnd w:id="236"/>
    </w:p>
    <w:p w:rsidR="00627372" w:rsidRPr="006234AA" w:rsidRDefault="00627372" w:rsidP="003C0546">
      <w:pPr>
        <w:spacing w:after="120"/>
        <w:rPr>
          <w:lang w:val="nl-NL"/>
        </w:rPr>
      </w:pPr>
    </w:p>
    <w:p w:rsidR="00627372" w:rsidRPr="006234AA" w:rsidRDefault="00627372" w:rsidP="003C0546">
      <w:pPr>
        <w:pStyle w:val="Heading4"/>
        <w:spacing w:after="120"/>
      </w:pPr>
      <w:bookmarkStart w:id="237" w:name="_Toc422672018"/>
      <w:r w:rsidRPr="006234AA">
        <w:t>Hiệu lực thi hành</w:t>
      </w:r>
      <w:bookmarkEnd w:id="237"/>
    </w:p>
    <w:p w:rsidR="00627372" w:rsidRPr="006234AA" w:rsidRDefault="00627372" w:rsidP="003C0546">
      <w:pPr>
        <w:pStyle w:val="Heading4"/>
        <w:spacing w:after="120"/>
      </w:pPr>
      <w:bookmarkStart w:id="238" w:name="_Toc422672019"/>
      <w:r w:rsidRPr="006234AA">
        <w:t>Tổ chức thực hiện</w:t>
      </w:r>
      <w:bookmarkEnd w:id="238"/>
    </w:p>
    <w:p w:rsidR="00627372" w:rsidRPr="006234AA" w:rsidRDefault="00627372" w:rsidP="003C0546">
      <w:pPr>
        <w:spacing w:after="120"/>
        <w:rPr>
          <w:lang w:val="nl-NL"/>
        </w:rPr>
      </w:pPr>
    </w:p>
    <w:p w:rsidR="00627372" w:rsidRPr="006234AA" w:rsidRDefault="00627372" w:rsidP="003C0546">
      <w:pPr>
        <w:spacing w:after="120"/>
        <w:ind w:firstLine="0"/>
        <w:rPr>
          <w:lang w:val="nl-NL"/>
        </w:rPr>
      </w:pPr>
    </w:p>
    <w:tbl>
      <w:tblPr>
        <w:tblW w:w="9278" w:type="dxa"/>
        <w:tblInd w:w="-106" w:type="dxa"/>
        <w:tblLook w:val="01E0"/>
      </w:tblPr>
      <w:tblGrid>
        <w:gridCol w:w="5778"/>
        <w:gridCol w:w="3500"/>
      </w:tblGrid>
      <w:tr w:rsidR="00627372" w:rsidRPr="006234AA">
        <w:tc>
          <w:tcPr>
            <w:tcW w:w="5778" w:type="dxa"/>
          </w:tcPr>
          <w:p w:rsidR="00627372" w:rsidRPr="006234AA" w:rsidRDefault="00627372" w:rsidP="002D57C4">
            <w:pPr>
              <w:spacing w:before="0"/>
              <w:ind w:firstLine="0"/>
              <w:rPr>
                <w:b/>
                <w:bCs/>
                <w:i/>
                <w:iCs/>
                <w:lang w:val="nl-NL"/>
              </w:rPr>
            </w:pPr>
            <w:r w:rsidRPr="006234AA">
              <w:rPr>
                <w:lang w:val="nl-NL"/>
              </w:rPr>
              <w:t xml:space="preserve"> </w:t>
            </w:r>
            <w:r w:rsidRPr="006234AA">
              <w:rPr>
                <w:b/>
                <w:bCs/>
                <w:i/>
                <w:iCs/>
                <w:lang w:val="nl-NL"/>
              </w:rPr>
              <w:t>Nơi nhận:</w:t>
            </w:r>
          </w:p>
          <w:p w:rsidR="00627372" w:rsidRPr="006234AA" w:rsidRDefault="00627372" w:rsidP="002D57C4">
            <w:pPr>
              <w:spacing w:before="0"/>
              <w:ind w:firstLine="0"/>
              <w:rPr>
                <w:b/>
                <w:bCs/>
                <w:sz w:val="22"/>
                <w:szCs w:val="22"/>
                <w:lang w:val="nl-NL"/>
              </w:rPr>
            </w:pPr>
            <w:r w:rsidRPr="006234AA">
              <w:rPr>
                <w:sz w:val="22"/>
                <w:szCs w:val="22"/>
                <w:lang w:val="nl-NL"/>
              </w:rPr>
              <w:t>- Văn phòng Chính phủ;</w:t>
            </w:r>
          </w:p>
          <w:p w:rsidR="00627372" w:rsidRPr="006234AA" w:rsidRDefault="00627372" w:rsidP="002D57C4">
            <w:pPr>
              <w:spacing w:before="0"/>
              <w:ind w:firstLine="0"/>
              <w:rPr>
                <w:b/>
                <w:bCs/>
                <w:sz w:val="22"/>
                <w:szCs w:val="22"/>
                <w:lang w:val="nl-NL"/>
              </w:rPr>
            </w:pPr>
            <w:r w:rsidRPr="006234AA">
              <w:rPr>
                <w:sz w:val="22"/>
                <w:szCs w:val="22"/>
                <w:lang w:val="nl-NL"/>
              </w:rPr>
              <w:t>- Văn phòng Trung ương và các Ban của Đảng;</w:t>
            </w:r>
          </w:p>
          <w:p w:rsidR="00627372" w:rsidRPr="006234AA" w:rsidRDefault="00627372" w:rsidP="002D57C4">
            <w:pPr>
              <w:spacing w:before="0"/>
              <w:ind w:firstLine="0"/>
              <w:rPr>
                <w:b/>
                <w:bCs/>
                <w:sz w:val="22"/>
                <w:szCs w:val="22"/>
                <w:lang w:val="nl-NL"/>
              </w:rPr>
            </w:pPr>
            <w:r w:rsidRPr="006234AA">
              <w:rPr>
                <w:sz w:val="22"/>
                <w:szCs w:val="22"/>
                <w:lang w:val="nl-NL"/>
              </w:rPr>
              <w:t>- Văn phòng Tổng Bí thư;</w:t>
            </w:r>
          </w:p>
          <w:p w:rsidR="00627372" w:rsidRPr="006234AA" w:rsidRDefault="00627372" w:rsidP="002D57C4">
            <w:pPr>
              <w:spacing w:before="0"/>
              <w:ind w:firstLine="0"/>
              <w:rPr>
                <w:b/>
                <w:bCs/>
                <w:sz w:val="22"/>
                <w:szCs w:val="22"/>
                <w:lang w:val="nl-NL"/>
              </w:rPr>
            </w:pPr>
            <w:r w:rsidRPr="006234AA">
              <w:rPr>
                <w:sz w:val="22"/>
                <w:szCs w:val="22"/>
                <w:lang w:val="nl-NL"/>
              </w:rPr>
              <w:t>- Văn phòng Quốc hội;</w:t>
            </w:r>
          </w:p>
          <w:p w:rsidR="00627372" w:rsidRPr="006234AA" w:rsidRDefault="00627372" w:rsidP="002D57C4">
            <w:pPr>
              <w:spacing w:before="0"/>
              <w:ind w:firstLine="0"/>
              <w:rPr>
                <w:b/>
                <w:bCs/>
                <w:sz w:val="22"/>
                <w:szCs w:val="22"/>
                <w:lang w:val="nl-NL"/>
              </w:rPr>
            </w:pPr>
            <w:r w:rsidRPr="006234AA">
              <w:rPr>
                <w:sz w:val="22"/>
                <w:szCs w:val="22"/>
                <w:lang w:val="nl-NL"/>
              </w:rPr>
              <w:t>- Văn phòng Chủ tịch nước;</w:t>
            </w:r>
          </w:p>
          <w:p w:rsidR="00627372" w:rsidRPr="006234AA" w:rsidRDefault="00627372" w:rsidP="002D57C4">
            <w:pPr>
              <w:spacing w:before="0"/>
              <w:ind w:firstLine="0"/>
              <w:rPr>
                <w:b/>
                <w:bCs/>
                <w:sz w:val="22"/>
                <w:szCs w:val="22"/>
                <w:lang w:val="nl-NL"/>
              </w:rPr>
            </w:pPr>
            <w:r w:rsidRPr="006234AA">
              <w:rPr>
                <w:sz w:val="22"/>
                <w:szCs w:val="22"/>
                <w:lang w:val="nl-NL"/>
              </w:rPr>
              <w:t>- Văn phòng BCĐTƯ về phòng chống tham nhũng;</w:t>
            </w:r>
          </w:p>
          <w:p w:rsidR="00627372" w:rsidRPr="006234AA" w:rsidRDefault="00627372" w:rsidP="002D57C4">
            <w:pPr>
              <w:spacing w:before="0"/>
              <w:ind w:firstLine="0"/>
              <w:rPr>
                <w:b/>
                <w:bCs/>
                <w:sz w:val="22"/>
                <w:szCs w:val="22"/>
                <w:lang w:val="nl-NL"/>
              </w:rPr>
            </w:pPr>
            <w:r w:rsidRPr="006234AA">
              <w:rPr>
                <w:sz w:val="22"/>
                <w:szCs w:val="22"/>
                <w:lang w:val="nl-NL"/>
              </w:rPr>
              <w:t>- Các Bộ, cơ quan ngang Bộ, cơ quan thuộc Chính phủ;</w:t>
            </w:r>
          </w:p>
          <w:p w:rsidR="00627372" w:rsidRPr="006234AA" w:rsidRDefault="00627372" w:rsidP="002D57C4">
            <w:pPr>
              <w:spacing w:before="0"/>
              <w:ind w:firstLine="0"/>
              <w:rPr>
                <w:b/>
                <w:bCs/>
                <w:sz w:val="22"/>
                <w:szCs w:val="22"/>
                <w:lang w:val="nl-NL"/>
              </w:rPr>
            </w:pPr>
            <w:r w:rsidRPr="006234AA">
              <w:rPr>
                <w:sz w:val="22"/>
                <w:szCs w:val="22"/>
                <w:lang w:val="nl-NL"/>
              </w:rPr>
              <w:t>- Cơ quan Trung ương của các đoàn thể;</w:t>
            </w:r>
          </w:p>
          <w:p w:rsidR="00627372" w:rsidRPr="006234AA" w:rsidRDefault="00627372" w:rsidP="002D57C4">
            <w:pPr>
              <w:spacing w:before="0"/>
              <w:ind w:firstLine="0"/>
              <w:rPr>
                <w:b/>
                <w:bCs/>
                <w:sz w:val="22"/>
                <w:szCs w:val="22"/>
                <w:lang w:val="nl-NL"/>
              </w:rPr>
            </w:pPr>
            <w:r w:rsidRPr="006234AA">
              <w:rPr>
                <w:sz w:val="22"/>
                <w:szCs w:val="22"/>
                <w:lang w:val="nl-NL"/>
              </w:rPr>
              <w:t>- HĐND, UBND các tỉnh, thành phố trực thuộc Trung ương;</w:t>
            </w:r>
          </w:p>
          <w:p w:rsidR="00627372" w:rsidRPr="006234AA" w:rsidRDefault="00627372" w:rsidP="002D57C4">
            <w:pPr>
              <w:spacing w:before="0"/>
              <w:ind w:firstLine="0"/>
              <w:rPr>
                <w:b/>
                <w:bCs/>
                <w:sz w:val="22"/>
                <w:szCs w:val="22"/>
                <w:lang w:val="nl-NL"/>
              </w:rPr>
            </w:pPr>
            <w:r w:rsidRPr="006234AA">
              <w:rPr>
                <w:sz w:val="22"/>
                <w:szCs w:val="22"/>
                <w:lang w:val="nl-NL"/>
              </w:rPr>
              <w:t>- Viện KSNDTC, Tòa án NDTC;</w:t>
            </w:r>
          </w:p>
          <w:p w:rsidR="00627372" w:rsidRPr="006234AA" w:rsidRDefault="00627372" w:rsidP="002D57C4">
            <w:pPr>
              <w:spacing w:before="0"/>
              <w:ind w:firstLine="0"/>
              <w:rPr>
                <w:b/>
                <w:bCs/>
                <w:sz w:val="22"/>
                <w:szCs w:val="22"/>
                <w:lang w:val="nl-NL"/>
              </w:rPr>
            </w:pPr>
            <w:r w:rsidRPr="006234AA">
              <w:rPr>
                <w:sz w:val="22"/>
                <w:szCs w:val="22"/>
                <w:lang w:val="nl-NL"/>
              </w:rPr>
              <w:t>- Kiểm toán Nhà nước;</w:t>
            </w:r>
          </w:p>
          <w:p w:rsidR="00627372" w:rsidRPr="006234AA" w:rsidRDefault="00627372" w:rsidP="002D57C4">
            <w:pPr>
              <w:spacing w:before="0"/>
              <w:ind w:firstLine="0"/>
              <w:rPr>
                <w:b/>
                <w:bCs/>
                <w:sz w:val="22"/>
                <w:szCs w:val="22"/>
                <w:lang w:val="nl-NL"/>
              </w:rPr>
            </w:pPr>
            <w:r w:rsidRPr="006234AA">
              <w:rPr>
                <w:sz w:val="22"/>
                <w:szCs w:val="22"/>
                <w:lang w:val="nl-NL"/>
              </w:rPr>
              <w:lastRenderedPageBreak/>
              <w:t>- Công báo;</w:t>
            </w:r>
          </w:p>
          <w:p w:rsidR="00627372" w:rsidRPr="006234AA" w:rsidRDefault="00627372" w:rsidP="002D57C4">
            <w:pPr>
              <w:spacing w:before="0"/>
              <w:ind w:firstLine="0"/>
              <w:rPr>
                <w:b/>
                <w:bCs/>
                <w:sz w:val="22"/>
                <w:szCs w:val="22"/>
                <w:lang w:val="nl-NL"/>
              </w:rPr>
            </w:pPr>
            <w:r w:rsidRPr="006234AA">
              <w:rPr>
                <w:sz w:val="22"/>
                <w:szCs w:val="22"/>
                <w:lang w:val="nl-NL"/>
              </w:rPr>
              <w:t>- Cục Kiểm tra văn bản - Bộ Tư pháp;</w:t>
            </w:r>
          </w:p>
          <w:p w:rsidR="00627372" w:rsidRPr="006234AA" w:rsidRDefault="00627372" w:rsidP="002D57C4">
            <w:pPr>
              <w:spacing w:before="0"/>
              <w:ind w:firstLine="0"/>
              <w:rPr>
                <w:b/>
                <w:bCs/>
                <w:sz w:val="22"/>
                <w:szCs w:val="22"/>
                <w:lang w:val="nl-NL"/>
              </w:rPr>
            </w:pPr>
            <w:r w:rsidRPr="006234AA">
              <w:rPr>
                <w:sz w:val="22"/>
                <w:szCs w:val="22"/>
                <w:lang w:val="nl-NL"/>
              </w:rPr>
              <w:t>- Các đơn vị thuộc Bộ Tài chính;</w:t>
            </w:r>
          </w:p>
          <w:p w:rsidR="00627372" w:rsidRPr="006234AA" w:rsidRDefault="00627372" w:rsidP="002D57C4">
            <w:pPr>
              <w:spacing w:before="0"/>
              <w:ind w:firstLine="0"/>
              <w:rPr>
                <w:b/>
                <w:bCs/>
                <w:sz w:val="22"/>
                <w:szCs w:val="22"/>
                <w:lang w:val="nl-NL"/>
              </w:rPr>
            </w:pPr>
            <w:r w:rsidRPr="006234AA">
              <w:rPr>
                <w:sz w:val="22"/>
                <w:szCs w:val="22"/>
                <w:lang w:val="nl-NL"/>
              </w:rPr>
              <w:t>- Website Chính phủ;</w:t>
            </w:r>
          </w:p>
          <w:p w:rsidR="00627372" w:rsidRPr="006234AA" w:rsidRDefault="00627372" w:rsidP="002D57C4">
            <w:pPr>
              <w:spacing w:before="0"/>
              <w:ind w:firstLine="0"/>
              <w:rPr>
                <w:b/>
                <w:bCs/>
                <w:sz w:val="22"/>
                <w:szCs w:val="22"/>
                <w:lang w:val="nl-NL"/>
              </w:rPr>
            </w:pPr>
            <w:r w:rsidRPr="006234AA">
              <w:rPr>
                <w:sz w:val="22"/>
                <w:szCs w:val="22"/>
                <w:lang w:val="nl-NL"/>
              </w:rPr>
              <w:t>- Website Bộ Tài chính;</w:t>
            </w:r>
          </w:p>
          <w:p w:rsidR="00627372" w:rsidRPr="006234AA" w:rsidRDefault="00627372" w:rsidP="002D57C4">
            <w:pPr>
              <w:spacing w:before="0"/>
              <w:ind w:firstLine="0"/>
              <w:rPr>
                <w:b/>
                <w:bCs/>
                <w:lang w:val="nl-NL"/>
              </w:rPr>
            </w:pPr>
            <w:r w:rsidRPr="006234AA">
              <w:rPr>
                <w:sz w:val="22"/>
                <w:szCs w:val="22"/>
                <w:lang w:val="nl-NL"/>
              </w:rPr>
              <w:t>- Lưu: VT, UBCK.</w:t>
            </w:r>
          </w:p>
        </w:tc>
        <w:tc>
          <w:tcPr>
            <w:tcW w:w="3500" w:type="dxa"/>
          </w:tcPr>
          <w:p w:rsidR="00627372" w:rsidRPr="006234AA" w:rsidRDefault="00627372" w:rsidP="002D57C4">
            <w:pPr>
              <w:spacing w:before="0"/>
              <w:ind w:firstLine="0"/>
              <w:jc w:val="center"/>
              <w:rPr>
                <w:b/>
                <w:bCs/>
                <w:sz w:val="26"/>
                <w:szCs w:val="26"/>
                <w:lang w:val="nl-NL"/>
              </w:rPr>
            </w:pPr>
            <w:r w:rsidRPr="006234AA">
              <w:rPr>
                <w:b/>
                <w:bCs/>
                <w:sz w:val="26"/>
                <w:szCs w:val="26"/>
                <w:lang w:val="nl-NL"/>
              </w:rPr>
              <w:lastRenderedPageBreak/>
              <w:t>KT. BỘ TRƯỞNG</w:t>
            </w:r>
          </w:p>
          <w:p w:rsidR="00627372" w:rsidRPr="006234AA" w:rsidRDefault="00627372" w:rsidP="002D57C4">
            <w:pPr>
              <w:spacing w:before="0"/>
              <w:ind w:firstLine="0"/>
              <w:jc w:val="center"/>
              <w:rPr>
                <w:b/>
                <w:bCs/>
                <w:sz w:val="26"/>
                <w:szCs w:val="26"/>
                <w:lang w:val="nl-NL"/>
              </w:rPr>
            </w:pPr>
            <w:r w:rsidRPr="006234AA">
              <w:rPr>
                <w:b/>
                <w:bCs/>
                <w:sz w:val="26"/>
                <w:szCs w:val="26"/>
                <w:lang w:val="nl-NL"/>
              </w:rPr>
              <w:t>THỨ TRƯỞNG</w:t>
            </w:r>
          </w:p>
          <w:p w:rsidR="00627372" w:rsidRPr="006234AA" w:rsidRDefault="00627372" w:rsidP="002D57C4">
            <w:pPr>
              <w:spacing w:before="0"/>
              <w:ind w:firstLine="0"/>
              <w:rPr>
                <w:b/>
                <w:bCs/>
                <w:lang w:val="nl-NL"/>
              </w:rPr>
            </w:pPr>
          </w:p>
          <w:p w:rsidR="00627372" w:rsidRPr="006234AA" w:rsidRDefault="00627372" w:rsidP="002D57C4">
            <w:pPr>
              <w:spacing w:before="0"/>
              <w:ind w:firstLine="0"/>
              <w:rPr>
                <w:b/>
                <w:bCs/>
                <w:lang w:val="nl-NL"/>
              </w:rPr>
            </w:pPr>
          </w:p>
          <w:p w:rsidR="00627372" w:rsidRPr="006234AA" w:rsidRDefault="00627372" w:rsidP="002D57C4">
            <w:pPr>
              <w:spacing w:before="0"/>
              <w:ind w:firstLine="0"/>
              <w:rPr>
                <w:b/>
                <w:bCs/>
                <w:lang w:val="nl-NL"/>
              </w:rPr>
            </w:pPr>
          </w:p>
          <w:p w:rsidR="00627372" w:rsidRPr="006234AA" w:rsidRDefault="00627372" w:rsidP="002D57C4">
            <w:pPr>
              <w:spacing w:before="0"/>
              <w:ind w:firstLine="0"/>
              <w:jc w:val="center"/>
              <w:rPr>
                <w:b/>
                <w:bCs/>
                <w:lang w:val="nl-NL"/>
              </w:rPr>
            </w:pPr>
          </w:p>
          <w:p w:rsidR="00627372" w:rsidRPr="006234AA" w:rsidRDefault="00627372" w:rsidP="002D57C4">
            <w:pPr>
              <w:spacing w:before="0"/>
              <w:ind w:firstLine="0"/>
              <w:jc w:val="right"/>
              <w:rPr>
                <w:b/>
                <w:bCs/>
                <w:lang w:val="nl-NL"/>
              </w:rPr>
            </w:pPr>
            <w:r w:rsidRPr="006234AA">
              <w:rPr>
                <w:b/>
                <w:bCs/>
                <w:lang w:val="nl-NL"/>
              </w:rPr>
              <w:t>Trần Xuân Hà</w:t>
            </w:r>
          </w:p>
          <w:p w:rsidR="00627372" w:rsidRPr="006234AA" w:rsidRDefault="00627372" w:rsidP="002D57C4">
            <w:pPr>
              <w:spacing w:before="0"/>
              <w:ind w:firstLine="0"/>
              <w:rPr>
                <w:b/>
                <w:bCs/>
                <w:lang w:val="nl-NL"/>
              </w:rPr>
            </w:pPr>
          </w:p>
        </w:tc>
      </w:tr>
    </w:tbl>
    <w:p w:rsidR="00627372" w:rsidRPr="006234AA" w:rsidRDefault="00627372" w:rsidP="003C0546">
      <w:pPr>
        <w:spacing w:after="120"/>
        <w:ind w:firstLine="0"/>
        <w:rPr>
          <w:lang w:val="nl-NL"/>
        </w:rPr>
      </w:pPr>
    </w:p>
    <w:p w:rsidR="00627372" w:rsidRPr="006234AA" w:rsidRDefault="00627372" w:rsidP="003C0546">
      <w:pPr>
        <w:spacing w:after="120"/>
        <w:ind w:firstLine="0"/>
        <w:jc w:val="left"/>
        <w:rPr>
          <w:lang w:val="nl-NL"/>
        </w:rPr>
      </w:pPr>
      <w:r w:rsidRPr="006234AA">
        <w:rPr>
          <w:lang w:val="nl-NL"/>
        </w:rPr>
        <w:br w:type="page"/>
      </w:r>
    </w:p>
    <w:p w:rsidR="00627372" w:rsidRPr="006234AA" w:rsidRDefault="00627372" w:rsidP="003C0546">
      <w:pPr>
        <w:pStyle w:val="Heading1"/>
        <w:spacing w:after="120"/>
      </w:pPr>
      <w:bookmarkStart w:id="239" w:name="_Toc422672020"/>
      <w:r w:rsidRPr="006234AA">
        <w:lastRenderedPageBreak/>
        <w:t>PHỤ LỤC</w:t>
      </w:r>
      <w:bookmarkEnd w:id="239"/>
    </w:p>
    <w:p w:rsidR="00627372" w:rsidRPr="006234AA" w:rsidRDefault="00627372" w:rsidP="003C0546">
      <w:pPr>
        <w:pStyle w:val="Heading5"/>
        <w:spacing w:after="120"/>
        <w:ind w:hanging="2770"/>
      </w:pPr>
      <w:bookmarkStart w:id="240" w:name="_Toc422672021"/>
      <w:r w:rsidRPr="006234AA">
        <w:t xml:space="preserve">Mẫu hợp đồng tương lai </w:t>
      </w:r>
      <w:r w:rsidR="005B136B" w:rsidRPr="006234AA">
        <w:t>chỉ số chứng khoán</w:t>
      </w:r>
      <w:bookmarkEnd w:id="240"/>
    </w:p>
    <w:p w:rsidR="008449BF" w:rsidRPr="006234AA" w:rsidRDefault="008449BF" w:rsidP="003C0546">
      <w:pPr>
        <w:spacing w:after="120"/>
        <w:ind w:firstLine="0"/>
        <w:jc w:val="center"/>
        <w:rPr>
          <w:b/>
          <w:bCs/>
          <w:i/>
          <w:iCs/>
          <w:lang w:val="nl-NL"/>
        </w:rPr>
      </w:pPr>
      <w:r w:rsidRPr="006234AA">
        <w:rPr>
          <w:i/>
          <w:iCs/>
          <w:lang w:val="nl-NL"/>
        </w:rPr>
        <w:t>(Ban hành kèm theo Thông tư số /2014/TT-BTC ngày tháng năm 2014 của Bộ Tài chính về chứng khoán phái sinh và thị trường chứng khoán phái sinh)</w:t>
      </w:r>
    </w:p>
    <w:p w:rsidR="008449BF" w:rsidRPr="006234AA" w:rsidRDefault="008449BF" w:rsidP="003C0546">
      <w:pPr>
        <w:spacing w:after="120"/>
        <w:ind w:firstLine="0"/>
        <w:jc w:val="center"/>
        <w:rPr>
          <w:i/>
          <w:iCs/>
          <w:lang w:val="nl-NL"/>
        </w:rPr>
      </w:pPr>
    </w:p>
    <w:p w:rsidR="00627372" w:rsidRPr="006234AA" w:rsidRDefault="00627372" w:rsidP="003C0546">
      <w:pPr>
        <w:spacing w:after="120"/>
        <w:ind w:firstLine="0"/>
        <w:jc w:val="center"/>
        <w:rPr>
          <w:i/>
          <w:iCs/>
          <w:lang w:val="nl-NL"/>
        </w:rPr>
      </w:pPr>
      <w:r w:rsidRPr="006234AA">
        <w:rPr>
          <w:i/>
          <w:iCs/>
          <w:lang w:val="nl-NL"/>
        </w:rPr>
        <w:t xml:space="preserve"> (Đối với hợp đồng tương lai chỉ số HNX30)</w:t>
      </w:r>
    </w:p>
    <w:p w:rsidR="008449BF" w:rsidRPr="006234AA" w:rsidRDefault="008449BF" w:rsidP="003C0546">
      <w:pPr>
        <w:spacing w:after="120"/>
        <w:ind w:firstLine="0"/>
        <w:jc w:val="center"/>
        <w:rPr>
          <w:b/>
          <w:bCs/>
          <w:i/>
          <w:iCs/>
          <w:spacing w:val="7"/>
          <w:lang w:val="nl-NL"/>
        </w:rPr>
      </w:pPr>
    </w:p>
    <w:tbl>
      <w:tblPr>
        <w:tblW w:w="494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6"/>
        <w:gridCol w:w="6101"/>
      </w:tblGrid>
      <w:tr w:rsidR="008449BF" w:rsidRPr="006234AA" w:rsidTr="00A15B69">
        <w:trPr>
          <w:trHeight w:val="413"/>
        </w:trPr>
        <w:tc>
          <w:tcPr>
            <w:tcW w:w="1676" w:type="pct"/>
            <w:vAlign w:val="center"/>
          </w:tcPr>
          <w:p w:rsidR="008449BF" w:rsidRPr="006234AA" w:rsidRDefault="008449BF" w:rsidP="003C0546">
            <w:pPr>
              <w:spacing w:after="120"/>
              <w:ind w:firstLine="0"/>
              <w:rPr>
                <w:b/>
                <w:bCs/>
                <w:sz w:val="26"/>
                <w:szCs w:val="26"/>
              </w:rPr>
            </w:pPr>
            <w:r w:rsidRPr="006234AA">
              <w:rPr>
                <w:sz w:val="26"/>
                <w:szCs w:val="26"/>
              </w:rPr>
              <w:t>Tên hợp đồng</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Hợp đồng tương lai chỉ số HNX30</w:t>
            </w:r>
          </w:p>
        </w:tc>
      </w:tr>
      <w:tr w:rsidR="008449BF" w:rsidRPr="006234AA" w:rsidTr="00A15B69">
        <w:tc>
          <w:tcPr>
            <w:tcW w:w="1676" w:type="pct"/>
            <w:vAlign w:val="center"/>
          </w:tcPr>
          <w:p w:rsidR="008449BF" w:rsidRPr="006234AA" w:rsidRDefault="008449BF" w:rsidP="003C0546">
            <w:pPr>
              <w:spacing w:after="120"/>
              <w:ind w:firstLine="0"/>
              <w:rPr>
                <w:b/>
                <w:bCs/>
                <w:sz w:val="26"/>
                <w:szCs w:val="26"/>
              </w:rPr>
            </w:pPr>
            <w:r w:rsidRPr="006234AA">
              <w:rPr>
                <w:sz w:val="26"/>
                <w:szCs w:val="26"/>
              </w:rPr>
              <w:t>Mã hợp đồng</w:t>
            </w:r>
          </w:p>
          <w:p w:rsidR="008449BF" w:rsidRPr="006234AA" w:rsidRDefault="008449BF" w:rsidP="003C0546">
            <w:pPr>
              <w:spacing w:after="120"/>
              <w:ind w:firstLine="0"/>
              <w:rPr>
                <w:sz w:val="26"/>
                <w:szCs w:val="26"/>
              </w:rPr>
            </w:pP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FHNX30-0314 là HDTL trên chỉ số HNX30 đáo hạn vào tháng 03/2014</w:t>
            </w:r>
          </w:p>
        </w:tc>
      </w:tr>
      <w:tr w:rsidR="008449BF" w:rsidRPr="006234AA" w:rsidTr="00A15B69">
        <w:trPr>
          <w:trHeight w:val="485"/>
        </w:trPr>
        <w:tc>
          <w:tcPr>
            <w:tcW w:w="1676" w:type="pct"/>
            <w:vAlign w:val="center"/>
          </w:tcPr>
          <w:p w:rsidR="008449BF" w:rsidRPr="006234AA" w:rsidRDefault="008449BF" w:rsidP="003C0546">
            <w:pPr>
              <w:spacing w:after="120"/>
              <w:ind w:firstLine="0"/>
              <w:rPr>
                <w:b/>
                <w:bCs/>
                <w:sz w:val="26"/>
                <w:szCs w:val="26"/>
              </w:rPr>
            </w:pPr>
            <w:r w:rsidRPr="006234AA">
              <w:rPr>
                <w:sz w:val="26"/>
                <w:szCs w:val="26"/>
              </w:rPr>
              <w:t>Tài sản cơ sở</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Chỉ số chứng khoán HNX30</w:t>
            </w:r>
          </w:p>
        </w:tc>
      </w:tr>
      <w:tr w:rsidR="008449BF" w:rsidRPr="006234AA" w:rsidTr="00A15B69">
        <w:trPr>
          <w:trHeight w:val="719"/>
        </w:trPr>
        <w:tc>
          <w:tcPr>
            <w:tcW w:w="1676" w:type="pct"/>
            <w:vAlign w:val="center"/>
          </w:tcPr>
          <w:p w:rsidR="008449BF" w:rsidRPr="006234AA" w:rsidRDefault="008449BF" w:rsidP="003C0546">
            <w:pPr>
              <w:spacing w:after="120"/>
              <w:ind w:firstLine="0"/>
              <w:rPr>
                <w:b/>
                <w:bCs/>
                <w:sz w:val="26"/>
                <w:szCs w:val="26"/>
              </w:rPr>
            </w:pPr>
            <w:r w:rsidRPr="006234AA">
              <w:rPr>
                <w:sz w:val="26"/>
                <w:szCs w:val="26"/>
              </w:rPr>
              <w:t>Giá trị hợp đồng</w:t>
            </w:r>
          </w:p>
        </w:tc>
        <w:tc>
          <w:tcPr>
            <w:tcW w:w="3324" w:type="pct"/>
            <w:vAlign w:val="center"/>
          </w:tcPr>
          <w:p w:rsidR="008449BF" w:rsidRPr="006234AA" w:rsidRDefault="008449BF" w:rsidP="003C0546">
            <w:pPr>
              <w:spacing w:after="120"/>
              <w:ind w:firstLine="0"/>
              <w:rPr>
                <w:b/>
                <w:bCs/>
                <w:sz w:val="26"/>
                <w:szCs w:val="26"/>
                <w:lang w:val="pt-BR"/>
              </w:rPr>
            </w:pPr>
            <w:r w:rsidRPr="006234AA">
              <w:rPr>
                <w:sz w:val="26"/>
                <w:szCs w:val="26"/>
                <w:lang w:val="pt-BR"/>
              </w:rPr>
              <w:t>Điểm chỉ số cơ sở × Hệ số nhân hợp đồng (đồng)</w:t>
            </w:r>
          </w:p>
          <w:p w:rsidR="008449BF" w:rsidRPr="006234AA" w:rsidRDefault="008449BF" w:rsidP="003C0546">
            <w:pPr>
              <w:spacing w:after="120"/>
              <w:ind w:firstLine="0"/>
              <w:rPr>
                <w:b/>
                <w:bCs/>
                <w:sz w:val="26"/>
                <w:szCs w:val="26"/>
                <w:lang w:val="pt-BR"/>
              </w:rPr>
            </w:pPr>
            <w:r w:rsidRPr="006234AA">
              <w:rPr>
                <w:sz w:val="26"/>
                <w:szCs w:val="26"/>
                <w:lang w:val="pt-BR"/>
              </w:rPr>
              <w:t>Hệ số nhân hợp đồng = 10.000.000</w:t>
            </w:r>
          </w:p>
        </w:tc>
      </w:tr>
      <w:tr w:rsidR="008449BF" w:rsidRPr="006234AA" w:rsidTr="00A15B69">
        <w:trPr>
          <w:trHeight w:val="247"/>
        </w:trPr>
        <w:tc>
          <w:tcPr>
            <w:tcW w:w="1676" w:type="pct"/>
            <w:vAlign w:val="center"/>
          </w:tcPr>
          <w:p w:rsidR="008449BF" w:rsidRPr="006234AA" w:rsidRDefault="008449BF" w:rsidP="003C0546">
            <w:pPr>
              <w:spacing w:after="120"/>
              <w:ind w:firstLine="0"/>
              <w:rPr>
                <w:b/>
                <w:bCs/>
                <w:sz w:val="26"/>
                <w:szCs w:val="26"/>
              </w:rPr>
            </w:pPr>
            <w:r w:rsidRPr="006234AA">
              <w:rPr>
                <w:sz w:val="26"/>
                <w:szCs w:val="26"/>
              </w:rPr>
              <w:t>Tháng đáo hạn</w:t>
            </w:r>
          </w:p>
        </w:tc>
        <w:tc>
          <w:tcPr>
            <w:tcW w:w="3324" w:type="pct"/>
            <w:vAlign w:val="center"/>
          </w:tcPr>
          <w:p w:rsidR="008449BF" w:rsidRPr="006234AA" w:rsidRDefault="008449BF" w:rsidP="003C0546">
            <w:pPr>
              <w:spacing w:after="120"/>
              <w:ind w:firstLine="0"/>
              <w:rPr>
                <w:b/>
                <w:bCs/>
                <w:sz w:val="26"/>
                <w:szCs w:val="26"/>
              </w:rPr>
            </w:pPr>
            <w:r w:rsidRPr="006234AA">
              <w:rPr>
                <w:sz w:val="26"/>
                <w:szCs w:val="26"/>
                <w:lang w:val="pt-BR"/>
              </w:rPr>
              <w:t>Tháng hiện tại, tháng kế tiếp, tháng 3, tháng 6, tháng 9 và tháng 12</w:t>
            </w:r>
          </w:p>
        </w:tc>
      </w:tr>
      <w:tr w:rsidR="008449BF" w:rsidRPr="006234AA" w:rsidTr="00A15B69">
        <w:trPr>
          <w:trHeight w:val="842"/>
        </w:trPr>
        <w:tc>
          <w:tcPr>
            <w:tcW w:w="1676" w:type="pct"/>
            <w:vAlign w:val="center"/>
          </w:tcPr>
          <w:p w:rsidR="008449BF" w:rsidRPr="006234AA" w:rsidRDefault="008449BF" w:rsidP="003C0546">
            <w:pPr>
              <w:spacing w:after="120"/>
              <w:ind w:firstLine="0"/>
              <w:rPr>
                <w:b/>
                <w:bCs/>
                <w:sz w:val="26"/>
                <w:szCs w:val="26"/>
              </w:rPr>
            </w:pPr>
            <w:r w:rsidRPr="006234AA">
              <w:rPr>
                <w:sz w:val="26"/>
                <w:szCs w:val="26"/>
              </w:rPr>
              <w:t>Giờ giao dịch</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Ngày giao dịch thông thường: 08:30AM-3:00PM</w:t>
            </w:r>
          </w:p>
          <w:p w:rsidR="008449BF" w:rsidRPr="006234AA" w:rsidRDefault="008449BF" w:rsidP="003C0546">
            <w:pPr>
              <w:spacing w:after="120"/>
              <w:ind w:firstLine="0"/>
              <w:rPr>
                <w:b/>
                <w:bCs/>
                <w:sz w:val="26"/>
                <w:szCs w:val="26"/>
              </w:rPr>
            </w:pPr>
            <w:r w:rsidRPr="006234AA">
              <w:rPr>
                <w:sz w:val="26"/>
                <w:szCs w:val="26"/>
              </w:rPr>
              <w:t>Ngày giao dịch cuối cùng: 09.00 AM-02:45 PM</w:t>
            </w:r>
          </w:p>
        </w:tc>
      </w:tr>
      <w:tr w:rsidR="008449BF" w:rsidRPr="006234AA" w:rsidTr="00A15B69">
        <w:tc>
          <w:tcPr>
            <w:tcW w:w="1676" w:type="pct"/>
            <w:vAlign w:val="center"/>
          </w:tcPr>
          <w:p w:rsidR="008449BF" w:rsidRPr="006234AA" w:rsidRDefault="008449BF" w:rsidP="003C0546">
            <w:pPr>
              <w:spacing w:after="120"/>
              <w:ind w:firstLine="0"/>
              <w:rPr>
                <w:b/>
                <w:bCs/>
                <w:sz w:val="26"/>
                <w:szCs w:val="26"/>
              </w:rPr>
            </w:pPr>
            <w:r w:rsidRPr="006234AA">
              <w:rPr>
                <w:sz w:val="26"/>
                <w:szCs w:val="26"/>
              </w:rPr>
              <w:t>Ngày giao dịch cuối cùng</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 xml:space="preserve">Ngày Thứ Sáu thứ ba của tháng đáo hạn </w:t>
            </w:r>
          </w:p>
        </w:tc>
      </w:tr>
      <w:tr w:rsidR="008449BF" w:rsidRPr="006234AA" w:rsidTr="00A15B69">
        <w:tc>
          <w:tcPr>
            <w:tcW w:w="1676" w:type="pct"/>
            <w:vAlign w:val="center"/>
          </w:tcPr>
          <w:p w:rsidR="008449BF" w:rsidRPr="006234AA" w:rsidRDefault="008449BF" w:rsidP="003C0546">
            <w:pPr>
              <w:spacing w:after="120"/>
              <w:ind w:firstLine="0"/>
              <w:rPr>
                <w:b/>
                <w:bCs/>
                <w:sz w:val="26"/>
                <w:szCs w:val="26"/>
              </w:rPr>
            </w:pPr>
            <w:r w:rsidRPr="006234AA">
              <w:rPr>
                <w:sz w:val="26"/>
                <w:szCs w:val="26"/>
              </w:rPr>
              <w:t>Ngày thanh toán cuối cùng</w:t>
            </w:r>
          </w:p>
        </w:tc>
        <w:tc>
          <w:tcPr>
            <w:tcW w:w="3324" w:type="pct"/>
            <w:vAlign w:val="center"/>
          </w:tcPr>
          <w:p w:rsidR="008449BF" w:rsidRPr="006234AA" w:rsidRDefault="008449BF" w:rsidP="003C0546">
            <w:pPr>
              <w:spacing w:after="120"/>
              <w:ind w:firstLine="0"/>
              <w:rPr>
                <w:b/>
                <w:bCs/>
                <w:sz w:val="26"/>
                <w:szCs w:val="26"/>
              </w:rPr>
            </w:pPr>
            <w:r w:rsidRPr="006234AA">
              <w:rPr>
                <w:sz w:val="26"/>
                <w:szCs w:val="26"/>
                <w:lang w:val="pt-BR"/>
              </w:rPr>
              <w:t>Ngày thanh toán cuối cùng là ngày liền sau ngày giao dịch cuối cùng</w:t>
            </w:r>
          </w:p>
        </w:tc>
      </w:tr>
      <w:tr w:rsidR="008449BF" w:rsidRPr="006234AA" w:rsidTr="00A15B69">
        <w:tc>
          <w:tcPr>
            <w:tcW w:w="1676" w:type="pct"/>
            <w:vAlign w:val="center"/>
          </w:tcPr>
          <w:p w:rsidR="008449BF" w:rsidRPr="006234AA" w:rsidRDefault="008449BF" w:rsidP="003C0546">
            <w:pPr>
              <w:spacing w:after="120"/>
              <w:ind w:firstLine="0"/>
              <w:rPr>
                <w:b/>
                <w:bCs/>
                <w:sz w:val="26"/>
                <w:szCs w:val="26"/>
              </w:rPr>
            </w:pPr>
            <w:r w:rsidRPr="006234AA">
              <w:rPr>
                <w:sz w:val="26"/>
                <w:szCs w:val="26"/>
              </w:rPr>
              <w:t>Phương thức thanh toán</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Thanh toán bằng tiền</w:t>
            </w:r>
          </w:p>
        </w:tc>
      </w:tr>
      <w:tr w:rsidR="008449BF" w:rsidRPr="006234AA" w:rsidTr="00A15B69">
        <w:tc>
          <w:tcPr>
            <w:tcW w:w="1676" w:type="pct"/>
            <w:vAlign w:val="center"/>
          </w:tcPr>
          <w:p w:rsidR="008449BF" w:rsidRPr="006234AA" w:rsidRDefault="008449BF" w:rsidP="003C0546">
            <w:pPr>
              <w:spacing w:after="120"/>
              <w:ind w:firstLine="0"/>
              <w:rPr>
                <w:b/>
                <w:bCs/>
                <w:sz w:val="26"/>
                <w:szCs w:val="26"/>
              </w:rPr>
            </w:pPr>
            <w:r w:rsidRPr="006234AA">
              <w:rPr>
                <w:sz w:val="26"/>
                <w:szCs w:val="26"/>
              </w:rPr>
              <w:t>Bước giá, đơn vị yết giá</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0,1 điểm chỉ số hay 1.000.000 đồng</w:t>
            </w:r>
          </w:p>
        </w:tc>
      </w:tr>
      <w:tr w:rsidR="008449BF" w:rsidRPr="006234AA" w:rsidTr="00A15B69">
        <w:tc>
          <w:tcPr>
            <w:tcW w:w="1676" w:type="pct"/>
            <w:vAlign w:val="center"/>
          </w:tcPr>
          <w:p w:rsidR="008449BF" w:rsidRPr="006234AA" w:rsidRDefault="008449BF" w:rsidP="003C0546">
            <w:pPr>
              <w:spacing w:after="120"/>
              <w:ind w:firstLine="0"/>
              <w:rPr>
                <w:b/>
                <w:bCs/>
                <w:sz w:val="26"/>
                <w:szCs w:val="26"/>
              </w:rPr>
            </w:pPr>
            <w:r w:rsidRPr="006234AA">
              <w:rPr>
                <w:sz w:val="26"/>
                <w:szCs w:val="26"/>
              </w:rPr>
              <w:t>Biên độ dao động giá</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±10%</w:t>
            </w:r>
          </w:p>
        </w:tc>
      </w:tr>
      <w:tr w:rsidR="008449BF" w:rsidRPr="006234AA" w:rsidTr="00A15B69">
        <w:tc>
          <w:tcPr>
            <w:tcW w:w="1676" w:type="pct"/>
            <w:vAlign w:val="center"/>
          </w:tcPr>
          <w:p w:rsidR="008449BF" w:rsidRPr="006234AA" w:rsidRDefault="008449BF" w:rsidP="003C0546">
            <w:pPr>
              <w:spacing w:after="120"/>
              <w:ind w:firstLine="0"/>
              <w:rPr>
                <w:b/>
                <w:bCs/>
                <w:sz w:val="26"/>
                <w:szCs w:val="26"/>
              </w:rPr>
            </w:pPr>
            <w:r w:rsidRPr="006234AA">
              <w:rPr>
                <w:sz w:val="26"/>
                <w:szCs w:val="26"/>
              </w:rPr>
              <w:t>Giới hạn vị thế</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 Đối với nhà đầu tư cá nhân: 5.000 hợp đồng</w:t>
            </w:r>
          </w:p>
          <w:p w:rsidR="008449BF" w:rsidRPr="006234AA" w:rsidRDefault="008449BF" w:rsidP="003C0546">
            <w:pPr>
              <w:spacing w:after="120"/>
              <w:ind w:firstLine="0"/>
              <w:rPr>
                <w:b/>
                <w:bCs/>
                <w:sz w:val="26"/>
                <w:szCs w:val="26"/>
              </w:rPr>
            </w:pPr>
            <w:r w:rsidRPr="006234AA">
              <w:rPr>
                <w:sz w:val="26"/>
                <w:szCs w:val="26"/>
              </w:rPr>
              <w:t>- Đối với nhà đầu tư khác: 15.000 hợp đồng</w:t>
            </w:r>
          </w:p>
          <w:p w:rsidR="008449BF" w:rsidRPr="006234AA" w:rsidRDefault="008449BF" w:rsidP="003C0546">
            <w:pPr>
              <w:spacing w:after="120"/>
              <w:ind w:firstLine="0"/>
              <w:rPr>
                <w:b/>
                <w:bCs/>
                <w:sz w:val="26"/>
                <w:szCs w:val="26"/>
              </w:rPr>
            </w:pPr>
            <w:r w:rsidRPr="006234AA">
              <w:rPr>
                <w:sz w:val="26"/>
                <w:szCs w:val="26"/>
              </w:rPr>
              <w:t>- Đối với thành viên giao dịch: 50.000 hợp đồng</w:t>
            </w:r>
          </w:p>
          <w:p w:rsidR="008449BF" w:rsidRPr="006234AA" w:rsidRDefault="008449BF" w:rsidP="003C0546">
            <w:pPr>
              <w:spacing w:after="120"/>
              <w:ind w:firstLine="0"/>
              <w:rPr>
                <w:b/>
                <w:bCs/>
                <w:sz w:val="26"/>
                <w:szCs w:val="26"/>
              </w:rPr>
            </w:pPr>
            <w:r w:rsidRPr="006234AA">
              <w:rPr>
                <w:sz w:val="26"/>
                <w:szCs w:val="26"/>
              </w:rPr>
              <w:t>- Đối với thành viên giao dịch: 150.000 hợp đồng</w:t>
            </w:r>
          </w:p>
        </w:tc>
      </w:tr>
      <w:tr w:rsidR="008449BF" w:rsidRPr="006234AA" w:rsidTr="00A15B69">
        <w:trPr>
          <w:trHeight w:val="719"/>
        </w:trPr>
        <w:tc>
          <w:tcPr>
            <w:tcW w:w="1676" w:type="pct"/>
            <w:vAlign w:val="center"/>
          </w:tcPr>
          <w:p w:rsidR="008449BF" w:rsidRPr="006234AA" w:rsidRDefault="008449BF" w:rsidP="003C0546">
            <w:pPr>
              <w:spacing w:after="120"/>
              <w:ind w:firstLine="0"/>
              <w:rPr>
                <w:b/>
                <w:bCs/>
                <w:sz w:val="26"/>
                <w:szCs w:val="26"/>
              </w:rPr>
            </w:pPr>
            <w:r w:rsidRPr="006234AA">
              <w:rPr>
                <w:sz w:val="26"/>
                <w:szCs w:val="26"/>
              </w:rPr>
              <w:t>Ngày niêm yết</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Ngày niêm yết của mã hợp đồng</w:t>
            </w:r>
          </w:p>
        </w:tc>
      </w:tr>
      <w:tr w:rsidR="008449BF" w:rsidRPr="006234AA" w:rsidTr="00A15B69">
        <w:tc>
          <w:tcPr>
            <w:tcW w:w="1676" w:type="pct"/>
            <w:vAlign w:val="center"/>
          </w:tcPr>
          <w:p w:rsidR="008449BF" w:rsidRPr="006234AA" w:rsidRDefault="008449BF" w:rsidP="003C0546">
            <w:pPr>
              <w:spacing w:after="120"/>
              <w:ind w:firstLine="0"/>
              <w:rPr>
                <w:b/>
                <w:bCs/>
                <w:sz w:val="26"/>
                <w:szCs w:val="26"/>
              </w:rPr>
            </w:pPr>
            <w:r w:rsidRPr="006234AA">
              <w:rPr>
                <w:sz w:val="26"/>
                <w:szCs w:val="26"/>
              </w:rPr>
              <w:t xml:space="preserve">Giá thanh toán cuối ngày </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Quy định tại Điều 23 Thông tư này</w:t>
            </w:r>
          </w:p>
        </w:tc>
      </w:tr>
      <w:tr w:rsidR="008449BF" w:rsidRPr="006234AA" w:rsidTr="00A15B69">
        <w:tc>
          <w:tcPr>
            <w:tcW w:w="1676" w:type="pct"/>
            <w:vAlign w:val="center"/>
          </w:tcPr>
          <w:p w:rsidR="008449BF" w:rsidRPr="006234AA" w:rsidRDefault="008449BF" w:rsidP="003C0546">
            <w:pPr>
              <w:spacing w:after="120"/>
              <w:ind w:firstLine="0"/>
              <w:rPr>
                <w:b/>
                <w:bCs/>
                <w:sz w:val="26"/>
                <w:szCs w:val="26"/>
              </w:rPr>
            </w:pPr>
            <w:r w:rsidRPr="006234AA">
              <w:rPr>
                <w:sz w:val="26"/>
                <w:szCs w:val="26"/>
              </w:rPr>
              <w:lastRenderedPageBreak/>
              <w:t>Giá thanh toán cuối cùng</w:t>
            </w:r>
          </w:p>
        </w:tc>
        <w:tc>
          <w:tcPr>
            <w:tcW w:w="3324" w:type="pct"/>
            <w:vAlign w:val="center"/>
          </w:tcPr>
          <w:p w:rsidR="008449BF" w:rsidRPr="006234AA" w:rsidRDefault="008449BF" w:rsidP="003C0546">
            <w:pPr>
              <w:spacing w:after="120"/>
              <w:ind w:firstLine="0"/>
              <w:rPr>
                <w:b/>
                <w:bCs/>
                <w:sz w:val="26"/>
                <w:szCs w:val="26"/>
              </w:rPr>
            </w:pPr>
            <w:r w:rsidRPr="006234AA">
              <w:rPr>
                <w:sz w:val="26"/>
                <w:szCs w:val="26"/>
              </w:rPr>
              <w:t>Quy định tại Điều 24 Thông tư này</w:t>
            </w:r>
          </w:p>
        </w:tc>
      </w:tr>
    </w:tbl>
    <w:p w:rsidR="00627372" w:rsidRPr="006234AA" w:rsidRDefault="00627372" w:rsidP="003C0546">
      <w:pPr>
        <w:spacing w:after="120"/>
      </w:pPr>
      <w:r w:rsidRPr="006234AA">
        <w:br w:type="page"/>
      </w:r>
    </w:p>
    <w:p w:rsidR="00627372" w:rsidRPr="006234AA" w:rsidRDefault="00627372" w:rsidP="003C0546">
      <w:pPr>
        <w:pStyle w:val="Heading5"/>
        <w:spacing w:after="120"/>
        <w:ind w:hanging="2912"/>
        <w:rPr>
          <w:lang w:val="en-US"/>
        </w:rPr>
      </w:pPr>
      <w:bookmarkStart w:id="241" w:name="_Toc422672022"/>
      <w:r w:rsidRPr="006234AA">
        <w:rPr>
          <w:lang w:val="en-US"/>
        </w:rPr>
        <w:lastRenderedPageBreak/>
        <w:t>Mẫu hợp đồng tương lai trái phiếu chính phủ</w:t>
      </w:r>
      <w:bookmarkEnd w:id="241"/>
    </w:p>
    <w:p w:rsidR="008449BF" w:rsidRPr="006234AA" w:rsidRDefault="008449BF" w:rsidP="003C0546">
      <w:pPr>
        <w:spacing w:after="120"/>
        <w:ind w:firstLine="0"/>
        <w:jc w:val="center"/>
        <w:rPr>
          <w:b/>
          <w:bCs/>
          <w:i/>
          <w:iCs/>
          <w:lang w:val="nl-NL"/>
        </w:rPr>
      </w:pPr>
      <w:r w:rsidRPr="006234AA">
        <w:rPr>
          <w:i/>
          <w:iCs/>
          <w:lang w:val="nl-NL"/>
        </w:rPr>
        <w:t>(Ban hành kèm theo Thông tư số /2014/TT-BTC ngày tháng năm 2014 của Bộ Tài chính về chứng khoán phái sinh và thị trường chứng khoán phái sinh)</w:t>
      </w:r>
    </w:p>
    <w:p w:rsidR="008449BF" w:rsidRPr="006234AA" w:rsidRDefault="008449BF" w:rsidP="003C0546">
      <w:pPr>
        <w:spacing w:after="120"/>
        <w:ind w:firstLine="0"/>
        <w:jc w:val="center"/>
        <w:rPr>
          <w:i/>
          <w:iCs/>
        </w:rPr>
      </w:pPr>
    </w:p>
    <w:p w:rsidR="00627372" w:rsidRPr="006234AA" w:rsidRDefault="00627372" w:rsidP="003C0546">
      <w:pPr>
        <w:spacing w:after="120"/>
        <w:ind w:firstLine="0"/>
        <w:jc w:val="center"/>
        <w:rPr>
          <w:i/>
          <w:iCs/>
        </w:rPr>
      </w:pPr>
      <w:r w:rsidRPr="006234AA">
        <w:rPr>
          <w:i/>
          <w:iCs/>
        </w:rPr>
        <w:t>(Đối với hợp đồng tương lai trái phiếu chính phủ trung hạn)</w:t>
      </w:r>
    </w:p>
    <w:p w:rsidR="008449BF" w:rsidRPr="006234AA" w:rsidRDefault="008449BF" w:rsidP="003C0546">
      <w:pPr>
        <w:spacing w:after="120"/>
        <w:ind w:firstLine="0"/>
        <w:jc w:val="center"/>
        <w:rPr>
          <w:b/>
          <w:bCs/>
          <w:i/>
          <w:iCs/>
          <w:spacing w:val="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30"/>
      </w:tblGrid>
      <w:tr w:rsidR="008449BF" w:rsidRPr="006234AA" w:rsidTr="00A15B69">
        <w:tc>
          <w:tcPr>
            <w:tcW w:w="2660" w:type="dxa"/>
          </w:tcPr>
          <w:p w:rsidR="008449BF" w:rsidRPr="006234AA" w:rsidRDefault="008449BF" w:rsidP="003C0546">
            <w:pPr>
              <w:spacing w:after="120"/>
              <w:ind w:firstLine="0"/>
              <w:rPr>
                <w:b/>
                <w:bCs/>
                <w:sz w:val="26"/>
                <w:szCs w:val="26"/>
                <w:lang w:val="nl-NL"/>
              </w:rPr>
            </w:pPr>
            <w:r w:rsidRPr="006234AA">
              <w:rPr>
                <w:sz w:val="26"/>
                <w:szCs w:val="26"/>
                <w:lang w:val="nl-NL"/>
              </w:rPr>
              <w:t>Tên hợp đồng</w:t>
            </w:r>
          </w:p>
        </w:tc>
        <w:tc>
          <w:tcPr>
            <w:tcW w:w="6630" w:type="dxa"/>
          </w:tcPr>
          <w:p w:rsidR="008449BF" w:rsidRPr="006234AA" w:rsidRDefault="008449BF" w:rsidP="003C0546">
            <w:pPr>
              <w:spacing w:after="120"/>
              <w:ind w:firstLine="0"/>
              <w:rPr>
                <w:b/>
                <w:bCs/>
                <w:sz w:val="26"/>
                <w:szCs w:val="26"/>
                <w:lang w:val="nl-NL"/>
              </w:rPr>
            </w:pPr>
            <w:r w:rsidRPr="006234AA">
              <w:rPr>
                <w:sz w:val="26"/>
                <w:szCs w:val="26"/>
                <w:lang w:val="nl-NL"/>
              </w:rPr>
              <w:t>Hợp đồng tương lai trái phiếu chính phủ kỳ hạn 5 năm</w:t>
            </w:r>
          </w:p>
        </w:tc>
      </w:tr>
      <w:tr w:rsidR="008449BF" w:rsidRPr="006234AA" w:rsidTr="00A15B69">
        <w:tc>
          <w:tcPr>
            <w:tcW w:w="2660" w:type="dxa"/>
          </w:tcPr>
          <w:p w:rsidR="008449BF" w:rsidRPr="006234AA" w:rsidRDefault="008449BF" w:rsidP="003C0546">
            <w:pPr>
              <w:spacing w:after="120"/>
              <w:ind w:firstLine="0"/>
              <w:rPr>
                <w:b/>
                <w:bCs/>
                <w:sz w:val="26"/>
                <w:szCs w:val="26"/>
                <w:lang w:val="nl-NL"/>
              </w:rPr>
            </w:pPr>
            <w:r w:rsidRPr="006234AA">
              <w:rPr>
                <w:sz w:val="26"/>
                <w:szCs w:val="26"/>
                <w:lang w:val="nl-NL"/>
              </w:rPr>
              <w:t>Mã hợp đồng</w:t>
            </w:r>
          </w:p>
        </w:tc>
        <w:tc>
          <w:tcPr>
            <w:tcW w:w="6630" w:type="dxa"/>
          </w:tcPr>
          <w:p w:rsidR="008449BF" w:rsidRPr="006234AA" w:rsidRDefault="008449BF" w:rsidP="003C0546">
            <w:pPr>
              <w:spacing w:after="120"/>
              <w:ind w:firstLine="0"/>
              <w:rPr>
                <w:b/>
                <w:bCs/>
                <w:sz w:val="26"/>
                <w:szCs w:val="26"/>
                <w:lang w:val="nl-NL"/>
              </w:rPr>
            </w:pPr>
            <w:r w:rsidRPr="006234AA">
              <w:rPr>
                <w:sz w:val="26"/>
                <w:szCs w:val="26"/>
                <w:lang w:val="nl-NL"/>
              </w:rPr>
              <w:t>FTPCP05ttkkrr (FTPCP05TT1215)</w:t>
            </w:r>
          </w:p>
          <w:p w:rsidR="008449BF" w:rsidRPr="006234AA" w:rsidRDefault="008449BF" w:rsidP="003C0546">
            <w:pPr>
              <w:spacing w:after="120"/>
              <w:ind w:firstLine="0"/>
              <w:rPr>
                <w:b/>
                <w:bCs/>
                <w:sz w:val="26"/>
                <w:szCs w:val="26"/>
                <w:lang w:val="nl-NL"/>
              </w:rPr>
            </w:pPr>
            <w:r w:rsidRPr="006234AA">
              <w:rPr>
                <w:sz w:val="26"/>
                <w:szCs w:val="26"/>
                <w:lang w:val="nl-NL"/>
              </w:rPr>
              <w:t>Trong đó:</w:t>
            </w:r>
          </w:p>
          <w:p w:rsidR="008449BF" w:rsidRPr="006234AA" w:rsidRDefault="008449BF" w:rsidP="003C0546">
            <w:pPr>
              <w:spacing w:after="120"/>
              <w:ind w:firstLine="0"/>
              <w:rPr>
                <w:b/>
                <w:bCs/>
                <w:sz w:val="26"/>
                <w:szCs w:val="26"/>
                <w:lang w:val="nl-NL"/>
              </w:rPr>
            </w:pPr>
            <w:r w:rsidRPr="006234AA">
              <w:rPr>
                <w:sz w:val="26"/>
                <w:szCs w:val="26"/>
                <w:lang w:val="nl-NL"/>
              </w:rPr>
              <w:t>F: loại công cụ (hợp đồng tương lai)</w:t>
            </w:r>
          </w:p>
          <w:p w:rsidR="008449BF" w:rsidRPr="006234AA" w:rsidRDefault="008449BF" w:rsidP="003C0546">
            <w:pPr>
              <w:spacing w:after="120"/>
              <w:ind w:firstLine="0"/>
              <w:rPr>
                <w:sz w:val="26"/>
                <w:szCs w:val="26"/>
                <w:lang w:val="nl-NL"/>
              </w:rPr>
            </w:pPr>
            <w:r w:rsidRPr="006234AA">
              <w:rPr>
                <w:sz w:val="26"/>
                <w:szCs w:val="26"/>
                <w:lang w:val="nl-NL"/>
              </w:rPr>
              <w:t>TPCP05: Mã tên tài sản cơ sở (TPCP: Trái phiếu chính phủ kỳ hạn 05 năm)</w:t>
            </w:r>
          </w:p>
          <w:p w:rsidR="008449BF" w:rsidRPr="006234AA" w:rsidRDefault="008449BF" w:rsidP="003C0546">
            <w:pPr>
              <w:spacing w:after="120"/>
              <w:ind w:firstLine="0"/>
              <w:rPr>
                <w:b/>
                <w:bCs/>
                <w:sz w:val="26"/>
                <w:szCs w:val="26"/>
                <w:lang w:val="nl-NL"/>
              </w:rPr>
            </w:pPr>
            <w:r w:rsidRPr="006234AA">
              <w:rPr>
                <w:sz w:val="26"/>
                <w:szCs w:val="26"/>
                <w:lang w:val="nl-NL"/>
              </w:rPr>
              <w:t>tt: TT (thanh toán bằng tiền) hoặc CG (chuyển giao vật lý)</w:t>
            </w:r>
          </w:p>
          <w:p w:rsidR="008449BF" w:rsidRPr="006234AA" w:rsidRDefault="008449BF" w:rsidP="003C0546">
            <w:pPr>
              <w:spacing w:after="120"/>
              <w:ind w:firstLine="0"/>
              <w:rPr>
                <w:b/>
                <w:bCs/>
                <w:sz w:val="26"/>
                <w:szCs w:val="26"/>
                <w:lang w:val="nl-NL"/>
              </w:rPr>
            </w:pPr>
            <w:r w:rsidRPr="006234AA">
              <w:rPr>
                <w:sz w:val="26"/>
                <w:szCs w:val="26"/>
                <w:lang w:val="nl-NL"/>
              </w:rPr>
              <w:t>kk: tháng đáo hạn (tháng 12)</w:t>
            </w:r>
          </w:p>
          <w:p w:rsidR="008449BF" w:rsidRPr="006234AA" w:rsidRDefault="008449BF" w:rsidP="003C0546">
            <w:pPr>
              <w:spacing w:after="120"/>
              <w:ind w:firstLine="0"/>
              <w:rPr>
                <w:b/>
                <w:bCs/>
                <w:sz w:val="26"/>
                <w:szCs w:val="26"/>
                <w:lang w:val="nl-NL"/>
              </w:rPr>
            </w:pPr>
            <w:r w:rsidRPr="006234AA">
              <w:rPr>
                <w:sz w:val="26"/>
                <w:szCs w:val="26"/>
                <w:lang w:val="nl-NL"/>
              </w:rPr>
              <w:t>rr: hai số cuối cùng của năm chuyển giao (năm 2015)</w:t>
            </w:r>
          </w:p>
        </w:tc>
      </w:tr>
      <w:tr w:rsidR="008449BF" w:rsidRPr="006234AA" w:rsidTr="00A15B69">
        <w:tc>
          <w:tcPr>
            <w:tcW w:w="2660" w:type="dxa"/>
          </w:tcPr>
          <w:p w:rsidR="008449BF" w:rsidRPr="006234AA" w:rsidRDefault="008449BF" w:rsidP="003C0546">
            <w:pPr>
              <w:spacing w:after="120"/>
              <w:ind w:firstLine="0"/>
              <w:rPr>
                <w:b/>
                <w:bCs/>
                <w:sz w:val="26"/>
                <w:szCs w:val="26"/>
                <w:lang w:val="nl-NL"/>
              </w:rPr>
            </w:pPr>
            <w:r w:rsidRPr="006234AA">
              <w:rPr>
                <w:sz w:val="26"/>
                <w:szCs w:val="26"/>
                <w:lang w:val="nl-NL"/>
              </w:rPr>
              <w:t>Tài sản cơ sở</w:t>
            </w:r>
          </w:p>
        </w:tc>
        <w:tc>
          <w:tcPr>
            <w:tcW w:w="6630" w:type="dxa"/>
          </w:tcPr>
          <w:p w:rsidR="008449BF" w:rsidRPr="006234AA" w:rsidRDefault="008449BF" w:rsidP="003C0546">
            <w:pPr>
              <w:spacing w:after="120"/>
              <w:ind w:firstLine="0"/>
              <w:rPr>
                <w:b/>
                <w:bCs/>
                <w:sz w:val="26"/>
                <w:szCs w:val="26"/>
                <w:lang w:val="nl-NL"/>
              </w:rPr>
            </w:pPr>
            <w:r w:rsidRPr="006234AA">
              <w:rPr>
                <w:sz w:val="26"/>
                <w:szCs w:val="26"/>
                <w:lang w:val="nl-NL"/>
              </w:rPr>
              <w:t xml:space="preserve">Trái phiếu chính phủ kỳ hạn 5 năm, mệnh giá 100.000 đồng, lãi suất cuống phiếu 8% một năm, trả lãi một lần mỗi năm. </w:t>
            </w:r>
          </w:p>
        </w:tc>
      </w:tr>
      <w:tr w:rsidR="008449BF" w:rsidRPr="006234AA" w:rsidTr="00A15B69">
        <w:tc>
          <w:tcPr>
            <w:tcW w:w="2660" w:type="dxa"/>
          </w:tcPr>
          <w:p w:rsidR="008449BF" w:rsidRPr="006234AA" w:rsidRDefault="008449BF" w:rsidP="003C0546">
            <w:pPr>
              <w:spacing w:after="120"/>
              <w:ind w:firstLine="0"/>
              <w:rPr>
                <w:b/>
                <w:bCs/>
                <w:sz w:val="26"/>
                <w:szCs w:val="26"/>
                <w:lang w:val="nl-NL"/>
              </w:rPr>
            </w:pPr>
            <w:r w:rsidRPr="006234AA">
              <w:rPr>
                <w:sz w:val="26"/>
                <w:szCs w:val="26"/>
                <w:lang w:val="nl-NL"/>
              </w:rPr>
              <w:t>Trái phiếu trong rổ cơ sở/Trái phiếu chuyển giao</w:t>
            </w:r>
          </w:p>
        </w:tc>
        <w:tc>
          <w:tcPr>
            <w:tcW w:w="6630" w:type="dxa"/>
          </w:tcPr>
          <w:p w:rsidR="008449BF" w:rsidRPr="006234AA" w:rsidRDefault="008449BF" w:rsidP="003C0546">
            <w:pPr>
              <w:spacing w:after="120"/>
              <w:ind w:firstLine="0"/>
              <w:rPr>
                <w:b/>
                <w:bCs/>
                <w:sz w:val="26"/>
                <w:szCs w:val="26"/>
                <w:lang w:val="nl-NL"/>
              </w:rPr>
            </w:pPr>
            <w:r w:rsidRPr="006234AA">
              <w:rPr>
                <w:sz w:val="26"/>
                <w:szCs w:val="26"/>
                <w:lang w:val="nl-NL"/>
              </w:rPr>
              <w:t>Trái phiếu chính phủ có lãi suất cuống phiếu cố định, giá trị phát hành không thấp hơn 300 tỷ, thời gian đáo hạn còn lại từ 4 năm đến 6,5 năm kể từ ngày thanh toán cuối cùng.</w:t>
            </w:r>
          </w:p>
        </w:tc>
      </w:tr>
      <w:tr w:rsidR="008449BF" w:rsidRPr="006234AA" w:rsidTr="00A15B69">
        <w:tc>
          <w:tcPr>
            <w:tcW w:w="2660" w:type="dxa"/>
          </w:tcPr>
          <w:p w:rsidR="008449BF" w:rsidRPr="006234AA" w:rsidRDefault="008449BF" w:rsidP="003C0546">
            <w:pPr>
              <w:spacing w:after="120"/>
              <w:ind w:firstLine="0"/>
              <w:rPr>
                <w:b/>
                <w:bCs/>
                <w:sz w:val="26"/>
                <w:szCs w:val="26"/>
                <w:lang w:val="nl-NL"/>
              </w:rPr>
            </w:pPr>
            <w:r w:rsidRPr="006234AA">
              <w:rPr>
                <w:sz w:val="26"/>
                <w:szCs w:val="26"/>
                <w:lang w:val="nl-NL"/>
              </w:rPr>
              <w:t>Giá trị hợp đồng</w:t>
            </w:r>
          </w:p>
        </w:tc>
        <w:tc>
          <w:tcPr>
            <w:tcW w:w="6630" w:type="dxa"/>
          </w:tcPr>
          <w:p w:rsidR="008449BF" w:rsidRPr="006234AA" w:rsidRDefault="008449BF" w:rsidP="003C0546">
            <w:pPr>
              <w:spacing w:after="120"/>
              <w:ind w:firstLine="0"/>
              <w:rPr>
                <w:b/>
                <w:bCs/>
                <w:sz w:val="26"/>
                <w:szCs w:val="26"/>
                <w:lang w:val="pt-BR"/>
              </w:rPr>
            </w:pPr>
            <w:r w:rsidRPr="006234AA">
              <w:rPr>
                <w:sz w:val="26"/>
                <w:szCs w:val="26"/>
                <w:lang w:val="pt-BR"/>
              </w:rPr>
              <w:t>Giá trái phiếu (mệnh giá) × Hệ số nhân hợp đồng</w:t>
            </w:r>
          </w:p>
          <w:p w:rsidR="008449BF" w:rsidRPr="006234AA" w:rsidRDefault="008449BF" w:rsidP="003C0546">
            <w:pPr>
              <w:spacing w:after="120"/>
              <w:ind w:firstLine="0"/>
              <w:rPr>
                <w:b/>
                <w:bCs/>
                <w:sz w:val="26"/>
                <w:szCs w:val="26"/>
                <w:lang w:val="pt-BR"/>
              </w:rPr>
            </w:pPr>
            <w:r w:rsidRPr="006234AA">
              <w:rPr>
                <w:sz w:val="26"/>
                <w:szCs w:val="26"/>
                <w:lang w:val="pt-BR"/>
              </w:rPr>
              <w:t>Mệnh giá = 100.000 đồng</w:t>
            </w:r>
          </w:p>
          <w:p w:rsidR="008449BF" w:rsidRPr="006234AA" w:rsidRDefault="008449BF" w:rsidP="003C0546">
            <w:pPr>
              <w:spacing w:after="120"/>
              <w:ind w:firstLine="0"/>
              <w:rPr>
                <w:b/>
                <w:bCs/>
                <w:sz w:val="26"/>
                <w:szCs w:val="26"/>
                <w:lang w:val="pt-BR"/>
              </w:rPr>
            </w:pPr>
            <w:r w:rsidRPr="006234AA">
              <w:rPr>
                <w:sz w:val="26"/>
                <w:szCs w:val="26"/>
                <w:lang w:val="pt-BR"/>
              </w:rPr>
              <w:t>Hệ số nhân hợp đồng = 10.000</w:t>
            </w:r>
          </w:p>
        </w:tc>
      </w:tr>
      <w:tr w:rsidR="008449BF" w:rsidRPr="006234AA" w:rsidTr="00A15B69">
        <w:tc>
          <w:tcPr>
            <w:tcW w:w="2660" w:type="dxa"/>
          </w:tcPr>
          <w:p w:rsidR="008449BF" w:rsidRPr="006234AA" w:rsidRDefault="008449BF" w:rsidP="003C0546">
            <w:pPr>
              <w:spacing w:after="120"/>
              <w:ind w:firstLine="0"/>
              <w:rPr>
                <w:b/>
                <w:bCs/>
                <w:sz w:val="26"/>
                <w:szCs w:val="26"/>
                <w:lang w:val="nl-NL"/>
              </w:rPr>
            </w:pPr>
            <w:r w:rsidRPr="006234AA">
              <w:rPr>
                <w:sz w:val="26"/>
                <w:szCs w:val="26"/>
                <w:lang w:val="nl-NL"/>
              </w:rPr>
              <w:t>Tháng đáo hạn</w:t>
            </w:r>
          </w:p>
        </w:tc>
        <w:tc>
          <w:tcPr>
            <w:tcW w:w="6630" w:type="dxa"/>
          </w:tcPr>
          <w:p w:rsidR="008449BF" w:rsidRPr="006234AA" w:rsidRDefault="008449BF" w:rsidP="003C0546">
            <w:pPr>
              <w:spacing w:after="120"/>
              <w:ind w:firstLine="0"/>
              <w:rPr>
                <w:b/>
                <w:bCs/>
                <w:sz w:val="26"/>
                <w:szCs w:val="26"/>
                <w:lang w:val="nl-NL"/>
              </w:rPr>
            </w:pPr>
            <w:r w:rsidRPr="006234AA">
              <w:rPr>
                <w:sz w:val="26"/>
                <w:szCs w:val="26"/>
                <w:lang w:val="nl-NL"/>
              </w:rPr>
              <w:t>Tháng hiện tại, tháng kế tiếp, tháng 3, tháng 6, tháng 9, tháng 12</w:t>
            </w:r>
          </w:p>
        </w:tc>
      </w:tr>
      <w:tr w:rsidR="008449BF" w:rsidRPr="006234AA" w:rsidTr="00A15B69">
        <w:tc>
          <w:tcPr>
            <w:tcW w:w="2660" w:type="dxa"/>
            <w:vAlign w:val="center"/>
          </w:tcPr>
          <w:p w:rsidR="008449BF" w:rsidRPr="006234AA" w:rsidRDefault="008449BF" w:rsidP="003C0546">
            <w:pPr>
              <w:spacing w:after="120"/>
              <w:ind w:firstLine="0"/>
              <w:rPr>
                <w:b/>
                <w:bCs/>
                <w:sz w:val="26"/>
                <w:szCs w:val="26"/>
              </w:rPr>
            </w:pPr>
            <w:r w:rsidRPr="006234AA">
              <w:rPr>
                <w:sz w:val="26"/>
                <w:szCs w:val="26"/>
              </w:rPr>
              <w:t>Giờ giao dịch</w:t>
            </w:r>
          </w:p>
        </w:tc>
        <w:tc>
          <w:tcPr>
            <w:tcW w:w="6630" w:type="dxa"/>
            <w:vAlign w:val="center"/>
          </w:tcPr>
          <w:p w:rsidR="008449BF" w:rsidRPr="006234AA" w:rsidRDefault="008449BF" w:rsidP="003C0546">
            <w:pPr>
              <w:spacing w:after="120"/>
              <w:ind w:firstLine="0"/>
              <w:rPr>
                <w:b/>
                <w:bCs/>
                <w:sz w:val="26"/>
                <w:szCs w:val="26"/>
              </w:rPr>
            </w:pPr>
            <w:r w:rsidRPr="006234AA">
              <w:rPr>
                <w:sz w:val="26"/>
                <w:szCs w:val="26"/>
              </w:rPr>
              <w:t>Ngày giao dịch thông thường: 08:30AM-3:00PM</w:t>
            </w:r>
          </w:p>
          <w:p w:rsidR="008449BF" w:rsidRPr="006234AA" w:rsidRDefault="008449BF" w:rsidP="003C0546">
            <w:pPr>
              <w:spacing w:after="120"/>
              <w:ind w:firstLine="0"/>
              <w:rPr>
                <w:b/>
                <w:bCs/>
                <w:sz w:val="26"/>
                <w:szCs w:val="26"/>
              </w:rPr>
            </w:pPr>
            <w:r w:rsidRPr="006234AA">
              <w:rPr>
                <w:sz w:val="26"/>
                <w:szCs w:val="26"/>
              </w:rPr>
              <w:t>Ngày giao dịch cuối cùng: 09.00 AM-02:45 PM</w:t>
            </w:r>
          </w:p>
        </w:tc>
      </w:tr>
      <w:tr w:rsidR="008449BF" w:rsidRPr="006234AA" w:rsidTr="00A15B69">
        <w:tc>
          <w:tcPr>
            <w:tcW w:w="2660" w:type="dxa"/>
          </w:tcPr>
          <w:p w:rsidR="008449BF" w:rsidRPr="006234AA" w:rsidRDefault="008449BF" w:rsidP="003C0546">
            <w:pPr>
              <w:spacing w:after="120"/>
              <w:ind w:firstLine="0"/>
              <w:rPr>
                <w:b/>
                <w:bCs/>
                <w:sz w:val="26"/>
                <w:szCs w:val="26"/>
              </w:rPr>
            </w:pPr>
            <w:r w:rsidRPr="006234AA">
              <w:rPr>
                <w:sz w:val="26"/>
                <w:szCs w:val="26"/>
              </w:rPr>
              <w:t>Ngày giao dịch cuối cùng</w:t>
            </w:r>
          </w:p>
        </w:tc>
        <w:tc>
          <w:tcPr>
            <w:tcW w:w="6630" w:type="dxa"/>
          </w:tcPr>
          <w:p w:rsidR="008449BF" w:rsidRPr="006234AA" w:rsidRDefault="008449BF" w:rsidP="003C0546">
            <w:pPr>
              <w:spacing w:after="120"/>
              <w:ind w:firstLine="0"/>
              <w:rPr>
                <w:b/>
                <w:bCs/>
                <w:sz w:val="26"/>
                <w:szCs w:val="26"/>
              </w:rPr>
            </w:pPr>
            <w:r w:rsidRPr="006234AA">
              <w:rPr>
                <w:sz w:val="26"/>
                <w:szCs w:val="26"/>
              </w:rPr>
              <w:t>Ngày Thứ Sáu thứ ba của tháng đáo hạn</w:t>
            </w:r>
          </w:p>
        </w:tc>
      </w:tr>
      <w:tr w:rsidR="008449BF" w:rsidRPr="006234AA" w:rsidTr="00A15B69">
        <w:tc>
          <w:tcPr>
            <w:tcW w:w="2660" w:type="dxa"/>
          </w:tcPr>
          <w:p w:rsidR="008449BF" w:rsidRPr="006234AA" w:rsidRDefault="008449BF" w:rsidP="003C0546">
            <w:pPr>
              <w:spacing w:after="120"/>
              <w:ind w:firstLine="0"/>
              <w:rPr>
                <w:b/>
                <w:bCs/>
                <w:sz w:val="26"/>
                <w:szCs w:val="26"/>
              </w:rPr>
            </w:pPr>
            <w:r w:rsidRPr="006234AA">
              <w:rPr>
                <w:sz w:val="26"/>
                <w:szCs w:val="26"/>
              </w:rPr>
              <w:t>Ngày thanh toán cuối cùng</w:t>
            </w:r>
          </w:p>
        </w:tc>
        <w:tc>
          <w:tcPr>
            <w:tcW w:w="6630" w:type="dxa"/>
          </w:tcPr>
          <w:p w:rsidR="008449BF" w:rsidRPr="006234AA" w:rsidRDefault="008449BF" w:rsidP="003C0546">
            <w:pPr>
              <w:spacing w:after="120"/>
              <w:ind w:firstLine="0"/>
              <w:rPr>
                <w:b/>
                <w:bCs/>
                <w:sz w:val="26"/>
                <w:szCs w:val="26"/>
              </w:rPr>
            </w:pPr>
            <w:r w:rsidRPr="006234AA">
              <w:rPr>
                <w:sz w:val="26"/>
                <w:szCs w:val="26"/>
              </w:rPr>
              <w:t>Ngày làm việc tiếp theo của ngày giao dịch cuối cùng trong trường hợp thanh toán bằng tiền, hoặc ngày giao dịch thứ năm tính từ ngày giao dịch cuối cùng trong trường hợp chuyển giao vật chất</w:t>
            </w:r>
          </w:p>
        </w:tc>
      </w:tr>
      <w:tr w:rsidR="008449BF" w:rsidRPr="006234AA" w:rsidTr="00A15B69">
        <w:tc>
          <w:tcPr>
            <w:tcW w:w="2660" w:type="dxa"/>
          </w:tcPr>
          <w:p w:rsidR="008449BF" w:rsidRPr="006234AA" w:rsidRDefault="008449BF" w:rsidP="003C0546">
            <w:pPr>
              <w:spacing w:after="120"/>
              <w:ind w:firstLine="0"/>
              <w:rPr>
                <w:b/>
                <w:bCs/>
                <w:sz w:val="26"/>
                <w:szCs w:val="26"/>
                <w:lang w:val="nl-NL"/>
              </w:rPr>
            </w:pPr>
            <w:r w:rsidRPr="006234AA">
              <w:rPr>
                <w:sz w:val="26"/>
                <w:szCs w:val="26"/>
                <w:lang w:val="nl-NL"/>
              </w:rPr>
              <w:lastRenderedPageBreak/>
              <w:t>Phương thức thanh toán</w:t>
            </w:r>
          </w:p>
        </w:tc>
        <w:tc>
          <w:tcPr>
            <w:tcW w:w="6630" w:type="dxa"/>
          </w:tcPr>
          <w:p w:rsidR="008449BF" w:rsidRPr="006234AA" w:rsidRDefault="008449BF" w:rsidP="003C0546">
            <w:pPr>
              <w:spacing w:after="120"/>
              <w:ind w:firstLine="0"/>
              <w:rPr>
                <w:b/>
                <w:bCs/>
                <w:sz w:val="26"/>
                <w:szCs w:val="26"/>
                <w:lang w:val="nl-NL"/>
              </w:rPr>
            </w:pPr>
            <w:r w:rsidRPr="006234AA">
              <w:rPr>
                <w:sz w:val="26"/>
                <w:szCs w:val="26"/>
                <w:lang w:val="nl-NL"/>
              </w:rPr>
              <w:t>Thanh toán bằng tiền hoặc Chuyển giao vật chất</w:t>
            </w:r>
          </w:p>
        </w:tc>
      </w:tr>
      <w:tr w:rsidR="008449BF" w:rsidRPr="006234AA" w:rsidTr="00A15B69">
        <w:tc>
          <w:tcPr>
            <w:tcW w:w="2660" w:type="dxa"/>
          </w:tcPr>
          <w:p w:rsidR="008449BF" w:rsidRPr="006234AA" w:rsidRDefault="008449BF" w:rsidP="003C0546">
            <w:pPr>
              <w:spacing w:after="120"/>
              <w:ind w:firstLine="0"/>
              <w:rPr>
                <w:b/>
                <w:bCs/>
                <w:sz w:val="26"/>
                <w:szCs w:val="26"/>
                <w:lang w:val="nl-NL"/>
              </w:rPr>
            </w:pPr>
            <w:r w:rsidRPr="006234AA">
              <w:rPr>
                <w:sz w:val="26"/>
                <w:szCs w:val="26"/>
                <w:lang w:val="nl-NL"/>
              </w:rPr>
              <w:t>Đơn vị giao dịch</w:t>
            </w:r>
          </w:p>
        </w:tc>
        <w:tc>
          <w:tcPr>
            <w:tcW w:w="6630" w:type="dxa"/>
          </w:tcPr>
          <w:p w:rsidR="008449BF" w:rsidRPr="006234AA" w:rsidRDefault="008449BF" w:rsidP="003C0546">
            <w:pPr>
              <w:spacing w:after="120"/>
              <w:ind w:firstLine="0"/>
              <w:rPr>
                <w:b/>
                <w:bCs/>
                <w:sz w:val="26"/>
                <w:szCs w:val="26"/>
                <w:lang w:val="nl-NL"/>
              </w:rPr>
            </w:pPr>
            <w:r w:rsidRPr="006234AA">
              <w:rPr>
                <w:sz w:val="26"/>
                <w:szCs w:val="26"/>
                <w:lang w:val="nl-NL"/>
              </w:rPr>
              <w:t>Lô (1 hoặc n hợp đồng, n max 100)</w:t>
            </w:r>
          </w:p>
        </w:tc>
      </w:tr>
      <w:tr w:rsidR="008449BF" w:rsidRPr="006234AA" w:rsidTr="00A15B69">
        <w:tc>
          <w:tcPr>
            <w:tcW w:w="2660" w:type="dxa"/>
          </w:tcPr>
          <w:p w:rsidR="008449BF" w:rsidRPr="006234AA" w:rsidRDefault="008449BF" w:rsidP="003C0546">
            <w:pPr>
              <w:spacing w:after="120"/>
              <w:ind w:firstLine="0"/>
              <w:rPr>
                <w:b/>
                <w:bCs/>
                <w:sz w:val="26"/>
                <w:szCs w:val="26"/>
                <w:lang w:val="nl-NL"/>
              </w:rPr>
            </w:pPr>
            <w:r w:rsidRPr="006234AA">
              <w:rPr>
                <w:sz w:val="26"/>
                <w:szCs w:val="26"/>
                <w:lang w:val="nl-NL"/>
              </w:rPr>
              <w:t>Bước giá, đơn vị yết giá</w:t>
            </w:r>
          </w:p>
        </w:tc>
        <w:tc>
          <w:tcPr>
            <w:tcW w:w="6630" w:type="dxa"/>
          </w:tcPr>
          <w:p w:rsidR="008449BF" w:rsidRPr="006234AA" w:rsidRDefault="008449BF" w:rsidP="003C0546">
            <w:pPr>
              <w:spacing w:after="120"/>
              <w:ind w:firstLine="0"/>
              <w:rPr>
                <w:b/>
                <w:bCs/>
                <w:sz w:val="26"/>
                <w:szCs w:val="26"/>
                <w:lang w:val="nl-NL"/>
              </w:rPr>
            </w:pPr>
            <w:r w:rsidRPr="006234AA">
              <w:rPr>
                <w:sz w:val="26"/>
                <w:szCs w:val="26"/>
                <w:lang w:val="nl-NL"/>
              </w:rPr>
              <w:t>0,01 điểm phần trăm hay 100.000 đồng</w:t>
            </w:r>
          </w:p>
        </w:tc>
      </w:tr>
      <w:tr w:rsidR="008449BF" w:rsidRPr="006234AA" w:rsidTr="00A15B69">
        <w:tc>
          <w:tcPr>
            <w:tcW w:w="2660" w:type="dxa"/>
            <w:vAlign w:val="center"/>
          </w:tcPr>
          <w:p w:rsidR="008449BF" w:rsidRPr="006234AA" w:rsidRDefault="008449BF" w:rsidP="003C0546">
            <w:pPr>
              <w:spacing w:after="120"/>
              <w:ind w:firstLine="0"/>
              <w:rPr>
                <w:b/>
                <w:bCs/>
                <w:sz w:val="26"/>
                <w:szCs w:val="26"/>
                <w:lang w:val="nl-NL"/>
              </w:rPr>
            </w:pPr>
            <w:r w:rsidRPr="006234AA">
              <w:rPr>
                <w:sz w:val="26"/>
                <w:szCs w:val="26"/>
                <w:lang w:val="nl-NL"/>
              </w:rPr>
              <w:t>Biên độ dao động giá</w:t>
            </w:r>
          </w:p>
        </w:tc>
        <w:tc>
          <w:tcPr>
            <w:tcW w:w="6630" w:type="dxa"/>
            <w:vAlign w:val="center"/>
          </w:tcPr>
          <w:p w:rsidR="008449BF" w:rsidRPr="006234AA" w:rsidRDefault="008449BF" w:rsidP="003C0546">
            <w:pPr>
              <w:spacing w:after="120"/>
              <w:ind w:firstLine="0"/>
              <w:rPr>
                <w:b/>
                <w:bCs/>
                <w:sz w:val="26"/>
                <w:szCs w:val="26"/>
              </w:rPr>
            </w:pPr>
            <w:r w:rsidRPr="006234AA">
              <w:rPr>
                <w:sz w:val="26"/>
                <w:szCs w:val="26"/>
              </w:rPr>
              <w:t>±10%</w:t>
            </w:r>
          </w:p>
        </w:tc>
      </w:tr>
      <w:tr w:rsidR="008449BF" w:rsidRPr="006234AA" w:rsidTr="00A15B69">
        <w:tc>
          <w:tcPr>
            <w:tcW w:w="2660" w:type="dxa"/>
          </w:tcPr>
          <w:p w:rsidR="008449BF" w:rsidRPr="006234AA" w:rsidRDefault="008449BF" w:rsidP="003C0546">
            <w:pPr>
              <w:spacing w:after="120"/>
              <w:ind w:firstLine="0"/>
              <w:rPr>
                <w:b/>
                <w:bCs/>
                <w:sz w:val="26"/>
                <w:szCs w:val="26"/>
              </w:rPr>
            </w:pPr>
            <w:r w:rsidRPr="006234AA">
              <w:rPr>
                <w:sz w:val="26"/>
                <w:szCs w:val="26"/>
              </w:rPr>
              <w:t xml:space="preserve">Giá thanh toán cuối ngày </w:t>
            </w:r>
          </w:p>
        </w:tc>
        <w:tc>
          <w:tcPr>
            <w:tcW w:w="6630" w:type="dxa"/>
          </w:tcPr>
          <w:p w:rsidR="008449BF" w:rsidRPr="006234AA" w:rsidRDefault="008449BF" w:rsidP="003C0546">
            <w:pPr>
              <w:spacing w:after="120"/>
              <w:ind w:firstLine="0"/>
              <w:rPr>
                <w:b/>
                <w:bCs/>
                <w:sz w:val="26"/>
                <w:szCs w:val="26"/>
                <w:lang w:val="pt-BR"/>
              </w:rPr>
            </w:pPr>
            <w:r w:rsidRPr="006234AA">
              <w:rPr>
                <w:sz w:val="26"/>
                <w:szCs w:val="26"/>
              </w:rPr>
              <w:t>Quy định tại Điều 36 Thông tư này</w:t>
            </w:r>
          </w:p>
        </w:tc>
      </w:tr>
      <w:tr w:rsidR="008449BF" w:rsidRPr="006234AA" w:rsidTr="00A15B69">
        <w:tc>
          <w:tcPr>
            <w:tcW w:w="2660" w:type="dxa"/>
          </w:tcPr>
          <w:p w:rsidR="008449BF" w:rsidRPr="006234AA" w:rsidRDefault="008449BF" w:rsidP="003C0546">
            <w:pPr>
              <w:spacing w:after="120"/>
              <w:ind w:firstLine="0"/>
              <w:rPr>
                <w:b/>
                <w:bCs/>
                <w:sz w:val="26"/>
                <w:szCs w:val="26"/>
                <w:lang w:val="pt-BR"/>
              </w:rPr>
            </w:pPr>
            <w:r w:rsidRPr="006234AA">
              <w:rPr>
                <w:sz w:val="26"/>
                <w:szCs w:val="26"/>
                <w:lang w:val="pt-BR"/>
              </w:rPr>
              <w:t>Giá trị thanh toán hàng ngày</w:t>
            </w:r>
          </w:p>
        </w:tc>
        <w:tc>
          <w:tcPr>
            <w:tcW w:w="6630" w:type="dxa"/>
          </w:tcPr>
          <w:p w:rsidR="008449BF" w:rsidRPr="006234AA" w:rsidRDefault="008449BF" w:rsidP="003C0546">
            <w:pPr>
              <w:spacing w:after="120"/>
              <w:ind w:firstLine="0"/>
              <w:rPr>
                <w:b/>
                <w:bCs/>
                <w:sz w:val="26"/>
                <w:szCs w:val="26"/>
                <w:lang w:val="pt-BR"/>
              </w:rPr>
            </w:pPr>
            <w:r w:rsidRPr="006234AA">
              <w:rPr>
                <w:sz w:val="26"/>
                <w:szCs w:val="26"/>
                <w:lang w:val="pt-BR"/>
              </w:rPr>
              <w:t>Giá thanh toán cuối ngày × Hệ số nhân hợp đồng</w:t>
            </w:r>
          </w:p>
        </w:tc>
      </w:tr>
      <w:tr w:rsidR="008449BF" w:rsidRPr="006234AA" w:rsidTr="00A15B69">
        <w:tc>
          <w:tcPr>
            <w:tcW w:w="2660" w:type="dxa"/>
          </w:tcPr>
          <w:p w:rsidR="008449BF" w:rsidRPr="006234AA" w:rsidRDefault="008449BF" w:rsidP="003C0546">
            <w:pPr>
              <w:spacing w:after="120"/>
              <w:ind w:firstLine="0"/>
              <w:rPr>
                <w:b/>
                <w:bCs/>
                <w:sz w:val="26"/>
                <w:szCs w:val="26"/>
                <w:lang w:val="pt-BR"/>
              </w:rPr>
            </w:pPr>
            <w:r w:rsidRPr="006234AA">
              <w:rPr>
                <w:sz w:val="26"/>
                <w:szCs w:val="26"/>
                <w:lang w:val="pt-BR"/>
              </w:rPr>
              <w:t>Giá thanh toán cuối cùng</w:t>
            </w:r>
          </w:p>
        </w:tc>
        <w:tc>
          <w:tcPr>
            <w:tcW w:w="6630" w:type="dxa"/>
          </w:tcPr>
          <w:p w:rsidR="008449BF" w:rsidRPr="006234AA" w:rsidRDefault="008449BF" w:rsidP="003C0546">
            <w:pPr>
              <w:spacing w:after="120"/>
              <w:ind w:firstLine="0"/>
              <w:rPr>
                <w:sz w:val="26"/>
                <w:szCs w:val="26"/>
                <w:lang w:val="pt-BR"/>
              </w:rPr>
            </w:pPr>
            <w:r w:rsidRPr="006234AA">
              <w:rPr>
                <w:sz w:val="26"/>
                <w:szCs w:val="26"/>
                <w:lang w:val="pt-BR"/>
              </w:rPr>
              <w:t>Quy định tại Điều 37 Thông tư này</w:t>
            </w:r>
          </w:p>
        </w:tc>
      </w:tr>
      <w:tr w:rsidR="008449BF" w:rsidRPr="006234AA" w:rsidTr="00A15B69">
        <w:tc>
          <w:tcPr>
            <w:tcW w:w="2660" w:type="dxa"/>
          </w:tcPr>
          <w:p w:rsidR="008449BF" w:rsidRPr="006234AA" w:rsidRDefault="008449BF" w:rsidP="003C0546">
            <w:pPr>
              <w:spacing w:after="120"/>
              <w:ind w:firstLine="0"/>
              <w:rPr>
                <w:b/>
                <w:bCs/>
                <w:sz w:val="26"/>
                <w:szCs w:val="26"/>
                <w:lang w:val="pt-BR"/>
              </w:rPr>
            </w:pPr>
            <w:r w:rsidRPr="006234AA">
              <w:rPr>
                <w:sz w:val="26"/>
                <w:szCs w:val="26"/>
                <w:lang w:val="pt-BR"/>
              </w:rPr>
              <w:t>Giá trị thanh toán cuối cuối</w:t>
            </w:r>
          </w:p>
        </w:tc>
        <w:tc>
          <w:tcPr>
            <w:tcW w:w="6630" w:type="dxa"/>
          </w:tcPr>
          <w:p w:rsidR="008449BF" w:rsidRPr="006234AA" w:rsidRDefault="008449BF" w:rsidP="003C0546">
            <w:pPr>
              <w:spacing w:after="120"/>
              <w:ind w:firstLine="0"/>
              <w:rPr>
                <w:b/>
                <w:bCs/>
                <w:sz w:val="26"/>
                <w:szCs w:val="26"/>
                <w:lang w:val="pt-BR"/>
              </w:rPr>
            </w:pPr>
            <w:r w:rsidRPr="006234AA">
              <w:rPr>
                <w:sz w:val="26"/>
                <w:szCs w:val="26"/>
                <w:lang w:val="pt-BR"/>
              </w:rPr>
              <w:t>Giá thanh toán cuối cùng nhân hệ số nhân</w:t>
            </w:r>
          </w:p>
        </w:tc>
      </w:tr>
      <w:tr w:rsidR="008449BF" w:rsidRPr="006234AA" w:rsidTr="00A15B69">
        <w:tc>
          <w:tcPr>
            <w:tcW w:w="2660" w:type="dxa"/>
          </w:tcPr>
          <w:p w:rsidR="008449BF" w:rsidRPr="006234AA" w:rsidRDefault="008449BF" w:rsidP="003C0546">
            <w:pPr>
              <w:spacing w:after="120"/>
              <w:ind w:firstLine="0"/>
              <w:rPr>
                <w:b/>
                <w:bCs/>
                <w:sz w:val="26"/>
                <w:szCs w:val="26"/>
                <w:lang w:val="pt-BR"/>
              </w:rPr>
            </w:pPr>
            <w:r w:rsidRPr="006234AA">
              <w:rPr>
                <w:sz w:val="26"/>
                <w:szCs w:val="26"/>
                <w:lang w:val="pt-BR"/>
              </w:rPr>
              <w:t>Tỷ lệ ký quỹ của nhà đầu tư</w:t>
            </w:r>
          </w:p>
        </w:tc>
        <w:tc>
          <w:tcPr>
            <w:tcW w:w="6630" w:type="dxa"/>
          </w:tcPr>
          <w:p w:rsidR="008449BF" w:rsidRPr="006234AA" w:rsidRDefault="008449BF" w:rsidP="003C0546">
            <w:pPr>
              <w:spacing w:after="120"/>
              <w:ind w:firstLine="0"/>
              <w:rPr>
                <w:b/>
                <w:bCs/>
                <w:sz w:val="26"/>
                <w:szCs w:val="26"/>
                <w:lang w:val="pt-BR"/>
              </w:rPr>
            </w:pPr>
            <w:r w:rsidRPr="006234AA">
              <w:rPr>
                <w:sz w:val="26"/>
                <w:szCs w:val="26"/>
                <w:lang w:val="pt-BR"/>
              </w:rPr>
              <w:t>Quy định bởi Sở -Trung tâm lưu ký chứng khoán, các công ty quản lý tài khoản của nhà đầu tư có thể yêu cầu mức ký quỹ cao hơn</w:t>
            </w:r>
          </w:p>
        </w:tc>
      </w:tr>
    </w:tbl>
    <w:p w:rsidR="00627372" w:rsidRPr="006234AA" w:rsidRDefault="00627372"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480247" w:rsidRPr="006234AA" w:rsidRDefault="00480247" w:rsidP="003C0546">
      <w:pPr>
        <w:spacing w:after="120"/>
        <w:ind w:firstLine="0"/>
        <w:rPr>
          <w:sz w:val="26"/>
          <w:szCs w:val="26"/>
          <w:lang w:val="pt-BR"/>
        </w:rPr>
      </w:pPr>
    </w:p>
    <w:p w:rsidR="00627372" w:rsidRPr="006234AA" w:rsidRDefault="00627372" w:rsidP="003C0546">
      <w:pPr>
        <w:spacing w:after="120"/>
        <w:ind w:firstLine="0"/>
        <w:jc w:val="left"/>
        <w:rPr>
          <w:lang w:val="pt-BR" w:eastAsia="vi-VN"/>
        </w:rPr>
      </w:pPr>
      <w:bookmarkStart w:id="242" w:name="_Toc385595289"/>
    </w:p>
    <w:p w:rsidR="00627372" w:rsidRPr="006234AA" w:rsidRDefault="00627372" w:rsidP="003C0546">
      <w:pPr>
        <w:pStyle w:val="Heading5"/>
        <w:spacing w:after="120"/>
        <w:ind w:left="2835" w:hanging="2912"/>
        <w:rPr>
          <w:lang w:val="pt-BR"/>
        </w:rPr>
      </w:pPr>
      <w:bookmarkStart w:id="243" w:name="_Toc385595291"/>
      <w:bookmarkStart w:id="244" w:name="_Toc422672023"/>
      <w:r w:rsidRPr="006234AA">
        <w:rPr>
          <w:lang w:val="pt-BR"/>
        </w:rPr>
        <w:t xml:space="preserve">Giấy đề </w:t>
      </w:r>
      <w:r w:rsidR="00B105CB" w:rsidRPr="006234AA">
        <w:rPr>
          <w:lang w:val="pt-BR"/>
        </w:rPr>
        <w:t xml:space="preserve">đăng ký </w:t>
      </w:r>
      <w:r w:rsidR="00CF3502" w:rsidRPr="006234AA">
        <w:rPr>
          <w:lang w:val="pt-BR"/>
        </w:rPr>
        <w:t>chấp thuận</w:t>
      </w:r>
      <w:r w:rsidR="00CF7601" w:rsidRPr="006234AA">
        <w:rPr>
          <w:lang w:val="pt-BR"/>
        </w:rPr>
        <w:t>/rút</w:t>
      </w:r>
      <w:r w:rsidR="00B105CB" w:rsidRPr="006234AA">
        <w:rPr>
          <w:lang w:val="pt-BR"/>
        </w:rPr>
        <w:t xml:space="preserve"> </w:t>
      </w:r>
      <w:r w:rsidR="00CF3502" w:rsidRPr="006234AA">
        <w:rPr>
          <w:lang w:val="pt-BR"/>
        </w:rPr>
        <w:t>hoạt động</w:t>
      </w:r>
      <w:r w:rsidR="00B105CB" w:rsidRPr="006234AA">
        <w:rPr>
          <w:lang w:val="pt-BR"/>
        </w:rPr>
        <w:t xml:space="preserve"> kinh doanh </w:t>
      </w:r>
      <w:r w:rsidR="00CF3502" w:rsidRPr="006234AA">
        <w:rPr>
          <w:lang w:val="pt-BR"/>
        </w:rPr>
        <w:t xml:space="preserve">dịch vụ </w:t>
      </w:r>
      <w:r w:rsidR="00B105CB" w:rsidRPr="006234AA">
        <w:rPr>
          <w:lang w:val="pt-BR"/>
        </w:rPr>
        <w:t>chứng khoán phái sinh</w:t>
      </w:r>
      <w:bookmarkEnd w:id="243"/>
      <w:bookmarkEnd w:id="244"/>
    </w:p>
    <w:p w:rsidR="00627372" w:rsidRPr="006234AA" w:rsidRDefault="00627372" w:rsidP="003C0546">
      <w:pPr>
        <w:spacing w:after="120"/>
        <w:ind w:firstLine="0"/>
        <w:jc w:val="center"/>
        <w:rPr>
          <w:b/>
          <w:bCs/>
          <w:i/>
          <w:iCs/>
          <w:lang w:val="pt-BR"/>
        </w:rPr>
      </w:pPr>
      <w:r w:rsidRPr="006234AA">
        <w:rPr>
          <w:i/>
          <w:iCs/>
          <w:lang w:val="pt-BR"/>
        </w:rPr>
        <w:t>(Ban hành kèm theo Thông tư số /2014/TT-BTC ngày tháng năm 2014 của Bộ Tài chính về chứng khoán phái sinh và thị trường chứng khoán phái sinh)</w:t>
      </w:r>
    </w:p>
    <w:p w:rsidR="00627372" w:rsidRPr="006234AA" w:rsidRDefault="00627372" w:rsidP="003C0546">
      <w:pPr>
        <w:spacing w:after="120"/>
        <w:ind w:firstLine="0"/>
        <w:jc w:val="center"/>
        <w:rPr>
          <w:lang w:val="pt-BR"/>
        </w:rPr>
      </w:pPr>
    </w:p>
    <w:p w:rsidR="00B24B4B" w:rsidRPr="006234AA" w:rsidRDefault="00B24B4B" w:rsidP="003C0546">
      <w:pPr>
        <w:spacing w:after="120"/>
        <w:ind w:firstLine="0"/>
        <w:jc w:val="center"/>
        <w:rPr>
          <w:b/>
          <w:bCs/>
          <w:i/>
          <w:iCs/>
          <w:lang w:val="pt-BR"/>
        </w:rPr>
      </w:pPr>
      <w:r w:rsidRPr="006234AA">
        <w:rPr>
          <w:b/>
          <w:bCs/>
          <w:lang w:val="pt-BR"/>
        </w:rPr>
        <w:t>CỘNG HÒA XÃ HỘI CHỦ NGHĨA VIỆT NAM</w:t>
      </w:r>
    </w:p>
    <w:p w:rsidR="00B24B4B" w:rsidRPr="006234AA" w:rsidRDefault="00B24B4B" w:rsidP="003C0546">
      <w:pPr>
        <w:spacing w:after="120"/>
        <w:ind w:firstLine="0"/>
        <w:jc w:val="center"/>
        <w:rPr>
          <w:b/>
          <w:bCs/>
          <w:lang w:val="pt-BR"/>
        </w:rPr>
      </w:pPr>
      <w:r w:rsidRPr="006234AA">
        <w:rPr>
          <w:b/>
          <w:bCs/>
          <w:lang w:val="pt-BR"/>
        </w:rPr>
        <w:t>Độc lập - Tự do - Hạnh phúc</w:t>
      </w:r>
    </w:p>
    <w:p w:rsidR="00B24B4B" w:rsidRPr="006234AA" w:rsidRDefault="007965E6" w:rsidP="003C0546">
      <w:pPr>
        <w:spacing w:after="120"/>
        <w:rPr>
          <w:b/>
          <w:bCs/>
          <w:lang w:val="pt-BR"/>
        </w:rPr>
      </w:pPr>
      <w:r w:rsidRPr="007965E6">
        <w:rPr>
          <w:noProof/>
        </w:rPr>
        <w:pict>
          <v:shapetype id="_x0000_t32" coordsize="21600,21600" o:spt="32" o:oned="t" path="m,l21600,21600e" filled="f">
            <v:path arrowok="t" fillok="f" o:connecttype="none"/>
            <o:lock v:ext="edit" shapetype="t"/>
          </v:shapetype>
          <v:shape id="AutoShape 16" o:spid="_x0000_s1036" type="#_x0000_t32" style="position:absolute;left:0;text-align:left;margin-left:141.95pt;margin-top:4.1pt;width:170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1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ibh/kMxhUQVqmdDR3Sk3oxz5p+d0jpqiOq5TH69WwgOQsZyZuUcHEGquyHz5pBDIEC&#10;cVinxvYBEsaATnEn59tO+MkjCh+n2WyZpr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hQQuvNoAAAAHAQAADwAAAGRycy9kb3ducmV2LnhtbEyOwU7DMBBE&#10;70j9B2uRuCDq1KhVGuJUVSUOHGkrcd3GSxKI11HsNKFfj8ulHJ9mNPPyzWRbcabeN441LOYJCOLS&#10;mYYrDcfD61MKwgdkg61j0vBDHjbF7C7HzLiR3+m8D5WII+wz1FCH0GVS+rImi37uOuKYfbreYojY&#10;V9L0OMZx20qVJCtpseH4UGNHu5rK7/1gNZAflotku7bV8e0yPn6oy9fYHbR+uJ+2LyACTeFWhqt+&#10;VIciOp3cwMaLVoNKn9exqiFVIGK+Ulc+/bEscvnfv/gFAAD//wMAUEsBAi0AFAAGAAgAAAAhALaD&#10;OJL+AAAA4QEAABMAAAAAAAAAAAAAAAAAAAAAAFtDb250ZW50X1R5cGVzXS54bWxQSwECLQAUAAYA&#10;CAAAACEAOP0h/9YAAACUAQAACwAAAAAAAAAAAAAAAAAvAQAAX3JlbHMvLnJlbHNQSwECLQAUAAYA&#10;CAAAACEAX4sltR4CAAA8BAAADgAAAAAAAAAAAAAAAAAuAgAAZHJzL2Uyb0RvYy54bWxQSwECLQAU&#10;AAYACAAAACEAhQQuvNoAAAAHAQAADwAAAAAAAAAAAAAAAAB4BAAAZHJzL2Rvd25yZXYueG1sUEsF&#10;BgAAAAAEAAQA8wAAAH8FAAAAAA==&#10;"/>
        </w:pict>
      </w:r>
      <w:r w:rsidR="00B24B4B" w:rsidRPr="006234AA">
        <w:rPr>
          <w:lang w:val="pt-BR"/>
        </w:rPr>
        <w:t xml:space="preserve"> </w:t>
      </w:r>
    </w:p>
    <w:p w:rsidR="00B24B4B" w:rsidRPr="006234AA" w:rsidRDefault="00B24B4B" w:rsidP="003C0546">
      <w:pPr>
        <w:spacing w:after="120"/>
        <w:jc w:val="right"/>
        <w:rPr>
          <w:b/>
          <w:bCs/>
          <w:i/>
          <w:iCs/>
          <w:lang w:val="pt-BR"/>
        </w:rPr>
      </w:pPr>
      <w:r w:rsidRPr="006234AA">
        <w:rPr>
          <w:i/>
          <w:iCs/>
          <w:lang w:val="pt-BR"/>
        </w:rPr>
        <w:t>..., ngày... tháng... năm ...</w:t>
      </w:r>
    </w:p>
    <w:p w:rsidR="00B24B4B" w:rsidRPr="006234AA" w:rsidRDefault="00B24B4B" w:rsidP="003C0546">
      <w:pPr>
        <w:spacing w:after="120"/>
        <w:rPr>
          <w:lang w:val="pt-BR"/>
        </w:rPr>
      </w:pPr>
    </w:p>
    <w:p w:rsidR="00B24B4B" w:rsidRPr="006234AA" w:rsidRDefault="00B24B4B" w:rsidP="003C0546">
      <w:pPr>
        <w:spacing w:after="120"/>
        <w:jc w:val="center"/>
        <w:rPr>
          <w:b/>
          <w:bCs/>
          <w:lang w:val="pt-BR"/>
        </w:rPr>
      </w:pPr>
      <w:r w:rsidRPr="006234AA">
        <w:rPr>
          <w:b/>
          <w:bCs/>
          <w:lang w:val="pt-BR"/>
        </w:rPr>
        <w:t>GIẤY ĐỀ NGHỊ KINH DOANH CHỨNG KHOÁN PHÁI SINH</w:t>
      </w:r>
    </w:p>
    <w:p w:rsidR="00B24B4B" w:rsidRPr="006234AA" w:rsidRDefault="00B24B4B" w:rsidP="003C0546">
      <w:pPr>
        <w:spacing w:after="120"/>
        <w:rPr>
          <w:lang w:val="pt-BR"/>
        </w:rPr>
      </w:pPr>
    </w:p>
    <w:p w:rsidR="00B24B4B" w:rsidRPr="006234AA" w:rsidRDefault="00B24B4B" w:rsidP="003C0546">
      <w:pPr>
        <w:spacing w:after="120"/>
        <w:rPr>
          <w:b/>
          <w:bCs/>
          <w:lang w:val="pt-BR"/>
        </w:rPr>
      </w:pPr>
      <w:r w:rsidRPr="006234AA">
        <w:rPr>
          <w:lang w:val="pt-BR"/>
        </w:rPr>
        <w:t>Kính gửi: Ủy ban Chứng khoán Nhà nước</w:t>
      </w:r>
    </w:p>
    <w:p w:rsidR="00B24B4B" w:rsidRPr="006234AA" w:rsidRDefault="00B24B4B" w:rsidP="003C0546">
      <w:pPr>
        <w:spacing w:after="120"/>
        <w:rPr>
          <w:lang w:val="pt-BR"/>
        </w:rPr>
      </w:pPr>
    </w:p>
    <w:p w:rsidR="00B24B4B" w:rsidRPr="006234AA" w:rsidRDefault="00B24B4B" w:rsidP="003C0546">
      <w:pPr>
        <w:spacing w:after="120"/>
        <w:rPr>
          <w:b/>
          <w:bCs/>
          <w:lang w:val="fr-FR"/>
        </w:rPr>
      </w:pPr>
      <w:r w:rsidRPr="006234AA">
        <w:rPr>
          <w:lang w:val="fr-FR"/>
        </w:rPr>
        <w:t>Chúng tôi là:</w:t>
      </w:r>
    </w:p>
    <w:p w:rsidR="00B24B4B" w:rsidRPr="006234AA" w:rsidRDefault="00B24B4B" w:rsidP="003C0546">
      <w:pPr>
        <w:spacing w:after="120"/>
        <w:rPr>
          <w:b/>
          <w:bCs/>
          <w:lang w:val="fr-FR"/>
        </w:rPr>
      </w:pPr>
      <w:r w:rsidRPr="006234AA">
        <w:rPr>
          <w:lang w:val="fr-FR"/>
        </w:rPr>
        <w:t xml:space="preserve">- Công ty ... (tên đầy đủ và chính thức của công ty ghi bằng chữ in hoa) </w:t>
      </w:r>
    </w:p>
    <w:p w:rsidR="00B24B4B" w:rsidRPr="006234AA" w:rsidRDefault="00B24B4B" w:rsidP="003C0546">
      <w:pPr>
        <w:spacing w:after="120"/>
        <w:rPr>
          <w:b/>
          <w:bCs/>
          <w:lang w:val="fr-FR"/>
        </w:rPr>
      </w:pPr>
      <w:r w:rsidRPr="006234AA">
        <w:rPr>
          <w:lang w:val="fr-FR"/>
        </w:rPr>
        <w:t>- Giấy phép thành lập và hoạt động số: ... do Ủy ban Chứng khoán Nhà nước cấp ngày ... tháng ... năm ...</w:t>
      </w:r>
    </w:p>
    <w:p w:rsidR="00B24B4B" w:rsidRPr="006234AA" w:rsidRDefault="00B24B4B" w:rsidP="003C0546">
      <w:pPr>
        <w:spacing w:after="120"/>
        <w:rPr>
          <w:b/>
          <w:bCs/>
          <w:lang w:val="fr-FR"/>
        </w:rPr>
      </w:pPr>
      <w:r w:rsidRPr="006234AA">
        <w:rPr>
          <w:lang w:val="fr-FR"/>
        </w:rPr>
        <w:t>- Vốn điều lệ:</w:t>
      </w:r>
    </w:p>
    <w:p w:rsidR="00B24B4B" w:rsidRPr="006234AA" w:rsidRDefault="00B24B4B" w:rsidP="003C0546">
      <w:pPr>
        <w:spacing w:after="120"/>
        <w:rPr>
          <w:b/>
          <w:bCs/>
          <w:lang w:val="fr-FR"/>
        </w:rPr>
      </w:pPr>
      <w:r w:rsidRPr="006234AA">
        <w:rPr>
          <w:lang w:val="fr-FR"/>
        </w:rPr>
        <w:t>- Địa chỉ trụ sở chính:</w:t>
      </w:r>
    </w:p>
    <w:p w:rsidR="00B24B4B" w:rsidRPr="006234AA" w:rsidRDefault="00B24B4B" w:rsidP="003C0546">
      <w:pPr>
        <w:spacing w:after="120"/>
        <w:rPr>
          <w:b/>
          <w:bCs/>
          <w:lang w:val="fr-FR"/>
        </w:rPr>
      </w:pPr>
      <w:r w:rsidRPr="006234AA">
        <w:rPr>
          <w:lang w:val="fr-FR"/>
        </w:rPr>
        <w:t xml:space="preserve">- Điện thoại: ... Fax:... </w:t>
      </w:r>
    </w:p>
    <w:p w:rsidR="00B24B4B" w:rsidRPr="006234AA" w:rsidRDefault="00B24B4B" w:rsidP="003C0546">
      <w:pPr>
        <w:spacing w:after="120"/>
        <w:rPr>
          <w:b/>
          <w:bCs/>
          <w:lang w:val="fr-FR"/>
        </w:rPr>
      </w:pPr>
      <w:r w:rsidRPr="006234AA">
        <w:rPr>
          <w:lang w:val="fr-FR"/>
        </w:rPr>
        <w:t xml:space="preserve">Đề nghị Ủy ban Chứng khoán Nhà nước chấp thuận cho công ty chúng tôi </w:t>
      </w:r>
      <w:r w:rsidR="00746999" w:rsidRPr="006234AA">
        <w:rPr>
          <w:lang w:val="fr-FR"/>
        </w:rPr>
        <w:t xml:space="preserve">thực hiện </w:t>
      </w:r>
      <w:r w:rsidRPr="006234AA">
        <w:rPr>
          <w:lang w:val="fr-FR"/>
        </w:rPr>
        <w:t xml:space="preserve">/rút </w:t>
      </w:r>
      <w:r w:rsidR="00746999" w:rsidRPr="006234AA">
        <w:rPr>
          <w:lang w:val="fr-FR"/>
        </w:rPr>
        <w:t xml:space="preserve">hoạt động </w:t>
      </w:r>
      <w:r w:rsidRPr="006234AA">
        <w:rPr>
          <w:lang w:val="fr-FR"/>
        </w:rPr>
        <w:t>kinh doanh</w:t>
      </w:r>
      <w:r w:rsidR="00746999" w:rsidRPr="006234AA">
        <w:rPr>
          <w:lang w:val="fr-FR"/>
        </w:rPr>
        <w:t xml:space="preserve"> dịch vụ</w:t>
      </w:r>
      <w:r w:rsidRPr="006234AA">
        <w:rPr>
          <w:lang w:val="fr-FR"/>
        </w:rPr>
        <w:t xml:space="preserve"> chứng khoán phái sinh:</w:t>
      </w:r>
    </w:p>
    <w:p w:rsidR="00B24B4B" w:rsidRPr="006234AA" w:rsidRDefault="00B24B4B" w:rsidP="003C0546">
      <w:pPr>
        <w:spacing w:after="120"/>
        <w:rPr>
          <w:b/>
          <w:bCs/>
          <w:lang w:val="fr-FR"/>
        </w:rPr>
      </w:pPr>
      <w:r w:rsidRPr="006234AA">
        <w:rPr>
          <w:lang w:val="fr-FR"/>
        </w:rPr>
        <w:t xml:space="preserve">- </w:t>
      </w:r>
      <w:r w:rsidR="00746999" w:rsidRPr="006234AA">
        <w:rPr>
          <w:lang w:val="fr-FR"/>
        </w:rPr>
        <w:t>Hoạt động kinh doanh dịch vụ chứng khoán phái sinh xin chấp thuận</w:t>
      </w:r>
      <w:r w:rsidRPr="006234AA">
        <w:rPr>
          <w:lang w:val="fr-FR"/>
        </w:rPr>
        <w:t>/rút:</w:t>
      </w:r>
    </w:p>
    <w:p w:rsidR="00B24B4B" w:rsidRPr="006234AA" w:rsidRDefault="00B24B4B" w:rsidP="003C0546">
      <w:pPr>
        <w:spacing w:after="120"/>
        <w:rPr>
          <w:b/>
          <w:bCs/>
          <w:lang w:val="fr-FR"/>
        </w:rPr>
      </w:pPr>
      <w:r w:rsidRPr="006234AA">
        <w:rPr>
          <w:lang w:val="fr-FR"/>
        </w:rPr>
        <w:t xml:space="preserve">- Lý do: </w:t>
      </w:r>
    </w:p>
    <w:p w:rsidR="00B24B4B" w:rsidRPr="006234AA" w:rsidRDefault="00B24B4B" w:rsidP="003C0546">
      <w:pPr>
        <w:spacing w:after="120"/>
        <w:rPr>
          <w:b/>
          <w:bCs/>
          <w:lang w:val="fr-FR"/>
        </w:rPr>
      </w:pPr>
      <w:r w:rsidRPr="006234AA">
        <w:rPr>
          <w:lang w:val="fr-FR"/>
        </w:rPr>
        <w:t xml:space="preserve">Chúng tôi cam kết sau khi được </w:t>
      </w:r>
      <w:r w:rsidR="00746999" w:rsidRPr="006234AA">
        <w:rPr>
          <w:lang w:val="fr-FR"/>
        </w:rPr>
        <w:t xml:space="preserve">chấp thuận thực hiện hoạt động kinh doanh dịch vụ chứng khoán phái sinh </w:t>
      </w:r>
      <w:r w:rsidRPr="006234AA">
        <w:rPr>
          <w:lang w:val="fr-FR"/>
        </w:rPr>
        <w:t>, chúng tôi sẽ hoàn tất các thủ tục liên quan để tiến hành hoạt động theo đúng quy định của pháp luật.</w:t>
      </w:r>
    </w:p>
    <w:p w:rsidR="00B24B4B" w:rsidRPr="006234AA" w:rsidRDefault="00B24B4B" w:rsidP="003C0546">
      <w:pPr>
        <w:spacing w:after="120"/>
        <w:rPr>
          <w:lang w:val="fr-FR"/>
        </w:rPr>
      </w:pPr>
    </w:p>
    <w:tbl>
      <w:tblPr>
        <w:tblW w:w="0" w:type="auto"/>
        <w:tblInd w:w="-106" w:type="dxa"/>
        <w:tblLook w:val="01E0"/>
      </w:tblPr>
      <w:tblGrid>
        <w:gridCol w:w="3794"/>
        <w:gridCol w:w="5231"/>
      </w:tblGrid>
      <w:tr w:rsidR="00B24B4B" w:rsidRPr="006234AA" w:rsidTr="00D60CD2">
        <w:tc>
          <w:tcPr>
            <w:tcW w:w="3794" w:type="dxa"/>
          </w:tcPr>
          <w:p w:rsidR="00B24B4B" w:rsidRPr="006234AA" w:rsidRDefault="00B24B4B" w:rsidP="003C0546">
            <w:pPr>
              <w:pStyle w:val="BodyText"/>
              <w:rPr>
                <w:lang w:val="fr-FR"/>
              </w:rPr>
            </w:pPr>
            <w:r w:rsidRPr="006234AA">
              <w:rPr>
                <w:lang w:val="fr-FR"/>
              </w:rPr>
              <w:t>Hồ sơ kèm theo:</w:t>
            </w:r>
          </w:p>
          <w:p w:rsidR="00B24B4B" w:rsidRPr="006234AA" w:rsidRDefault="00B24B4B" w:rsidP="003C0546">
            <w:pPr>
              <w:pStyle w:val="BodyText"/>
              <w:rPr>
                <w:lang w:val="fr-FR"/>
              </w:rPr>
            </w:pPr>
            <w:r w:rsidRPr="006234AA">
              <w:rPr>
                <w:lang w:val="fr-FR"/>
              </w:rPr>
              <w:lastRenderedPageBreak/>
              <w:t>(Liệt kê đầy đủ)</w:t>
            </w:r>
          </w:p>
        </w:tc>
        <w:tc>
          <w:tcPr>
            <w:tcW w:w="5231" w:type="dxa"/>
          </w:tcPr>
          <w:p w:rsidR="00B24B4B" w:rsidRPr="006234AA" w:rsidRDefault="00B24B4B" w:rsidP="003C0546">
            <w:pPr>
              <w:spacing w:after="120"/>
              <w:jc w:val="center"/>
              <w:rPr>
                <w:b/>
                <w:bCs/>
                <w:lang w:val="fr-FR"/>
              </w:rPr>
            </w:pPr>
            <w:r w:rsidRPr="006234AA">
              <w:rPr>
                <w:b/>
                <w:bCs/>
                <w:lang w:val="fr-FR"/>
              </w:rPr>
              <w:lastRenderedPageBreak/>
              <w:t>(Tổng) Giám đốc</w:t>
            </w:r>
          </w:p>
          <w:p w:rsidR="00B24B4B" w:rsidRPr="006234AA" w:rsidRDefault="00B24B4B" w:rsidP="003C0546">
            <w:pPr>
              <w:pStyle w:val="BodyText"/>
              <w:jc w:val="center"/>
              <w:rPr>
                <w:i/>
                <w:iCs/>
                <w:lang w:val="fr-FR"/>
              </w:rPr>
            </w:pPr>
            <w:r w:rsidRPr="006234AA">
              <w:rPr>
                <w:i/>
                <w:iCs/>
                <w:lang w:val="fr-FR"/>
              </w:rPr>
              <w:lastRenderedPageBreak/>
              <w:t>(ký, đóng dấu và ghi rõ họ tên)</w:t>
            </w:r>
          </w:p>
        </w:tc>
      </w:tr>
    </w:tbl>
    <w:p w:rsidR="00627372" w:rsidRPr="006234AA" w:rsidRDefault="00627372" w:rsidP="003C0546">
      <w:pPr>
        <w:pStyle w:val="Caption"/>
        <w:spacing w:after="120"/>
        <w:rPr>
          <w:lang w:val="fr-FR"/>
        </w:rPr>
      </w:pPr>
    </w:p>
    <w:p w:rsidR="008449BF" w:rsidRPr="006234AA" w:rsidRDefault="008449BF" w:rsidP="003C0546">
      <w:pPr>
        <w:spacing w:after="120"/>
        <w:rPr>
          <w:lang w:val="fr-FR" w:eastAsia="vi-VN"/>
        </w:rPr>
      </w:pPr>
    </w:p>
    <w:p w:rsidR="00627372" w:rsidRPr="006234AA" w:rsidRDefault="00627372" w:rsidP="003C0546">
      <w:pPr>
        <w:pStyle w:val="Heading5"/>
        <w:spacing w:after="120"/>
        <w:ind w:hanging="2912"/>
        <w:rPr>
          <w:lang w:val="fr-FR"/>
        </w:rPr>
      </w:pPr>
      <w:bookmarkStart w:id="245" w:name="_Toc385595292"/>
      <w:bookmarkStart w:id="246" w:name="_Toc422672024"/>
      <w:r w:rsidRPr="006234AA">
        <w:rPr>
          <w:lang w:val="fr-FR"/>
        </w:rPr>
        <w:t>Mẫu danh sách</w:t>
      </w:r>
      <w:r w:rsidR="00313C5E" w:rsidRPr="006234AA">
        <w:rPr>
          <w:lang w:val="fr-FR"/>
        </w:rPr>
        <w:t xml:space="preserve"> </w:t>
      </w:r>
      <w:r w:rsidRPr="006234AA">
        <w:rPr>
          <w:lang w:val="fr-FR"/>
        </w:rPr>
        <w:t>cán bộ, nhân viên nghiệp vụ</w:t>
      </w:r>
      <w:bookmarkEnd w:id="245"/>
      <w:bookmarkEnd w:id="246"/>
    </w:p>
    <w:p w:rsidR="00627372" w:rsidRPr="006234AA" w:rsidRDefault="00627372" w:rsidP="003C0546">
      <w:pPr>
        <w:spacing w:after="120"/>
        <w:ind w:firstLine="0"/>
        <w:jc w:val="center"/>
        <w:rPr>
          <w:b/>
          <w:bCs/>
          <w:i/>
          <w:iCs/>
          <w:lang w:val="fr-FR"/>
        </w:rPr>
      </w:pPr>
      <w:r w:rsidRPr="006234AA">
        <w:rPr>
          <w:i/>
          <w:iCs/>
          <w:lang w:val="fr-FR"/>
        </w:rPr>
        <w:t>(Ban hành kèm theo Thông tư số /2014/TT-BTC ngày tháng năm 2014 của Bộ Tài chính về chứng khoán phái sinh và thị trường chứng khoán phái sinh)</w:t>
      </w:r>
    </w:p>
    <w:p w:rsidR="00627372" w:rsidRPr="006234AA" w:rsidRDefault="00627372" w:rsidP="003C0546">
      <w:pPr>
        <w:spacing w:after="120"/>
        <w:rPr>
          <w:lang w:val="fr-FR"/>
        </w:rPr>
      </w:pPr>
    </w:p>
    <w:p w:rsidR="00B24B4B" w:rsidRPr="006234AA" w:rsidRDefault="00B24B4B" w:rsidP="003C0546">
      <w:pPr>
        <w:spacing w:after="120"/>
        <w:ind w:firstLine="0"/>
        <w:jc w:val="center"/>
        <w:rPr>
          <w:b/>
          <w:bCs/>
          <w:lang w:val="fr-FR"/>
        </w:rPr>
      </w:pPr>
      <w:r w:rsidRPr="006234AA">
        <w:rPr>
          <w:b/>
          <w:bCs/>
          <w:lang w:val="fr-FR"/>
        </w:rPr>
        <w:t>DANH SÁCH CÁN BỘ, NHÂN VIÊN NGHIỆP VỤ</w:t>
      </w:r>
    </w:p>
    <w:p w:rsidR="00B24B4B" w:rsidRPr="006234AA" w:rsidRDefault="00B24B4B" w:rsidP="003C0546">
      <w:pPr>
        <w:spacing w:after="120"/>
        <w:rPr>
          <w:lang w:val="fr-FR"/>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1550"/>
        <w:gridCol w:w="1415"/>
        <w:gridCol w:w="2679"/>
        <w:gridCol w:w="1832"/>
        <w:gridCol w:w="989"/>
      </w:tblGrid>
      <w:tr w:rsidR="00B24B4B" w:rsidRPr="006234AA" w:rsidTr="00D60CD2">
        <w:tc>
          <w:tcPr>
            <w:tcW w:w="675" w:type="dxa"/>
            <w:vAlign w:val="center"/>
          </w:tcPr>
          <w:p w:rsidR="00B24B4B" w:rsidRPr="006234AA" w:rsidRDefault="00B24B4B" w:rsidP="003C0546">
            <w:pPr>
              <w:spacing w:after="120"/>
              <w:ind w:firstLine="0"/>
              <w:jc w:val="center"/>
              <w:rPr>
                <w:b/>
                <w:bCs/>
                <w:lang w:val="nl-NL"/>
              </w:rPr>
            </w:pPr>
            <w:r w:rsidRPr="006234AA">
              <w:rPr>
                <w:lang w:val="nl-NL"/>
              </w:rPr>
              <w:t>STT</w:t>
            </w:r>
          </w:p>
        </w:tc>
        <w:tc>
          <w:tcPr>
            <w:tcW w:w="1560" w:type="dxa"/>
            <w:vAlign w:val="center"/>
          </w:tcPr>
          <w:p w:rsidR="00B24B4B" w:rsidRPr="006234AA" w:rsidRDefault="00B24B4B" w:rsidP="003C0546">
            <w:pPr>
              <w:spacing w:after="120"/>
              <w:ind w:firstLine="0"/>
              <w:jc w:val="center"/>
              <w:rPr>
                <w:b/>
                <w:bCs/>
                <w:lang w:val="nl-NL"/>
              </w:rPr>
            </w:pPr>
            <w:r w:rsidRPr="006234AA">
              <w:rPr>
                <w:lang w:val="nl-NL"/>
              </w:rPr>
              <w:t>Họ và tên</w:t>
            </w:r>
          </w:p>
        </w:tc>
        <w:tc>
          <w:tcPr>
            <w:tcW w:w="1417" w:type="dxa"/>
            <w:vAlign w:val="center"/>
          </w:tcPr>
          <w:p w:rsidR="00B24B4B" w:rsidRPr="006234AA" w:rsidRDefault="00B24B4B" w:rsidP="003C0546">
            <w:pPr>
              <w:spacing w:after="120"/>
              <w:ind w:firstLine="0"/>
              <w:jc w:val="center"/>
              <w:rPr>
                <w:b/>
                <w:bCs/>
                <w:lang w:val="nl-NL"/>
              </w:rPr>
            </w:pPr>
            <w:r w:rsidRPr="006234AA">
              <w:rPr>
                <w:lang w:val="nl-NL"/>
              </w:rPr>
              <w:t>Số CMTND hoặc Hộ chiếu</w:t>
            </w:r>
          </w:p>
        </w:tc>
        <w:tc>
          <w:tcPr>
            <w:tcW w:w="2693" w:type="dxa"/>
            <w:vAlign w:val="center"/>
          </w:tcPr>
          <w:p w:rsidR="00B24B4B" w:rsidRPr="006234AA" w:rsidRDefault="00B24B4B" w:rsidP="003C0546">
            <w:pPr>
              <w:spacing w:after="120"/>
              <w:ind w:firstLine="0"/>
              <w:jc w:val="center"/>
              <w:rPr>
                <w:b/>
                <w:bCs/>
                <w:lang w:val="nl-NL"/>
              </w:rPr>
            </w:pPr>
            <w:r w:rsidRPr="006234AA">
              <w:rPr>
                <w:lang w:val="nl-NL"/>
              </w:rPr>
              <w:t>Loại CHN kinh doanh chứng khoán hoặc tương đương/cơ quan cấp</w:t>
            </w:r>
          </w:p>
        </w:tc>
        <w:tc>
          <w:tcPr>
            <w:tcW w:w="1843" w:type="dxa"/>
            <w:vAlign w:val="center"/>
          </w:tcPr>
          <w:p w:rsidR="00B24B4B" w:rsidRPr="006234AA" w:rsidRDefault="00B24B4B" w:rsidP="003C0546">
            <w:pPr>
              <w:spacing w:after="120"/>
              <w:ind w:firstLine="0"/>
              <w:jc w:val="center"/>
              <w:rPr>
                <w:b/>
                <w:bCs/>
                <w:lang w:val="nl-NL"/>
              </w:rPr>
            </w:pPr>
            <w:r w:rsidRPr="006234AA">
              <w:rPr>
                <w:lang w:val="nl-NL"/>
              </w:rPr>
              <w:t>Vị trí công tác dự kiến</w:t>
            </w:r>
          </w:p>
        </w:tc>
        <w:tc>
          <w:tcPr>
            <w:tcW w:w="992" w:type="dxa"/>
            <w:vAlign w:val="center"/>
          </w:tcPr>
          <w:p w:rsidR="00B24B4B" w:rsidRPr="006234AA" w:rsidRDefault="00B24B4B" w:rsidP="003C0546">
            <w:pPr>
              <w:spacing w:after="120"/>
              <w:ind w:firstLine="0"/>
              <w:jc w:val="center"/>
              <w:rPr>
                <w:b/>
                <w:bCs/>
                <w:lang w:val="nl-NL"/>
              </w:rPr>
            </w:pPr>
            <w:r w:rsidRPr="006234AA">
              <w:rPr>
                <w:lang w:val="nl-NL"/>
              </w:rPr>
              <w:t>Chữ ký</w:t>
            </w:r>
          </w:p>
        </w:tc>
      </w:tr>
      <w:tr w:rsidR="00B24B4B" w:rsidRPr="006234AA" w:rsidTr="00D60CD2">
        <w:tc>
          <w:tcPr>
            <w:tcW w:w="675" w:type="dxa"/>
          </w:tcPr>
          <w:p w:rsidR="00B24B4B" w:rsidRPr="006234AA" w:rsidRDefault="00B24B4B" w:rsidP="003C0546">
            <w:pPr>
              <w:spacing w:after="120"/>
              <w:ind w:firstLine="0"/>
              <w:jc w:val="center"/>
              <w:rPr>
                <w:lang w:val="nl-NL"/>
              </w:rPr>
            </w:pPr>
            <w:r w:rsidRPr="006234AA">
              <w:rPr>
                <w:lang w:val="nl-NL"/>
              </w:rPr>
              <w:t>1</w:t>
            </w:r>
          </w:p>
        </w:tc>
        <w:tc>
          <w:tcPr>
            <w:tcW w:w="1560" w:type="dxa"/>
          </w:tcPr>
          <w:p w:rsidR="00B24B4B" w:rsidRPr="006234AA" w:rsidRDefault="00B24B4B" w:rsidP="003C0546">
            <w:pPr>
              <w:spacing w:after="120"/>
              <w:jc w:val="center"/>
              <w:rPr>
                <w:lang w:val="nl-NL"/>
              </w:rPr>
            </w:pPr>
          </w:p>
        </w:tc>
        <w:tc>
          <w:tcPr>
            <w:tcW w:w="1417" w:type="dxa"/>
          </w:tcPr>
          <w:p w:rsidR="00B24B4B" w:rsidRPr="006234AA" w:rsidRDefault="00B24B4B" w:rsidP="003C0546">
            <w:pPr>
              <w:spacing w:after="120"/>
              <w:jc w:val="center"/>
              <w:rPr>
                <w:lang w:val="nl-NL"/>
              </w:rPr>
            </w:pPr>
          </w:p>
        </w:tc>
        <w:tc>
          <w:tcPr>
            <w:tcW w:w="2693" w:type="dxa"/>
          </w:tcPr>
          <w:p w:rsidR="00B24B4B" w:rsidRPr="006234AA" w:rsidRDefault="00B24B4B" w:rsidP="003C0546">
            <w:pPr>
              <w:spacing w:after="120"/>
              <w:jc w:val="center"/>
              <w:rPr>
                <w:lang w:val="nl-NL"/>
              </w:rPr>
            </w:pPr>
          </w:p>
        </w:tc>
        <w:tc>
          <w:tcPr>
            <w:tcW w:w="1843" w:type="dxa"/>
          </w:tcPr>
          <w:p w:rsidR="00B24B4B" w:rsidRPr="006234AA" w:rsidRDefault="00B24B4B" w:rsidP="003C0546">
            <w:pPr>
              <w:spacing w:after="120"/>
              <w:jc w:val="center"/>
              <w:rPr>
                <w:lang w:val="nl-NL"/>
              </w:rPr>
            </w:pPr>
          </w:p>
        </w:tc>
        <w:tc>
          <w:tcPr>
            <w:tcW w:w="992" w:type="dxa"/>
          </w:tcPr>
          <w:p w:rsidR="00B24B4B" w:rsidRPr="006234AA" w:rsidRDefault="00B24B4B" w:rsidP="003C0546">
            <w:pPr>
              <w:spacing w:after="120"/>
              <w:jc w:val="center"/>
              <w:rPr>
                <w:lang w:val="nl-NL"/>
              </w:rPr>
            </w:pPr>
          </w:p>
        </w:tc>
      </w:tr>
      <w:tr w:rsidR="00B24B4B" w:rsidRPr="006234AA" w:rsidTr="00D60CD2">
        <w:tc>
          <w:tcPr>
            <w:tcW w:w="675" w:type="dxa"/>
          </w:tcPr>
          <w:p w:rsidR="00B24B4B" w:rsidRPr="006234AA" w:rsidRDefault="00B24B4B" w:rsidP="003C0546">
            <w:pPr>
              <w:spacing w:after="120"/>
              <w:ind w:firstLine="0"/>
              <w:jc w:val="center"/>
              <w:rPr>
                <w:lang w:val="nl-NL"/>
              </w:rPr>
            </w:pPr>
            <w:r w:rsidRPr="006234AA">
              <w:rPr>
                <w:lang w:val="nl-NL"/>
              </w:rPr>
              <w:t>2</w:t>
            </w:r>
          </w:p>
        </w:tc>
        <w:tc>
          <w:tcPr>
            <w:tcW w:w="1560" w:type="dxa"/>
          </w:tcPr>
          <w:p w:rsidR="00B24B4B" w:rsidRPr="006234AA" w:rsidRDefault="00B24B4B" w:rsidP="003C0546">
            <w:pPr>
              <w:spacing w:after="120"/>
              <w:jc w:val="center"/>
              <w:rPr>
                <w:lang w:val="nl-NL"/>
              </w:rPr>
            </w:pPr>
          </w:p>
        </w:tc>
        <w:tc>
          <w:tcPr>
            <w:tcW w:w="1417" w:type="dxa"/>
          </w:tcPr>
          <w:p w:rsidR="00B24B4B" w:rsidRPr="006234AA" w:rsidRDefault="00B24B4B" w:rsidP="003C0546">
            <w:pPr>
              <w:spacing w:after="120"/>
              <w:jc w:val="center"/>
              <w:rPr>
                <w:lang w:val="nl-NL"/>
              </w:rPr>
            </w:pPr>
          </w:p>
        </w:tc>
        <w:tc>
          <w:tcPr>
            <w:tcW w:w="2693" w:type="dxa"/>
          </w:tcPr>
          <w:p w:rsidR="00B24B4B" w:rsidRPr="006234AA" w:rsidRDefault="00B24B4B" w:rsidP="003C0546">
            <w:pPr>
              <w:spacing w:after="120"/>
              <w:jc w:val="center"/>
              <w:rPr>
                <w:lang w:val="nl-NL"/>
              </w:rPr>
            </w:pPr>
          </w:p>
        </w:tc>
        <w:tc>
          <w:tcPr>
            <w:tcW w:w="1843" w:type="dxa"/>
          </w:tcPr>
          <w:p w:rsidR="00B24B4B" w:rsidRPr="006234AA" w:rsidRDefault="00B24B4B" w:rsidP="003C0546">
            <w:pPr>
              <w:spacing w:after="120"/>
              <w:jc w:val="center"/>
              <w:rPr>
                <w:lang w:val="nl-NL"/>
              </w:rPr>
            </w:pPr>
          </w:p>
        </w:tc>
        <w:tc>
          <w:tcPr>
            <w:tcW w:w="992" w:type="dxa"/>
          </w:tcPr>
          <w:p w:rsidR="00B24B4B" w:rsidRPr="006234AA" w:rsidRDefault="00B24B4B" w:rsidP="003C0546">
            <w:pPr>
              <w:spacing w:after="120"/>
              <w:jc w:val="center"/>
              <w:rPr>
                <w:lang w:val="nl-NL"/>
              </w:rPr>
            </w:pPr>
          </w:p>
        </w:tc>
      </w:tr>
      <w:tr w:rsidR="00B24B4B" w:rsidRPr="006234AA" w:rsidTr="00D60CD2">
        <w:tc>
          <w:tcPr>
            <w:tcW w:w="675" w:type="dxa"/>
          </w:tcPr>
          <w:p w:rsidR="00B24B4B" w:rsidRPr="006234AA" w:rsidRDefault="00B24B4B" w:rsidP="003C0546">
            <w:pPr>
              <w:spacing w:after="120"/>
              <w:ind w:firstLine="0"/>
              <w:jc w:val="center"/>
              <w:rPr>
                <w:b/>
                <w:bCs/>
                <w:lang w:val="nl-NL"/>
              </w:rPr>
            </w:pPr>
            <w:r w:rsidRPr="006234AA">
              <w:rPr>
                <w:lang w:val="nl-NL"/>
              </w:rPr>
              <w:t>...</w:t>
            </w:r>
          </w:p>
        </w:tc>
        <w:tc>
          <w:tcPr>
            <w:tcW w:w="1560" w:type="dxa"/>
          </w:tcPr>
          <w:p w:rsidR="00B24B4B" w:rsidRPr="006234AA" w:rsidRDefault="00B24B4B" w:rsidP="003C0546">
            <w:pPr>
              <w:spacing w:after="120"/>
              <w:jc w:val="center"/>
              <w:rPr>
                <w:lang w:val="nl-NL"/>
              </w:rPr>
            </w:pPr>
          </w:p>
        </w:tc>
        <w:tc>
          <w:tcPr>
            <w:tcW w:w="1417" w:type="dxa"/>
          </w:tcPr>
          <w:p w:rsidR="00B24B4B" w:rsidRPr="006234AA" w:rsidRDefault="00B24B4B" w:rsidP="003C0546">
            <w:pPr>
              <w:spacing w:after="120"/>
              <w:jc w:val="center"/>
              <w:rPr>
                <w:lang w:val="nl-NL"/>
              </w:rPr>
            </w:pPr>
          </w:p>
        </w:tc>
        <w:tc>
          <w:tcPr>
            <w:tcW w:w="2693" w:type="dxa"/>
          </w:tcPr>
          <w:p w:rsidR="00B24B4B" w:rsidRPr="006234AA" w:rsidRDefault="00B24B4B" w:rsidP="003C0546">
            <w:pPr>
              <w:spacing w:after="120"/>
              <w:jc w:val="center"/>
              <w:rPr>
                <w:lang w:val="nl-NL"/>
              </w:rPr>
            </w:pPr>
          </w:p>
        </w:tc>
        <w:tc>
          <w:tcPr>
            <w:tcW w:w="1843" w:type="dxa"/>
          </w:tcPr>
          <w:p w:rsidR="00B24B4B" w:rsidRPr="006234AA" w:rsidRDefault="00B24B4B" w:rsidP="003C0546">
            <w:pPr>
              <w:spacing w:after="120"/>
              <w:jc w:val="center"/>
              <w:rPr>
                <w:lang w:val="nl-NL"/>
              </w:rPr>
            </w:pPr>
          </w:p>
        </w:tc>
        <w:tc>
          <w:tcPr>
            <w:tcW w:w="992" w:type="dxa"/>
          </w:tcPr>
          <w:p w:rsidR="00B24B4B" w:rsidRPr="006234AA" w:rsidRDefault="00B24B4B" w:rsidP="003C0546">
            <w:pPr>
              <w:spacing w:after="120"/>
              <w:jc w:val="center"/>
              <w:rPr>
                <w:lang w:val="nl-NL"/>
              </w:rPr>
            </w:pPr>
          </w:p>
        </w:tc>
      </w:tr>
    </w:tbl>
    <w:p w:rsidR="00B24B4B" w:rsidRPr="006234AA" w:rsidRDefault="00B24B4B" w:rsidP="003C0546">
      <w:pPr>
        <w:spacing w:after="120"/>
        <w:rPr>
          <w:lang w:val="nl-NL"/>
        </w:rPr>
      </w:pPr>
    </w:p>
    <w:p w:rsidR="00B24B4B" w:rsidRPr="006234AA" w:rsidRDefault="00B24B4B" w:rsidP="003C0546">
      <w:pPr>
        <w:spacing w:after="120"/>
        <w:rPr>
          <w:b/>
          <w:bCs/>
          <w:lang w:val="nl-NL"/>
        </w:rPr>
      </w:pPr>
      <w:r w:rsidRPr="006234AA">
        <w:rPr>
          <w:lang w:val="nl-NL"/>
        </w:rPr>
        <w:t>Chúng tôi cam kết chịu trách nhiệm hoàn toàn về tính chính xác, trung thực về những nội dung trên.</w:t>
      </w:r>
    </w:p>
    <w:p w:rsidR="00B24B4B" w:rsidRPr="006234AA" w:rsidRDefault="00B24B4B" w:rsidP="003C0546">
      <w:pPr>
        <w:spacing w:after="120"/>
        <w:ind w:firstLine="0"/>
        <w:rPr>
          <w:lang w:val="nl-NL"/>
        </w:rPr>
      </w:pPr>
    </w:p>
    <w:tbl>
      <w:tblPr>
        <w:tblW w:w="9337" w:type="dxa"/>
        <w:tblInd w:w="-106" w:type="dxa"/>
        <w:tblLayout w:type="fixed"/>
        <w:tblLook w:val="0000"/>
      </w:tblPr>
      <w:tblGrid>
        <w:gridCol w:w="2235"/>
        <w:gridCol w:w="7102"/>
      </w:tblGrid>
      <w:tr w:rsidR="00B24B4B" w:rsidRPr="006234AA" w:rsidTr="00D60CD2">
        <w:trPr>
          <w:trHeight w:val="100"/>
        </w:trPr>
        <w:tc>
          <w:tcPr>
            <w:tcW w:w="2235" w:type="dxa"/>
          </w:tcPr>
          <w:p w:rsidR="00B24B4B" w:rsidRPr="006234AA" w:rsidRDefault="00B24B4B" w:rsidP="003C0546">
            <w:pPr>
              <w:spacing w:after="120"/>
              <w:ind w:firstLine="0"/>
              <w:rPr>
                <w:b/>
                <w:bCs/>
                <w:lang w:val="nl-NL"/>
              </w:rPr>
            </w:pPr>
            <w:r w:rsidRPr="006234AA">
              <w:rPr>
                <w:lang w:val="nl-NL"/>
              </w:rPr>
              <w:t>Hồ sơ gửi kèm:</w:t>
            </w:r>
          </w:p>
          <w:p w:rsidR="00B24B4B" w:rsidRPr="006234AA" w:rsidRDefault="00B24B4B" w:rsidP="003C0546">
            <w:pPr>
              <w:spacing w:after="120"/>
              <w:ind w:firstLine="0"/>
              <w:rPr>
                <w:b/>
                <w:bCs/>
                <w:lang w:val="nl-NL"/>
              </w:rPr>
            </w:pPr>
            <w:r w:rsidRPr="006234AA">
              <w:rPr>
                <w:lang w:val="nl-NL"/>
              </w:rPr>
              <w:t>(Liệt kê đầy đủ)</w:t>
            </w:r>
          </w:p>
          <w:p w:rsidR="00B24B4B" w:rsidRPr="006234AA" w:rsidRDefault="00B24B4B" w:rsidP="003C0546">
            <w:pPr>
              <w:spacing w:after="120"/>
              <w:ind w:firstLine="0"/>
              <w:rPr>
                <w:lang w:val="nl-NL"/>
              </w:rPr>
            </w:pPr>
          </w:p>
        </w:tc>
        <w:tc>
          <w:tcPr>
            <w:tcW w:w="7102" w:type="dxa"/>
          </w:tcPr>
          <w:p w:rsidR="008573AD" w:rsidRPr="006234AA" w:rsidRDefault="008573AD" w:rsidP="003C0546">
            <w:pPr>
              <w:spacing w:after="120"/>
              <w:jc w:val="center"/>
              <w:rPr>
                <w:b/>
                <w:bCs/>
                <w:lang w:val="nl-NL"/>
              </w:rPr>
            </w:pPr>
            <w:r w:rsidRPr="006234AA">
              <w:rPr>
                <w:b/>
                <w:bCs/>
                <w:lang w:val="nl-NL"/>
              </w:rPr>
              <w:t xml:space="preserve"> (Tổng) Giám đốc</w:t>
            </w:r>
          </w:p>
          <w:p w:rsidR="00B24B4B" w:rsidRPr="006234AA" w:rsidRDefault="008573AD" w:rsidP="003C0546">
            <w:pPr>
              <w:spacing w:after="120"/>
              <w:ind w:firstLine="0"/>
              <w:rPr>
                <w:b/>
                <w:bCs/>
                <w:lang w:val="nl-NL"/>
              </w:rPr>
            </w:pPr>
            <w:r w:rsidRPr="006234AA">
              <w:rPr>
                <w:i/>
                <w:iCs/>
                <w:lang w:val="nl-NL"/>
              </w:rPr>
              <w:t>(ký, đóng dấu và ghi rõ họ tên)</w:t>
            </w:r>
          </w:p>
        </w:tc>
      </w:tr>
    </w:tbl>
    <w:p w:rsidR="00627372" w:rsidRPr="006234AA" w:rsidRDefault="00627372" w:rsidP="003C0546">
      <w:pPr>
        <w:pStyle w:val="Caption"/>
        <w:spacing w:after="120"/>
        <w:ind w:firstLine="0"/>
        <w:rPr>
          <w:lang w:val="nl-NL"/>
        </w:rPr>
      </w:pPr>
    </w:p>
    <w:p w:rsidR="00627372" w:rsidRPr="006234AA" w:rsidRDefault="00627372" w:rsidP="003C0546">
      <w:pPr>
        <w:spacing w:after="120"/>
        <w:rPr>
          <w:lang w:val="nl-NL"/>
        </w:rPr>
      </w:pPr>
      <w:r w:rsidRPr="006234AA">
        <w:rPr>
          <w:lang w:val="nl-NL"/>
        </w:rPr>
        <w:br w:type="page"/>
      </w:r>
    </w:p>
    <w:p w:rsidR="00627372" w:rsidRPr="006234AA" w:rsidRDefault="00627372" w:rsidP="003C0546">
      <w:pPr>
        <w:pStyle w:val="Heading5"/>
        <w:spacing w:after="120"/>
        <w:ind w:hanging="2912"/>
      </w:pPr>
      <w:bookmarkStart w:id="247" w:name="_Toc422672025"/>
      <w:bookmarkEnd w:id="242"/>
      <w:r w:rsidRPr="006234AA">
        <w:lastRenderedPageBreak/>
        <w:t xml:space="preserve">Nội dung </w:t>
      </w:r>
      <w:r w:rsidR="00EE381A" w:rsidRPr="006234AA">
        <w:t>hợp đồng mở tài khoản giao dịch</w:t>
      </w:r>
      <w:bookmarkEnd w:id="247"/>
    </w:p>
    <w:p w:rsidR="00627372" w:rsidRPr="006234AA" w:rsidRDefault="00627372" w:rsidP="003C0546">
      <w:pPr>
        <w:spacing w:after="120"/>
        <w:ind w:firstLine="0"/>
        <w:jc w:val="center"/>
        <w:rPr>
          <w:b/>
          <w:bCs/>
          <w:i/>
          <w:iCs/>
          <w:lang w:val="nl-NL"/>
        </w:rPr>
      </w:pPr>
      <w:r w:rsidRPr="006234AA">
        <w:rPr>
          <w:i/>
          <w:iCs/>
          <w:lang w:val="nl-NL"/>
        </w:rPr>
        <w:t>(Ban hành kèm theo Thông tư số /2014/TT-BTC ngày tháng năm 2014 của Bộ Tài chính về chứng khoán phái sinh và thị trường chứng khoán phái sinh)</w:t>
      </w:r>
    </w:p>
    <w:p w:rsidR="00627372" w:rsidRPr="006234AA" w:rsidRDefault="00627372" w:rsidP="003C0546">
      <w:pPr>
        <w:spacing w:after="120"/>
        <w:rPr>
          <w:lang w:val="nl-NL"/>
        </w:rPr>
      </w:pPr>
    </w:p>
    <w:p w:rsidR="0049588C" w:rsidRPr="006234AA" w:rsidRDefault="0049588C" w:rsidP="003C0546">
      <w:pPr>
        <w:spacing w:after="120"/>
        <w:rPr>
          <w:b/>
          <w:bCs/>
          <w:lang w:val="nl-NL"/>
        </w:rPr>
      </w:pPr>
      <w:r w:rsidRPr="006234AA">
        <w:rPr>
          <w:lang w:val="nl-NL"/>
        </w:rPr>
        <w:t>Hợp đồng mở tài khoản giao dịch bao gồm tối thiểu các nội dung sau đây:</w:t>
      </w:r>
    </w:p>
    <w:p w:rsidR="0049588C" w:rsidRPr="006234AA" w:rsidRDefault="0049588C" w:rsidP="003C0546">
      <w:pPr>
        <w:spacing w:after="120"/>
        <w:rPr>
          <w:b/>
          <w:bCs/>
          <w:lang w:val="nl-NL"/>
        </w:rPr>
      </w:pPr>
      <w:r w:rsidRPr="006234AA">
        <w:rPr>
          <w:lang w:val="nl-NL"/>
        </w:rPr>
        <w:t>1. Ngày mở tài khoản giao dịch;</w:t>
      </w:r>
    </w:p>
    <w:p w:rsidR="0049588C" w:rsidRPr="006234AA" w:rsidRDefault="0049588C" w:rsidP="003C0546">
      <w:pPr>
        <w:spacing w:after="120"/>
        <w:rPr>
          <w:lang w:val="nl-NL"/>
        </w:rPr>
      </w:pPr>
      <w:r w:rsidRPr="006234AA">
        <w:rPr>
          <w:lang w:val="nl-NL"/>
        </w:rPr>
        <w:t xml:space="preserve">2. Tên, tuổi, nghề nghiệp, địa chỉ, số điện thoại, số CMND/hộ chiếu của khách hàng cá nhân; </w:t>
      </w:r>
    </w:p>
    <w:p w:rsidR="0049588C" w:rsidRPr="006234AA" w:rsidRDefault="0049588C" w:rsidP="003C0546">
      <w:pPr>
        <w:spacing w:after="120"/>
        <w:rPr>
          <w:b/>
          <w:bCs/>
          <w:lang w:val="nl-NL"/>
        </w:rPr>
      </w:pPr>
      <w:r w:rsidRPr="006234AA">
        <w:rPr>
          <w:lang w:val="nl-NL"/>
        </w:rPr>
        <w:t>Tên, đại diện, địa chỉ, số ĐKKD hoặc tương đương đối với khách hàng tổ chức;</w:t>
      </w:r>
    </w:p>
    <w:p w:rsidR="0049588C" w:rsidRPr="006234AA" w:rsidRDefault="0049588C" w:rsidP="003C0546">
      <w:pPr>
        <w:spacing w:after="120"/>
        <w:rPr>
          <w:b/>
          <w:bCs/>
          <w:lang w:val="nl-NL"/>
        </w:rPr>
      </w:pPr>
      <w:r w:rsidRPr="006234AA">
        <w:rPr>
          <w:lang w:val="nl-NL"/>
        </w:rPr>
        <w:t>3. Phương pháp đặt lệnh giao dịch với thành viên giao dịch và phương thức liên lạc giữa các bên;</w:t>
      </w:r>
    </w:p>
    <w:p w:rsidR="0049588C" w:rsidRPr="006234AA" w:rsidRDefault="0049588C" w:rsidP="003C0546">
      <w:pPr>
        <w:spacing w:after="120"/>
        <w:rPr>
          <w:b/>
          <w:bCs/>
          <w:lang w:val="nl-NL"/>
        </w:rPr>
      </w:pPr>
      <w:r w:rsidRPr="006234AA">
        <w:rPr>
          <w:lang w:val="nl-NL"/>
        </w:rPr>
        <w:t>4. Phương pháp thành viên giao dịch thực hiện lệnh giao dịch của khách hàng;</w:t>
      </w:r>
    </w:p>
    <w:p w:rsidR="0049588C" w:rsidRPr="006234AA" w:rsidRDefault="0049588C" w:rsidP="003C0546">
      <w:pPr>
        <w:spacing w:after="120"/>
        <w:rPr>
          <w:b/>
          <w:bCs/>
          <w:lang w:val="nl-NL"/>
        </w:rPr>
      </w:pPr>
      <w:r w:rsidRPr="006234AA">
        <w:rPr>
          <w:lang w:val="nl-NL"/>
        </w:rPr>
        <w:t>5. Quy định cho phép thành viên giao dịch chuyển tài khoản giao dịch của khách hàng sang thành viên giao dịch khác khi không thể cung cấp được dịch vụ môi giới;</w:t>
      </w:r>
    </w:p>
    <w:p w:rsidR="0049588C" w:rsidRPr="006234AA" w:rsidRDefault="0049588C" w:rsidP="003C0546">
      <w:pPr>
        <w:spacing w:after="120"/>
        <w:rPr>
          <w:b/>
          <w:bCs/>
          <w:lang w:val="nl-NL"/>
        </w:rPr>
      </w:pPr>
      <w:r w:rsidRPr="006234AA">
        <w:rPr>
          <w:lang w:val="nl-NL"/>
        </w:rPr>
        <w:t xml:space="preserve">6. Quy định về phương pháp thu ký quỹ và các khoản thanh toán khác; </w:t>
      </w:r>
    </w:p>
    <w:p w:rsidR="0049588C" w:rsidRPr="006234AA" w:rsidRDefault="0049588C" w:rsidP="003C0546">
      <w:pPr>
        <w:spacing w:after="120"/>
        <w:rPr>
          <w:b/>
          <w:bCs/>
          <w:lang w:val="nl-NL"/>
        </w:rPr>
      </w:pPr>
      <w:r w:rsidRPr="006234AA">
        <w:rPr>
          <w:lang w:val="nl-NL"/>
        </w:rPr>
        <w:t xml:space="preserve">7. Quyền đối với lãi phát sinh trên tài khoản </w:t>
      </w:r>
      <w:r w:rsidR="00666F37" w:rsidRPr="006234AA">
        <w:rPr>
          <w:lang w:val="nl-NL"/>
        </w:rPr>
        <w:t>bù trừ, thanh toán</w:t>
      </w:r>
      <w:r w:rsidRPr="006234AA">
        <w:rPr>
          <w:lang w:val="nl-NL"/>
        </w:rPr>
        <w:t xml:space="preserve"> của khách hàng;</w:t>
      </w:r>
    </w:p>
    <w:p w:rsidR="0049588C" w:rsidRPr="006234AA" w:rsidRDefault="0049588C" w:rsidP="003C0546">
      <w:pPr>
        <w:spacing w:after="120"/>
        <w:rPr>
          <w:b/>
          <w:bCs/>
          <w:lang w:val="nl-NL"/>
        </w:rPr>
      </w:pPr>
      <w:r w:rsidRPr="006234AA">
        <w:rPr>
          <w:lang w:val="nl-NL"/>
        </w:rPr>
        <w:t>8. Quy định về phí môi giới và các phí liên quan khác;</w:t>
      </w:r>
    </w:p>
    <w:p w:rsidR="0049588C" w:rsidRPr="006234AA" w:rsidRDefault="0049588C" w:rsidP="003C0546">
      <w:pPr>
        <w:spacing w:after="120"/>
        <w:rPr>
          <w:b/>
          <w:bCs/>
          <w:lang w:val="nl-NL"/>
        </w:rPr>
      </w:pPr>
      <w:r w:rsidRPr="006234AA">
        <w:rPr>
          <w:lang w:val="nl-NL"/>
        </w:rPr>
        <w:t xml:space="preserve">9. Nghĩa vụ duy trì tài khoản </w:t>
      </w:r>
      <w:r w:rsidR="00666F37" w:rsidRPr="006234AA">
        <w:rPr>
          <w:lang w:val="nl-NL"/>
        </w:rPr>
        <w:t>bù trừ, thanh toán</w:t>
      </w:r>
      <w:r w:rsidRPr="006234AA">
        <w:rPr>
          <w:lang w:val="nl-NL"/>
        </w:rPr>
        <w:t xml:space="preserve"> của khách hàng;</w:t>
      </w:r>
    </w:p>
    <w:p w:rsidR="0049588C" w:rsidRPr="006234AA" w:rsidRDefault="0049588C" w:rsidP="003C0546">
      <w:pPr>
        <w:spacing w:after="120"/>
        <w:rPr>
          <w:b/>
          <w:bCs/>
          <w:lang w:val="nl-NL"/>
        </w:rPr>
      </w:pPr>
      <w:r w:rsidRPr="006234AA">
        <w:rPr>
          <w:lang w:val="nl-NL"/>
        </w:rPr>
        <w:t>10. Quy định về các điều kiện mà thành viên giao dịch có thể thanh lý các vị thế mở thay cho khách hàng và các vấn đề liên quan;</w:t>
      </w:r>
    </w:p>
    <w:p w:rsidR="0049588C" w:rsidRPr="006234AA" w:rsidRDefault="0049588C" w:rsidP="003C0546">
      <w:pPr>
        <w:spacing w:after="120"/>
        <w:rPr>
          <w:b/>
          <w:bCs/>
          <w:lang w:val="nl-NL"/>
        </w:rPr>
      </w:pPr>
      <w:r w:rsidRPr="006234AA">
        <w:rPr>
          <w:lang w:val="nl-NL"/>
        </w:rPr>
        <w:t>11. Phương pháp và thời gian thông báo yêu cầu khách hàng nộp ký quỹ bổ sung;</w:t>
      </w:r>
    </w:p>
    <w:p w:rsidR="0049588C" w:rsidRPr="006234AA" w:rsidRDefault="0049588C" w:rsidP="003C0546">
      <w:pPr>
        <w:spacing w:after="120"/>
        <w:rPr>
          <w:b/>
          <w:bCs/>
          <w:lang w:val="nl-NL"/>
        </w:rPr>
      </w:pPr>
      <w:r w:rsidRPr="006234AA">
        <w:rPr>
          <w:lang w:val="nl-NL"/>
        </w:rPr>
        <w:t>12. Điều tra và phạm vi điều tra tình trạng tài chính và tín dụng của khách hàng;</w:t>
      </w:r>
    </w:p>
    <w:p w:rsidR="0049588C" w:rsidRPr="006234AA" w:rsidRDefault="0049588C" w:rsidP="003C0546">
      <w:pPr>
        <w:spacing w:after="120"/>
        <w:rPr>
          <w:b/>
          <w:bCs/>
          <w:lang w:val="nl-NL"/>
        </w:rPr>
      </w:pPr>
      <w:r w:rsidRPr="006234AA">
        <w:rPr>
          <w:lang w:val="nl-NL"/>
        </w:rPr>
        <w:t>13. Yêu cầu báo cáo các thay đổi về thông tin cơ bản của khách hàng;</w:t>
      </w:r>
    </w:p>
    <w:p w:rsidR="0049588C" w:rsidRPr="006234AA" w:rsidRDefault="0049588C" w:rsidP="003C0546">
      <w:pPr>
        <w:spacing w:after="120"/>
        <w:rPr>
          <w:b/>
          <w:bCs/>
          <w:lang w:val="nl-NL"/>
        </w:rPr>
      </w:pPr>
      <w:r w:rsidRPr="006234AA">
        <w:rPr>
          <w:lang w:val="nl-NL"/>
        </w:rPr>
        <w:t>14. Các vấn đề ảnh hưởng đến quyền và lợi ích của khách hàng mà thành viên giao dịch phải thông báo cho khách hàng và thời gian thông báo;</w:t>
      </w:r>
    </w:p>
    <w:p w:rsidR="0049588C" w:rsidRPr="006234AA" w:rsidRDefault="0049588C" w:rsidP="003C0546">
      <w:pPr>
        <w:spacing w:after="120"/>
        <w:rPr>
          <w:b/>
          <w:bCs/>
          <w:lang w:val="nl-NL"/>
        </w:rPr>
      </w:pPr>
      <w:r w:rsidRPr="006234AA">
        <w:rPr>
          <w:lang w:val="nl-NL"/>
        </w:rPr>
        <w:t>15. Phạm vi các thông tin và dịch vụ mà thành viên giao dịch phải cung cấp;</w:t>
      </w:r>
    </w:p>
    <w:p w:rsidR="0049588C" w:rsidRPr="006234AA" w:rsidRDefault="0049588C" w:rsidP="003C0546">
      <w:pPr>
        <w:spacing w:after="120"/>
        <w:rPr>
          <w:b/>
          <w:bCs/>
          <w:lang w:val="nl-NL"/>
        </w:rPr>
      </w:pPr>
      <w:r w:rsidRPr="006234AA">
        <w:rPr>
          <w:lang w:val="nl-NL"/>
        </w:rPr>
        <w:t>16. Phạm vi thiệt hại phát sinh do lỗi của đối tác trong hợp đồng, phương pháp phân xử và các vấn đề khác liên quan;</w:t>
      </w:r>
    </w:p>
    <w:p w:rsidR="0049588C" w:rsidRPr="006234AA" w:rsidRDefault="0049588C" w:rsidP="003C0546">
      <w:pPr>
        <w:spacing w:after="120"/>
        <w:rPr>
          <w:b/>
          <w:bCs/>
          <w:lang w:val="nl-NL"/>
        </w:rPr>
      </w:pPr>
      <w:r w:rsidRPr="006234AA">
        <w:rPr>
          <w:lang w:val="nl-NL"/>
        </w:rPr>
        <w:lastRenderedPageBreak/>
        <w:t>17. Phương pháp xử lý các thiệt hại phát sinh không do lỗi của các bên trong hợp đồng;</w:t>
      </w:r>
    </w:p>
    <w:p w:rsidR="0049588C" w:rsidRPr="006234AA" w:rsidRDefault="0049588C" w:rsidP="003C0546">
      <w:pPr>
        <w:spacing w:after="120"/>
        <w:rPr>
          <w:b/>
          <w:bCs/>
          <w:lang w:val="nl-NL"/>
        </w:rPr>
      </w:pPr>
      <w:r w:rsidRPr="006234AA">
        <w:rPr>
          <w:lang w:val="nl-NL"/>
        </w:rPr>
        <w:t>18. Giải quyết tranh chấp thanh toán và giao dịch khác;</w:t>
      </w:r>
    </w:p>
    <w:p w:rsidR="0049588C" w:rsidRPr="006234AA" w:rsidRDefault="0049588C" w:rsidP="003C0546">
      <w:pPr>
        <w:spacing w:after="120"/>
        <w:rPr>
          <w:b/>
          <w:bCs/>
          <w:lang w:val="nl-NL"/>
        </w:rPr>
      </w:pPr>
      <w:r w:rsidRPr="006234AA">
        <w:rPr>
          <w:lang w:val="nl-NL"/>
        </w:rPr>
        <w:t>19. Thay đổi các điều khoản và điều kiện của hợp đồng;</w:t>
      </w:r>
    </w:p>
    <w:p w:rsidR="0049588C" w:rsidRPr="006234AA" w:rsidRDefault="0049588C" w:rsidP="003C0546">
      <w:pPr>
        <w:spacing w:after="120"/>
        <w:rPr>
          <w:b/>
          <w:bCs/>
          <w:lang w:val="nl-NL"/>
        </w:rPr>
      </w:pPr>
      <w:r w:rsidRPr="006234AA">
        <w:rPr>
          <w:lang w:val="nl-NL"/>
        </w:rPr>
        <w:t xml:space="preserve">20. Hủy bỏ hợp đồng; </w:t>
      </w:r>
    </w:p>
    <w:p w:rsidR="0049588C" w:rsidRPr="006234AA" w:rsidRDefault="0049588C" w:rsidP="003C0546">
      <w:pPr>
        <w:spacing w:after="120"/>
        <w:rPr>
          <w:b/>
          <w:bCs/>
          <w:lang w:val="nl-NL"/>
        </w:rPr>
      </w:pPr>
      <w:r w:rsidRPr="006234AA">
        <w:rPr>
          <w:lang w:val="nl-NL"/>
        </w:rPr>
        <w:t>21. Các vấn đề khác ảnh hưởng đến quyền và nghĩa vụ của các bên.</w:t>
      </w:r>
    </w:p>
    <w:p w:rsidR="0049588C" w:rsidRPr="006234AA" w:rsidRDefault="0049588C" w:rsidP="003C0546">
      <w:pPr>
        <w:spacing w:after="120"/>
        <w:rPr>
          <w:lang w:val="nl-NL"/>
        </w:rPr>
      </w:pPr>
    </w:p>
    <w:p w:rsidR="00627372" w:rsidRPr="006234AA" w:rsidRDefault="00627372" w:rsidP="003C0546">
      <w:pPr>
        <w:spacing w:after="120"/>
        <w:ind w:firstLine="0"/>
        <w:jc w:val="left"/>
        <w:rPr>
          <w:lang w:val="nl-NL"/>
        </w:rPr>
      </w:pPr>
      <w:r w:rsidRPr="006234AA">
        <w:rPr>
          <w:lang w:val="nl-NL"/>
        </w:rPr>
        <w:br w:type="page"/>
      </w:r>
    </w:p>
    <w:p w:rsidR="00B24B4B" w:rsidRPr="006234AA" w:rsidRDefault="0049588C" w:rsidP="003C0546">
      <w:pPr>
        <w:pStyle w:val="Heading5"/>
        <w:spacing w:after="120"/>
        <w:ind w:hanging="2912"/>
      </w:pPr>
      <w:bookmarkStart w:id="248" w:name="_Toc422672026"/>
      <w:bookmarkStart w:id="249" w:name="_Toc387730800"/>
      <w:bookmarkStart w:id="250" w:name="_Toc385595293"/>
      <w:r w:rsidRPr="006234AA">
        <w:lastRenderedPageBreak/>
        <w:t>Báo cáo tình hình hoạt động tháng</w:t>
      </w:r>
      <w:bookmarkEnd w:id="248"/>
    </w:p>
    <w:p w:rsidR="00B24B4B" w:rsidRPr="006234AA" w:rsidRDefault="00B24B4B" w:rsidP="003C0546">
      <w:pPr>
        <w:spacing w:after="120"/>
        <w:rPr>
          <w:lang w:val="nl-NL"/>
        </w:rPr>
      </w:pPr>
    </w:p>
    <w:p w:rsidR="00B24B4B" w:rsidRPr="006234AA" w:rsidRDefault="00B24B4B"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B24B4B" w:rsidRPr="006234AA" w:rsidRDefault="00B24B4B" w:rsidP="003C0546">
      <w:pPr>
        <w:spacing w:after="120"/>
        <w:ind w:firstLine="0"/>
        <w:jc w:val="center"/>
        <w:rPr>
          <w:i/>
          <w:iCs/>
          <w:lang w:val="nl-NL"/>
        </w:rPr>
      </w:pPr>
    </w:p>
    <w:tbl>
      <w:tblPr>
        <w:tblW w:w="9762" w:type="dxa"/>
        <w:jc w:val="center"/>
        <w:tblBorders>
          <w:insideH w:val="single" w:sz="4" w:space="0" w:color="auto"/>
        </w:tblBorders>
        <w:tblLayout w:type="fixed"/>
        <w:tblLook w:val="0000"/>
      </w:tblPr>
      <w:tblGrid>
        <w:gridCol w:w="3506"/>
        <w:gridCol w:w="6256"/>
      </w:tblGrid>
      <w:tr w:rsidR="00B24B4B" w:rsidRPr="006234AA" w:rsidTr="00D60CD2">
        <w:trPr>
          <w:jc w:val="center"/>
        </w:trPr>
        <w:tc>
          <w:tcPr>
            <w:tcW w:w="3506" w:type="dxa"/>
          </w:tcPr>
          <w:p w:rsidR="00B24B4B" w:rsidRPr="006234AA" w:rsidRDefault="00B24B4B" w:rsidP="003C0546">
            <w:pPr>
              <w:pStyle w:val="Footer"/>
              <w:tabs>
                <w:tab w:val="clear" w:pos="4320"/>
                <w:tab w:val="clear" w:pos="8640"/>
              </w:tabs>
              <w:spacing w:after="120"/>
              <w:jc w:val="center"/>
              <w:rPr>
                <w:b/>
                <w:lang w:val="nl-NL"/>
              </w:rPr>
            </w:pPr>
            <w:r w:rsidRPr="006234AA">
              <w:rPr>
                <w:b/>
                <w:lang w:val="nl-NL"/>
              </w:rPr>
              <w:t>Tên công ty chứng khoán</w:t>
            </w:r>
          </w:p>
          <w:p w:rsidR="00B24B4B" w:rsidRPr="006234AA" w:rsidRDefault="007965E6" w:rsidP="003C0546">
            <w:pPr>
              <w:pStyle w:val="Footer"/>
              <w:tabs>
                <w:tab w:val="clear" w:pos="4320"/>
                <w:tab w:val="clear" w:pos="8640"/>
              </w:tabs>
              <w:spacing w:after="120"/>
              <w:jc w:val="center"/>
              <w:rPr>
                <w:b/>
                <w:lang w:val="nl-NL"/>
              </w:rPr>
            </w:pPr>
            <w:r w:rsidRPr="007965E6">
              <w:rPr>
                <w:b/>
                <w:noProof/>
              </w:rPr>
              <w:pict>
                <v:shape id="AutoShape 18" o:spid="_x0000_s1035" type="#_x0000_t32" style="position:absolute;left:0;text-align:left;margin-left:30.75pt;margin-top:6.9pt;width:97.65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6t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5Ror0&#10;sKKng9exMsoWYT6DcQWEVWpnQ4f0pF7Ms6bfHVK66ohqeYx+PRtIzkJG8iYlXJyBKvvhs2YQQ6BA&#10;HNapsX2AhDGgU9zJ+bYTfvKIwsdslqfZHMjR0ZeQYkw01vlPXPcoGCV23hLRdr7SSsHmtc1iGXJ8&#10;dj7QIsWYEKoqvRVSRgFIhYYSL+ezeUxwWgoWnCHM2XZfSYuOJEgo/mKP4LkPs/qgWATrOGGbq+2J&#10;kBcbiksV8KAxoHO1Lhr5sUyXm8VmkU/y2cNmkqd1PXnaVvnkYZt9nNcf6qqqs5+BWpYXnWCMq8Bu&#10;1GuW/50eri/norSbYm9jSN6ix3kB2fE/ko6bDcu8yGKv2Xlnx42DRGPw9TmFN3B/B/v+0a9/AQAA&#10;//8DAFBLAwQUAAYACAAAACEAj/CfWtsAAAAIAQAADwAAAGRycy9kb3ducmV2LnhtbExPTU+DQBC9&#10;m/Q/bMbEi7ELGIhFlqZp4sGjbROvW3YKKDtL2KVgf71jeqi3eR95816xnm0nzjj41pGCeBmBQKqc&#10;aalWcNi/Pb2A8EGT0Z0jVPCDHtbl4q7QuXETfeB5F2rBIeRzraAJoc+l9FWDVvul65FYO7nB6sBw&#10;qKUZ9MThtpNJFGXS6pb4Q6N73DZYfe9GqwD9mMbRZmXrw/tlevxMLl9Tv1fq4X7evIIIOIebGf7q&#10;c3UoudPRjWS86BRkccpO5p95AetJmvFxvBKyLOT/AeUvAAAA//8DAFBLAQItABQABgAIAAAAIQC2&#10;gziS/gAAAOEBAAATAAAAAAAAAAAAAAAAAAAAAABbQ29udGVudF9UeXBlc10ueG1sUEsBAi0AFAAG&#10;AAgAAAAhADj9If/WAAAAlAEAAAsAAAAAAAAAAAAAAAAALwEAAF9yZWxzLy5yZWxzUEsBAi0AFAAG&#10;AAgAAAAhAGuZXq0eAgAAPAQAAA4AAAAAAAAAAAAAAAAALgIAAGRycy9lMm9Eb2MueG1sUEsBAi0A&#10;FAAGAAgAAAAhAI/wn1rbAAAACAEAAA8AAAAAAAAAAAAAAAAAeAQAAGRycy9kb3ducmV2LnhtbFBL&#10;BQYAAAAABAAEAPMAAACABQAAAAA=&#10;"/>
              </w:pict>
            </w:r>
          </w:p>
          <w:p w:rsidR="00B24B4B" w:rsidRPr="006234AA" w:rsidRDefault="00B24B4B" w:rsidP="003C0546">
            <w:pPr>
              <w:spacing w:after="120"/>
              <w:jc w:val="center"/>
              <w:rPr>
                <w:lang w:val="nl-NL"/>
              </w:rPr>
            </w:pPr>
            <w:r w:rsidRPr="006234AA">
              <w:rPr>
                <w:lang w:val="nl-NL"/>
              </w:rPr>
              <w:t>Số:........(số công văn)</w:t>
            </w:r>
          </w:p>
          <w:p w:rsidR="00B24B4B" w:rsidRPr="006234AA" w:rsidRDefault="00B24B4B" w:rsidP="003C0546">
            <w:pPr>
              <w:spacing w:after="120"/>
              <w:jc w:val="center"/>
              <w:rPr>
                <w:i/>
                <w:szCs w:val="26"/>
                <w:lang w:val="nl-NL"/>
              </w:rPr>
            </w:pPr>
            <w:r w:rsidRPr="006234AA">
              <w:rPr>
                <w:szCs w:val="26"/>
                <w:lang w:val="nl-NL"/>
              </w:rPr>
              <w:t xml:space="preserve">V/v </w:t>
            </w:r>
            <w:r w:rsidRPr="006234AA">
              <w:rPr>
                <w:i/>
                <w:szCs w:val="26"/>
                <w:lang w:val="nl-NL"/>
              </w:rPr>
              <w:t>báo cáo hoạt động tháng.... năm.....</w:t>
            </w:r>
          </w:p>
          <w:p w:rsidR="00B24B4B" w:rsidRPr="006234AA" w:rsidRDefault="00B24B4B" w:rsidP="003C0546">
            <w:pPr>
              <w:spacing w:after="120"/>
              <w:jc w:val="center"/>
              <w:rPr>
                <w:szCs w:val="26"/>
                <w:lang w:val="nl-NL"/>
              </w:rPr>
            </w:pPr>
          </w:p>
        </w:tc>
        <w:tc>
          <w:tcPr>
            <w:tcW w:w="6256" w:type="dxa"/>
          </w:tcPr>
          <w:p w:rsidR="00B24B4B" w:rsidRPr="006234AA" w:rsidRDefault="00B24B4B" w:rsidP="003C0546">
            <w:pPr>
              <w:pStyle w:val="Footer"/>
              <w:tabs>
                <w:tab w:val="clear" w:pos="4320"/>
                <w:tab w:val="clear" w:pos="8640"/>
              </w:tabs>
              <w:spacing w:after="120"/>
              <w:jc w:val="center"/>
              <w:rPr>
                <w:b/>
                <w:sz w:val="24"/>
                <w:lang w:val="nl-NL"/>
              </w:rPr>
            </w:pPr>
            <w:r w:rsidRPr="006234AA">
              <w:rPr>
                <w:b/>
                <w:sz w:val="24"/>
                <w:lang w:val="nl-NL"/>
              </w:rPr>
              <w:t>CỘNG HÒA XÃ HỘI CHỦ NGHĨA VIỆT NAM</w:t>
            </w:r>
          </w:p>
          <w:p w:rsidR="00B24B4B" w:rsidRPr="006234AA" w:rsidRDefault="00B24B4B" w:rsidP="003C0546">
            <w:pPr>
              <w:spacing w:after="120"/>
              <w:jc w:val="center"/>
              <w:rPr>
                <w:b/>
                <w:lang w:val="nl-NL"/>
              </w:rPr>
            </w:pPr>
            <w:r w:rsidRPr="006234AA">
              <w:rPr>
                <w:b/>
                <w:lang w:val="nl-NL"/>
              </w:rPr>
              <w:t>Độc lập - Tự do - Hạnh phúc</w:t>
            </w:r>
          </w:p>
          <w:p w:rsidR="00B24B4B" w:rsidRPr="006234AA" w:rsidRDefault="007965E6" w:rsidP="003C0546">
            <w:pPr>
              <w:spacing w:after="120"/>
              <w:jc w:val="center"/>
              <w:rPr>
                <w:lang w:val="nl-NL"/>
              </w:rPr>
            </w:pPr>
            <w:r w:rsidRPr="007965E6">
              <w:rPr>
                <w:noProof/>
              </w:rPr>
              <w:pict>
                <v:shape id="AutoShape 17" o:spid="_x0000_s1034" type="#_x0000_t32" style="position:absolute;left:0;text-align:left;margin-left:69.4pt;margin-top:6.05pt;width:163.3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pD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8n6UM+zac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FUkRx7eAAAACQEAAA8AAABkcnMvZG93bnJldi54bWxMj0FPwzAM&#10;he9I/IfIk7gglras01aaThMSB45sk7hmjdeWNU7VpGvZr8doB7j52U/P38s3k23FBXvfOFIQzyMQ&#10;SKUzDVUKDvu3pxUIHzQZ3TpCBd/oYVPc3+U6M26kD7zsQiU4hHymFdQhdJmUvqzRaj93HRLfTq63&#10;OrDsK2l6PXK4bWUSRUtpdUP8odYdvtZYnneDVYB+SONou7bV4f06Pn4m16+x2yv1MJu2LyACTuHP&#10;DL/4jA4FMx3dQMaLlvXzitEDD0kMgg2LZZqCON4Wssjl/wbFDwAAAP//AwBQSwECLQAUAAYACAAA&#10;ACEAtoM4kv4AAADhAQAAEwAAAAAAAAAAAAAAAAAAAAAAW0NvbnRlbnRfVHlwZXNdLnhtbFBLAQIt&#10;ABQABgAIAAAAIQA4/SH/1gAAAJQBAAALAAAAAAAAAAAAAAAAAC8BAABfcmVscy8ucmVsc1BLAQIt&#10;ABQABgAIAAAAIQB8GmpDHwIAADwEAAAOAAAAAAAAAAAAAAAAAC4CAABkcnMvZTJvRG9jLnhtbFBL&#10;AQItABQABgAIAAAAIQBVJEce3gAAAAkBAAAPAAAAAAAAAAAAAAAAAHkEAABkcnMvZG93bnJldi54&#10;bWxQSwUGAAAAAAQABADzAAAAhAUAAAAA&#10;"/>
              </w:pict>
            </w:r>
          </w:p>
          <w:p w:rsidR="00B24B4B" w:rsidRPr="006234AA" w:rsidRDefault="00B24B4B" w:rsidP="003C0546">
            <w:pPr>
              <w:spacing w:after="120"/>
              <w:jc w:val="right"/>
              <w:rPr>
                <w:i/>
                <w:lang w:val="nl-NL"/>
              </w:rPr>
            </w:pPr>
            <w:r w:rsidRPr="006234AA">
              <w:rPr>
                <w:i/>
                <w:lang w:val="nl-NL"/>
              </w:rPr>
              <w:t>......., ngày........tháng........năm ........</w:t>
            </w:r>
          </w:p>
        </w:tc>
      </w:tr>
    </w:tbl>
    <w:p w:rsidR="0049588C" w:rsidRPr="006234AA" w:rsidRDefault="0049588C" w:rsidP="003C0546">
      <w:pPr>
        <w:spacing w:after="120"/>
        <w:jc w:val="center"/>
        <w:rPr>
          <w:b/>
          <w:lang w:val="nl-NL"/>
        </w:rPr>
      </w:pPr>
      <w:r w:rsidRPr="006234AA">
        <w:rPr>
          <w:b/>
          <w:i/>
          <w:lang w:val="nl-NL"/>
        </w:rPr>
        <w:t>Kính gử</w:t>
      </w:r>
      <w:r w:rsidRPr="006234AA">
        <w:rPr>
          <w:i/>
          <w:lang w:val="nl-NL"/>
        </w:rPr>
        <w:t>i:</w:t>
      </w:r>
      <w:r w:rsidRPr="006234AA">
        <w:rPr>
          <w:lang w:val="nl-NL"/>
        </w:rPr>
        <w:t xml:space="preserve"> </w:t>
      </w:r>
      <w:r w:rsidRPr="006234AA">
        <w:rPr>
          <w:b/>
          <w:lang w:val="nl-NL"/>
        </w:rPr>
        <w:t>Ủy ban Chứng khoán Nhà nước</w:t>
      </w:r>
    </w:p>
    <w:p w:rsidR="0049588C" w:rsidRPr="006234AA" w:rsidRDefault="0049588C" w:rsidP="003C0546">
      <w:pPr>
        <w:spacing w:after="120"/>
        <w:rPr>
          <w:sz w:val="14"/>
          <w:lang w:val="nl-NL"/>
        </w:rPr>
      </w:pPr>
    </w:p>
    <w:p w:rsidR="0049588C" w:rsidRPr="006234AA" w:rsidRDefault="0049588C" w:rsidP="003C0546">
      <w:pPr>
        <w:spacing w:after="120"/>
        <w:ind w:firstLine="0"/>
        <w:rPr>
          <w:b/>
          <w:lang w:val="nl-NL"/>
        </w:rPr>
      </w:pPr>
      <w:r w:rsidRPr="006234AA">
        <w:rPr>
          <w:b/>
          <w:lang w:val="nl-NL"/>
        </w:rPr>
        <w:t>I. Tình hình nhân sự và cổ đông của công ty chứng khoán</w:t>
      </w:r>
    </w:p>
    <w:p w:rsidR="0049588C" w:rsidRPr="006234AA" w:rsidRDefault="0049588C" w:rsidP="003C0546">
      <w:pPr>
        <w:spacing w:after="120"/>
        <w:ind w:firstLine="0"/>
        <w:rPr>
          <w:b/>
          <w:i/>
        </w:rPr>
      </w:pPr>
      <w:r w:rsidRPr="006234AA">
        <w:rPr>
          <w:b/>
          <w:i/>
        </w:rPr>
        <w:t xml:space="preserve">1. Tình hình nhân sự: </w:t>
      </w:r>
    </w:p>
    <w:p w:rsidR="0049588C" w:rsidRPr="006234AA" w:rsidRDefault="0049588C" w:rsidP="003C0546">
      <w:pPr>
        <w:spacing w:after="120"/>
        <w:rPr>
          <w:b/>
          <w:lang w:val="nl-NL"/>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992"/>
        <w:gridCol w:w="992"/>
        <w:gridCol w:w="1418"/>
        <w:gridCol w:w="921"/>
        <w:gridCol w:w="922"/>
        <w:gridCol w:w="1275"/>
      </w:tblGrid>
      <w:tr w:rsidR="0049588C" w:rsidRPr="006234AA" w:rsidTr="00A15B69">
        <w:tc>
          <w:tcPr>
            <w:tcW w:w="2802" w:type="dxa"/>
            <w:vMerge w:val="restart"/>
            <w:vAlign w:val="center"/>
          </w:tcPr>
          <w:p w:rsidR="0049588C" w:rsidRPr="006234AA" w:rsidRDefault="0049588C" w:rsidP="003C0546">
            <w:pPr>
              <w:spacing w:after="120"/>
              <w:ind w:firstLine="0"/>
              <w:rPr>
                <w:b/>
                <w:sz w:val="22"/>
                <w:szCs w:val="22"/>
                <w:lang w:val="nl-NL"/>
              </w:rPr>
            </w:pPr>
            <w:r w:rsidRPr="006234AA">
              <w:rPr>
                <w:b/>
                <w:sz w:val="22"/>
                <w:szCs w:val="22"/>
                <w:lang w:val="nl-NL"/>
              </w:rPr>
              <w:t>Đối tượng</w:t>
            </w:r>
          </w:p>
        </w:tc>
        <w:tc>
          <w:tcPr>
            <w:tcW w:w="992" w:type="dxa"/>
            <w:vMerge w:val="restart"/>
            <w:vAlign w:val="center"/>
          </w:tcPr>
          <w:p w:rsidR="0049588C" w:rsidRPr="006234AA" w:rsidRDefault="0049588C" w:rsidP="003C0546">
            <w:pPr>
              <w:spacing w:after="120"/>
              <w:ind w:firstLine="0"/>
              <w:jc w:val="center"/>
              <w:rPr>
                <w:b/>
                <w:sz w:val="22"/>
                <w:szCs w:val="22"/>
                <w:lang w:val="nl-NL"/>
              </w:rPr>
            </w:pPr>
            <w:r w:rsidRPr="006234AA">
              <w:rPr>
                <w:b/>
                <w:sz w:val="22"/>
                <w:szCs w:val="22"/>
                <w:lang w:val="nl-NL"/>
              </w:rPr>
              <w:t>Số lượng người làm việc đầu tháng</w:t>
            </w:r>
          </w:p>
        </w:tc>
        <w:tc>
          <w:tcPr>
            <w:tcW w:w="992" w:type="dxa"/>
            <w:vMerge w:val="restart"/>
            <w:vAlign w:val="center"/>
          </w:tcPr>
          <w:p w:rsidR="0049588C" w:rsidRPr="006234AA" w:rsidRDefault="0049588C" w:rsidP="003C0546">
            <w:pPr>
              <w:spacing w:after="120"/>
              <w:ind w:firstLine="0"/>
              <w:jc w:val="center"/>
              <w:rPr>
                <w:b/>
                <w:sz w:val="22"/>
                <w:szCs w:val="22"/>
                <w:lang w:val="nl-NL"/>
              </w:rPr>
            </w:pPr>
            <w:r w:rsidRPr="006234AA">
              <w:rPr>
                <w:b/>
                <w:sz w:val="22"/>
                <w:szCs w:val="22"/>
                <w:lang w:val="nl-NL"/>
              </w:rPr>
              <w:t>Số lượng người làm việc cuối tháng</w:t>
            </w:r>
          </w:p>
        </w:tc>
        <w:tc>
          <w:tcPr>
            <w:tcW w:w="1418" w:type="dxa"/>
            <w:vMerge w:val="restart"/>
            <w:vAlign w:val="center"/>
          </w:tcPr>
          <w:p w:rsidR="0049588C" w:rsidRPr="006234AA" w:rsidRDefault="0049588C" w:rsidP="003C0546">
            <w:pPr>
              <w:spacing w:after="120"/>
              <w:ind w:firstLine="0"/>
              <w:jc w:val="center"/>
              <w:rPr>
                <w:b/>
                <w:sz w:val="22"/>
                <w:szCs w:val="22"/>
                <w:lang w:val="nl-NL"/>
              </w:rPr>
            </w:pPr>
            <w:r w:rsidRPr="006234AA">
              <w:rPr>
                <w:b/>
                <w:sz w:val="22"/>
                <w:szCs w:val="22"/>
                <w:lang w:val="nl-NL"/>
              </w:rPr>
              <w:t>Số lượng người có chứng chỉ hành nghề đầu tháng</w:t>
            </w:r>
          </w:p>
        </w:tc>
        <w:tc>
          <w:tcPr>
            <w:tcW w:w="1843" w:type="dxa"/>
            <w:gridSpan w:val="2"/>
            <w:vAlign w:val="center"/>
          </w:tcPr>
          <w:p w:rsidR="0049588C" w:rsidRPr="006234AA" w:rsidRDefault="0049588C" w:rsidP="003C0546">
            <w:pPr>
              <w:spacing w:after="120"/>
              <w:ind w:firstLine="0"/>
              <w:jc w:val="center"/>
              <w:rPr>
                <w:b/>
                <w:sz w:val="22"/>
                <w:szCs w:val="22"/>
                <w:lang w:val="nl-NL"/>
              </w:rPr>
            </w:pPr>
            <w:r w:rsidRPr="006234AA">
              <w:rPr>
                <w:b/>
                <w:sz w:val="22"/>
                <w:szCs w:val="22"/>
                <w:lang w:val="nl-NL"/>
              </w:rPr>
              <w:t>Số lượng người có chứng chỉ hành nghề tăng/giảm trong tháng</w:t>
            </w:r>
          </w:p>
        </w:tc>
        <w:tc>
          <w:tcPr>
            <w:tcW w:w="1275" w:type="dxa"/>
            <w:vMerge w:val="restart"/>
            <w:vAlign w:val="center"/>
          </w:tcPr>
          <w:p w:rsidR="0049588C" w:rsidRPr="006234AA" w:rsidRDefault="0049588C" w:rsidP="003C0546">
            <w:pPr>
              <w:spacing w:after="120"/>
              <w:ind w:firstLine="0"/>
              <w:jc w:val="center"/>
              <w:rPr>
                <w:b/>
                <w:sz w:val="22"/>
                <w:szCs w:val="22"/>
                <w:lang w:val="nl-NL"/>
              </w:rPr>
            </w:pPr>
            <w:r w:rsidRPr="006234AA">
              <w:rPr>
                <w:b/>
                <w:sz w:val="22"/>
                <w:szCs w:val="22"/>
                <w:lang w:val="nl-NL"/>
              </w:rPr>
              <w:t>Số lượng người có chứng chỉ hành nghề cuối tháng</w:t>
            </w:r>
          </w:p>
        </w:tc>
      </w:tr>
      <w:tr w:rsidR="0049588C" w:rsidRPr="006234AA" w:rsidTr="00A15B69">
        <w:tc>
          <w:tcPr>
            <w:tcW w:w="2802" w:type="dxa"/>
            <w:vMerge/>
            <w:tcBorders>
              <w:bottom w:val="single" w:sz="4" w:space="0" w:color="auto"/>
            </w:tcBorders>
            <w:vAlign w:val="center"/>
          </w:tcPr>
          <w:p w:rsidR="0049588C" w:rsidRPr="006234AA" w:rsidRDefault="0049588C" w:rsidP="003C0546">
            <w:pPr>
              <w:spacing w:after="120"/>
              <w:rPr>
                <w:lang w:val="nl-NL"/>
              </w:rPr>
            </w:pPr>
          </w:p>
        </w:tc>
        <w:tc>
          <w:tcPr>
            <w:tcW w:w="992" w:type="dxa"/>
            <w:vMerge/>
            <w:tcBorders>
              <w:bottom w:val="single" w:sz="4" w:space="0" w:color="auto"/>
            </w:tcBorders>
            <w:vAlign w:val="center"/>
          </w:tcPr>
          <w:p w:rsidR="0049588C" w:rsidRPr="006234AA" w:rsidRDefault="0049588C" w:rsidP="003C0546">
            <w:pPr>
              <w:spacing w:after="120"/>
              <w:jc w:val="center"/>
              <w:rPr>
                <w:b/>
                <w:lang w:val="nl-NL"/>
              </w:rPr>
            </w:pPr>
          </w:p>
        </w:tc>
        <w:tc>
          <w:tcPr>
            <w:tcW w:w="992" w:type="dxa"/>
            <w:vMerge/>
            <w:tcBorders>
              <w:bottom w:val="single" w:sz="4" w:space="0" w:color="auto"/>
            </w:tcBorders>
            <w:vAlign w:val="center"/>
          </w:tcPr>
          <w:p w:rsidR="0049588C" w:rsidRPr="006234AA" w:rsidRDefault="0049588C" w:rsidP="003C0546">
            <w:pPr>
              <w:spacing w:after="120"/>
              <w:jc w:val="center"/>
              <w:rPr>
                <w:b/>
                <w:lang w:val="nl-NL"/>
              </w:rPr>
            </w:pPr>
          </w:p>
        </w:tc>
        <w:tc>
          <w:tcPr>
            <w:tcW w:w="1418" w:type="dxa"/>
            <w:vMerge/>
            <w:tcBorders>
              <w:bottom w:val="single" w:sz="4" w:space="0" w:color="auto"/>
            </w:tcBorders>
            <w:vAlign w:val="center"/>
          </w:tcPr>
          <w:p w:rsidR="0049588C" w:rsidRPr="006234AA" w:rsidRDefault="0049588C" w:rsidP="003C0546">
            <w:pPr>
              <w:spacing w:after="120"/>
              <w:jc w:val="center"/>
              <w:rPr>
                <w:b/>
                <w:lang w:val="nl-NL"/>
              </w:rPr>
            </w:pPr>
          </w:p>
        </w:tc>
        <w:tc>
          <w:tcPr>
            <w:tcW w:w="921" w:type="dxa"/>
            <w:tcBorders>
              <w:top w:val="single" w:sz="4" w:space="0" w:color="auto"/>
              <w:bottom w:val="single" w:sz="4" w:space="0" w:color="auto"/>
              <w:right w:val="single" w:sz="4" w:space="0" w:color="auto"/>
            </w:tcBorders>
            <w:vAlign w:val="center"/>
          </w:tcPr>
          <w:p w:rsidR="0049588C" w:rsidRPr="006234AA" w:rsidRDefault="0049588C" w:rsidP="003C0546">
            <w:pPr>
              <w:spacing w:after="120"/>
              <w:ind w:firstLine="0"/>
              <w:jc w:val="center"/>
              <w:rPr>
                <w:b/>
                <w:sz w:val="22"/>
                <w:szCs w:val="22"/>
                <w:lang w:val="nl-NL"/>
              </w:rPr>
            </w:pPr>
            <w:r w:rsidRPr="006234AA">
              <w:rPr>
                <w:b/>
                <w:sz w:val="22"/>
                <w:szCs w:val="22"/>
                <w:lang w:val="nl-NL"/>
              </w:rPr>
              <w:t>Tăng</w:t>
            </w:r>
          </w:p>
        </w:tc>
        <w:tc>
          <w:tcPr>
            <w:tcW w:w="922" w:type="dxa"/>
            <w:tcBorders>
              <w:top w:val="single" w:sz="4" w:space="0" w:color="auto"/>
              <w:left w:val="single" w:sz="4" w:space="0" w:color="auto"/>
              <w:bottom w:val="single" w:sz="4" w:space="0" w:color="auto"/>
            </w:tcBorders>
            <w:vAlign w:val="center"/>
          </w:tcPr>
          <w:p w:rsidR="0049588C" w:rsidRPr="006234AA" w:rsidRDefault="0049588C" w:rsidP="003C0546">
            <w:pPr>
              <w:spacing w:after="120"/>
              <w:ind w:firstLine="0"/>
              <w:jc w:val="center"/>
              <w:rPr>
                <w:b/>
                <w:sz w:val="22"/>
                <w:szCs w:val="22"/>
                <w:lang w:val="nl-NL"/>
              </w:rPr>
            </w:pPr>
            <w:r w:rsidRPr="006234AA">
              <w:rPr>
                <w:b/>
                <w:sz w:val="22"/>
                <w:szCs w:val="22"/>
                <w:lang w:val="nl-NL"/>
              </w:rPr>
              <w:t>Giảm</w:t>
            </w:r>
          </w:p>
        </w:tc>
        <w:tc>
          <w:tcPr>
            <w:tcW w:w="1275" w:type="dxa"/>
            <w:vMerge/>
            <w:tcBorders>
              <w:bottom w:val="single" w:sz="4" w:space="0" w:color="auto"/>
            </w:tcBorders>
            <w:vAlign w:val="center"/>
          </w:tcPr>
          <w:p w:rsidR="0049588C" w:rsidRPr="006234AA" w:rsidRDefault="0049588C" w:rsidP="003C0546">
            <w:pPr>
              <w:spacing w:after="120"/>
              <w:jc w:val="center"/>
              <w:rPr>
                <w:b/>
                <w:lang w:val="nl-NL"/>
              </w:rPr>
            </w:pPr>
          </w:p>
        </w:tc>
      </w:tr>
      <w:tr w:rsidR="0049588C" w:rsidRPr="006234AA" w:rsidTr="00A15B69">
        <w:tc>
          <w:tcPr>
            <w:tcW w:w="280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D36937">
            <w:pPr>
              <w:pStyle w:val="ListParagraph"/>
              <w:numPr>
                <w:ilvl w:val="0"/>
                <w:numId w:val="30"/>
              </w:numPr>
              <w:spacing w:after="120"/>
              <w:ind w:left="336"/>
              <w:contextualSpacing/>
              <w:jc w:val="left"/>
              <w:rPr>
                <w:rFonts w:ascii=".VnTime" w:hAnsi=".VnTime" w:cs=".VnTime"/>
              </w:rPr>
            </w:pPr>
            <w:r w:rsidRPr="006234AA">
              <w:t>Trụ sở chính</w:t>
            </w:r>
          </w:p>
          <w:p w:rsidR="0049588C" w:rsidRPr="006234AA" w:rsidRDefault="0049588C" w:rsidP="00D36937">
            <w:pPr>
              <w:pStyle w:val="ListParagraph"/>
              <w:numPr>
                <w:ilvl w:val="0"/>
                <w:numId w:val="29"/>
              </w:numPr>
              <w:spacing w:after="120"/>
              <w:ind w:left="336" w:hanging="238"/>
              <w:contextualSpacing/>
              <w:jc w:val="left"/>
              <w:rPr>
                <w:rFonts w:ascii=".VnTime" w:hAnsi=".VnTime" w:cs=".VnTime"/>
              </w:rPr>
            </w:pPr>
            <w:r w:rsidRPr="006234AA">
              <w:t>Ban Giám đốc:</w:t>
            </w:r>
          </w:p>
          <w:p w:rsidR="0049588C" w:rsidRPr="006234AA" w:rsidRDefault="0049588C" w:rsidP="00D36937">
            <w:pPr>
              <w:pStyle w:val="ListParagraph"/>
              <w:numPr>
                <w:ilvl w:val="0"/>
                <w:numId w:val="29"/>
              </w:numPr>
              <w:spacing w:after="120"/>
              <w:ind w:left="336" w:hanging="238"/>
              <w:contextualSpacing/>
              <w:jc w:val="left"/>
              <w:rPr>
                <w:rFonts w:ascii=".VnTime" w:hAnsi=".VnTime" w:cs=".VnTime"/>
              </w:rPr>
            </w:pPr>
            <w:r w:rsidRPr="006234AA">
              <w:t>Bộ phận môi giới:</w:t>
            </w:r>
          </w:p>
          <w:p w:rsidR="0049588C" w:rsidRPr="006234AA" w:rsidRDefault="0049588C" w:rsidP="00D36937">
            <w:pPr>
              <w:pStyle w:val="ListParagraph"/>
              <w:numPr>
                <w:ilvl w:val="0"/>
                <w:numId w:val="29"/>
              </w:numPr>
              <w:spacing w:after="120"/>
              <w:ind w:left="336" w:hanging="238"/>
              <w:contextualSpacing/>
              <w:jc w:val="left"/>
              <w:rPr>
                <w:rFonts w:ascii=".VnTime" w:hAnsi=".VnTime" w:cs=".VnTime"/>
              </w:rPr>
            </w:pPr>
            <w:r w:rsidRPr="006234AA">
              <w:t>Bộ phận tự doanh</w:t>
            </w:r>
          </w:p>
          <w:p w:rsidR="0049588C" w:rsidRPr="006234AA" w:rsidRDefault="0049588C" w:rsidP="00D36937">
            <w:pPr>
              <w:pStyle w:val="ListParagraph"/>
              <w:numPr>
                <w:ilvl w:val="0"/>
                <w:numId w:val="29"/>
              </w:numPr>
              <w:spacing w:after="120"/>
              <w:ind w:left="336" w:hanging="238"/>
              <w:contextualSpacing/>
              <w:jc w:val="left"/>
              <w:rPr>
                <w:rFonts w:ascii=".VnTime" w:hAnsi=".VnTime" w:cs=".VnTime"/>
              </w:rPr>
            </w:pPr>
            <w:r w:rsidRPr="006234AA">
              <w:t>Bộ phận bảo lãnh phát hành</w:t>
            </w:r>
          </w:p>
          <w:p w:rsidR="0049588C" w:rsidRPr="006234AA" w:rsidRDefault="0049588C" w:rsidP="00D36937">
            <w:pPr>
              <w:pStyle w:val="ListParagraph"/>
              <w:numPr>
                <w:ilvl w:val="0"/>
                <w:numId w:val="29"/>
              </w:numPr>
              <w:spacing w:after="120"/>
              <w:ind w:left="336" w:hanging="238"/>
              <w:contextualSpacing/>
              <w:jc w:val="left"/>
              <w:rPr>
                <w:rFonts w:ascii=".VnTime" w:hAnsi=".VnTime" w:cs=".VnTime"/>
              </w:rPr>
            </w:pPr>
            <w:r w:rsidRPr="006234AA">
              <w:t>Bộ phận tư vấn đầu tư</w:t>
            </w: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921"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92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r>
      <w:tr w:rsidR="0049588C" w:rsidRPr="006234AA" w:rsidTr="00A15B69">
        <w:tc>
          <w:tcPr>
            <w:tcW w:w="280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D36937">
            <w:pPr>
              <w:pStyle w:val="ListParagraph"/>
              <w:numPr>
                <w:ilvl w:val="0"/>
                <w:numId w:val="30"/>
              </w:numPr>
              <w:spacing w:after="120"/>
              <w:ind w:left="336"/>
              <w:contextualSpacing/>
              <w:jc w:val="left"/>
              <w:rPr>
                <w:rFonts w:ascii=".VnTime" w:hAnsi=".VnTime" w:cs=".VnTime"/>
              </w:rPr>
            </w:pPr>
            <w:r w:rsidRPr="006234AA">
              <w:t>Chi nhánh</w:t>
            </w:r>
          </w:p>
          <w:p w:rsidR="0049588C" w:rsidRPr="006234AA" w:rsidRDefault="0049588C" w:rsidP="00D36937">
            <w:pPr>
              <w:pStyle w:val="ListParagraph"/>
              <w:numPr>
                <w:ilvl w:val="0"/>
                <w:numId w:val="31"/>
              </w:numPr>
              <w:spacing w:after="120"/>
              <w:ind w:left="350" w:hanging="238"/>
              <w:contextualSpacing/>
              <w:jc w:val="left"/>
              <w:rPr>
                <w:rFonts w:ascii=".VnTime" w:hAnsi=".VnTime" w:cs=".VnTime"/>
              </w:rPr>
            </w:pPr>
            <w:r w:rsidRPr="006234AA">
              <w:t>Chi nhánh....(tên chi nhánh):</w:t>
            </w:r>
          </w:p>
          <w:p w:rsidR="0049588C" w:rsidRPr="006234AA" w:rsidRDefault="0049588C" w:rsidP="00D36937">
            <w:pPr>
              <w:pStyle w:val="ListParagraph"/>
              <w:numPr>
                <w:ilvl w:val="0"/>
                <w:numId w:val="26"/>
              </w:numPr>
              <w:tabs>
                <w:tab w:val="clear" w:pos="720"/>
              </w:tabs>
              <w:spacing w:after="120"/>
              <w:ind w:left="588" w:hanging="228"/>
              <w:contextualSpacing/>
              <w:jc w:val="left"/>
              <w:rPr>
                <w:rFonts w:ascii=".VnTime" w:hAnsi=".VnTime" w:cs=".VnTime"/>
              </w:rPr>
            </w:pPr>
            <w:r w:rsidRPr="006234AA">
              <w:t>Giám đốc chi nhánh</w:t>
            </w:r>
          </w:p>
          <w:p w:rsidR="0049588C" w:rsidRPr="006234AA" w:rsidRDefault="0049588C" w:rsidP="00D36937">
            <w:pPr>
              <w:pStyle w:val="ListParagraph"/>
              <w:numPr>
                <w:ilvl w:val="0"/>
                <w:numId w:val="26"/>
              </w:numPr>
              <w:tabs>
                <w:tab w:val="clear" w:pos="720"/>
              </w:tabs>
              <w:spacing w:after="120"/>
              <w:ind w:left="588" w:hanging="228"/>
              <w:contextualSpacing/>
              <w:jc w:val="left"/>
              <w:rPr>
                <w:rFonts w:ascii=".VnTime" w:hAnsi=".VnTime" w:cs=".VnTime"/>
              </w:rPr>
            </w:pPr>
            <w:r w:rsidRPr="006234AA">
              <w:lastRenderedPageBreak/>
              <w:t>Bộ phận môi giới</w:t>
            </w:r>
          </w:p>
          <w:p w:rsidR="0049588C" w:rsidRPr="006234AA" w:rsidRDefault="0049588C" w:rsidP="00D36937">
            <w:pPr>
              <w:pStyle w:val="ListParagraph"/>
              <w:numPr>
                <w:ilvl w:val="0"/>
                <w:numId w:val="26"/>
              </w:numPr>
              <w:tabs>
                <w:tab w:val="clear" w:pos="720"/>
              </w:tabs>
              <w:spacing w:after="120"/>
              <w:ind w:left="588" w:hanging="228"/>
              <w:contextualSpacing/>
              <w:jc w:val="left"/>
              <w:rPr>
                <w:rFonts w:ascii=".VnTime" w:hAnsi=".VnTime" w:cs=".VnTime"/>
              </w:rPr>
            </w:pPr>
            <w:r w:rsidRPr="006234AA">
              <w:t>Bộ phận tư vấn</w:t>
            </w:r>
          </w:p>
          <w:p w:rsidR="0049588C" w:rsidRPr="006234AA" w:rsidRDefault="0049588C" w:rsidP="00D36937">
            <w:pPr>
              <w:pStyle w:val="ListParagraph"/>
              <w:numPr>
                <w:ilvl w:val="0"/>
                <w:numId w:val="31"/>
              </w:numPr>
              <w:spacing w:after="120"/>
              <w:ind w:left="350" w:hanging="238"/>
              <w:contextualSpacing/>
              <w:jc w:val="left"/>
              <w:rPr>
                <w:rFonts w:ascii=".VnTime" w:hAnsi=".VnTime" w:cs=".VnTime"/>
              </w:rPr>
            </w:pPr>
            <w:r w:rsidRPr="006234AA">
              <w:t>Chi nhánh...(tên chi nhánh</w:t>
            </w:r>
          </w:p>
          <w:p w:rsidR="0049588C" w:rsidRPr="006234AA" w:rsidRDefault="0049588C" w:rsidP="00D36937">
            <w:pPr>
              <w:pStyle w:val="ListParagraph"/>
              <w:numPr>
                <w:ilvl w:val="0"/>
                <w:numId w:val="26"/>
              </w:numPr>
              <w:tabs>
                <w:tab w:val="clear" w:pos="720"/>
              </w:tabs>
              <w:spacing w:after="120"/>
              <w:ind w:left="588" w:hanging="228"/>
              <w:contextualSpacing/>
              <w:jc w:val="left"/>
              <w:rPr>
                <w:rFonts w:ascii=".VnTime" w:hAnsi=".VnTime" w:cs=".VnTime"/>
              </w:rPr>
            </w:pPr>
            <w:r w:rsidRPr="006234AA">
              <w:t>Giám đốc chi nhánh</w:t>
            </w:r>
          </w:p>
          <w:p w:rsidR="0049588C" w:rsidRPr="006234AA" w:rsidRDefault="0049588C" w:rsidP="00D36937">
            <w:pPr>
              <w:pStyle w:val="ListParagraph"/>
              <w:numPr>
                <w:ilvl w:val="0"/>
                <w:numId w:val="26"/>
              </w:numPr>
              <w:tabs>
                <w:tab w:val="clear" w:pos="720"/>
              </w:tabs>
              <w:spacing w:after="120"/>
              <w:ind w:left="588" w:hanging="228"/>
              <w:contextualSpacing/>
              <w:jc w:val="left"/>
              <w:rPr>
                <w:rFonts w:ascii=".VnTime" w:hAnsi=".VnTime" w:cs=".VnTime"/>
              </w:rPr>
            </w:pPr>
            <w:r w:rsidRPr="006234AA">
              <w:t>Bộ phận môi giới</w:t>
            </w:r>
          </w:p>
          <w:p w:rsidR="0049588C" w:rsidRPr="006234AA" w:rsidRDefault="0049588C" w:rsidP="00D36937">
            <w:pPr>
              <w:pStyle w:val="ListParagraph"/>
              <w:numPr>
                <w:ilvl w:val="0"/>
                <w:numId w:val="26"/>
              </w:numPr>
              <w:tabs>
                <w:tab w:val="clear" w:pos="720"/>
              </w:tabs>
              <w:spacing w:after="120"/>
              <w:ind w:left="588" w:hanging="228"/>
              <w:contextualSpacing/>
              <w:jc w:val="left"/>
              <w:rPr>
                <w:rFonts w:ascii=".VnTime" w:hAnsi=".VnTime" w:cs=".VnTime"/>
              </w:rPr>
            </w:pPr>
            <w:r w:rsidRPr="006234AA">
              <w:t>Bộ phận tư vấn</w:t>
            </w: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921"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92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r>
      <w:tr w:rsidR="0049588C" w:rsidRPr="006234AA" w:rsidTr="00A15B69">
        <w:tc>
          <w:tcPr>
            <w:tcW w:w="280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D36937">
            <w:pPr>
              <w:pStyle w:val="ListParagraph"/>
              <w:numPr>
                <w:ilvl w:val="0"/>
                <w:numId w:val="30"/>
              </w:numPr>
              <w:spacing w:after="120"/>
              <w:ind w:left="336"/>
              <w:contextualSpacing/>
              <w:jc w:val="left"/>
              <w:rPr>
                <w:rFonts w:ascii=".VnTime" w:hAnsi=".VnTime" w:cs=".VnTime"/>
              </w:rPr>
            </w:pPr>
            <w:r w:rsidRPr="006234AA">
              <w:lastRenderedPageBreak/>
              <w:t>Phòng giao dịch</w:t>
            </w:r>
          </w:p>
          <w:p w:rsidR="0049588C" w:rsidRPr="006234AA" w:rsidRDefault="0049588C" w:rsidP="003C0546">
            <w:pPr>
              <w:pStyle w:val="ListParagraph"/>
              <w:spacing w:after="120"/>
              <w:ind w:left="350" w:hanging="224"/>
            </w:pPr>
            <w:r w:rsidRPr="006234AA">
              <w:t>1. Phòng giao dịch...(tên phòng giao dịch)</w:t>
            </w:r>
          </w:p>
          <w:p w:rsidR="0049588C" w:rsidRPr="006234AA" w:rsidRDefault="0049588C" w:rsidP="003C0546">
            <w:pPr>
              <w:pStyle w:val="ListParagraph"/>
              <w:spacing w:after="120"/>
              <w:ind w:left="350" w:hanging="224"/>
            </w:pPr>
            <w:r w:rsidRPr="006234AA">
              <w:t>2. Phòng giao dịch...(tên phòng giao dịch)</w:t>
            </w: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921"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92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jc w:val="center"/>
              <w:rPr>
                <w:b/>
                <w:lang w:val="nl-NL"/>
              </w:rPr>
            </w:pPr>
          </w:p>
        </w:tc>
      </w:tr>
      <w:tr w:rsidR="0049588C" w:rsidRPr="006234AA" w:rsidTr="00A15B69">
        <w:tc>
          <w:tcPr>
            <w:tcW w:w="280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r w:rsidRPr="006234AA">
              <w:rPr>
                <w:b/>
                <w:lang w:val="nl-NL"/>
              </w:rPr>
              <w:t>Bộ phận khác</w:t>
            </w: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c>
          <w:tcPr>
            <w:tcW w:w="921"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c>
          <w:tcPr>
            <w:tcW w:w="92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r>
      <w:tr w:rsidR="0049588C" w:rsidRPr="006234AA" w:rsidTr="00A15B69">
        <w:tc>
          <w:tcPr>
            <w:tcW w:w="280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r w:rsidRPr="006234AA">
              <w:rPr>
                <w:b/>
                <w:lang w:val="nl-NL"/>
              </w:rPr>
              <w:t>Tổng số</w:t>
            </w: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c>
          <w:tcPr>
            <w:tcW w:w="921"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c>
          <w:tcPr>
            <w:tcW w:w="92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rPr>
                <w:b/>
                <w:lang w:val="nl-NL"/>
              </w:rPr>
            </w:pPr>
          </w:p>
        </w:tc>
      </w:tr>
    </w:tbl>
    <w:p w:rsidR="0049588C" w:rsidRPr="006234AA" w:rsidRDefault="0049588C" w:rsidP="003C0546">
      <w:pPr>
        <w:spacing w:after="120"/>
        <w:ind w:firstLine="0"/>
        <w:rPr>
          <w:b/>
          <w:i/>
        </w:rPr>
      </w:pPr>
      <w:r w:rsidRPr="006234AA">
        <w:rPr>
          <w:b/>
          <w:i/>
        </w:rPr>
        <w:t>2. Tình hình cổ đông/thành viên góp vốn nắm giữ từ 5% vốn điều lệ của công ty chứng khoán*</w:t>
      </w:r>
    </w:p>
    <w:tbl>
      <w:tblPr>
        <w:tblStyle w:val="TableGrid"/>
        <w:tblW w:w="9281" w:type="dxa"/>
        <w:tblInd w:w="108" w:type="dxa"/>
        <w:tblLayout w:type="fixed"/>
        <w:tblLook w:val="04A0"/>
      </w:tblPr>
      <w:tblGrid>
        <w:gridCol w:w="590"/>
        <w:gridCol w:w="1395"/>
        <w:gridCol w:w="1209"/>
        <w:gridCol w:w="823"/>
        <w:gridCol w:w="657"/>
        <w:gridCol w:w="1181"/>
        <w:gridCol w:w="1091"/>
        <w:gridCol w:w="1185"/>
        <w:gridCol w:w="1150"/>
      </w:tblGrid>
      <w:tr w:rsidR="0049588C" w:rsidRPr="006234AA" w:rsidTr="00A15B69">
        <w:tc>
          <w:tcPr>
            <w:tcW w:w="590" w:type="dxa"/>
            <w:vMerge w:val="restart"/>
          </w:tcPr>
          <w:p w:rsidR="0049588C" w:rsidRPr="006234AA" w:rsidRDefault="0049588C" w:rsidP="003C0546">
            <w:pPr>
              <w:spacing w:after="120"/>
              <w:ind w:firstLine="0"/>
              <w:jc w:val="left"/>
              <w:rPr>
                <w:b/>
                <w:lang w:val="nl-NL"/>
              </w:rPr>
            </w:pPr>
            <w:r w:rsidRPr="006234AA">
              <w:rPr>
                <w:b/>
                <w:lang w:val="nl-NL"/>
              </w:rPr>
              <w:t>TT</w:t>
            </w:r>
          </w:p>
        </w:tc>
        <w:tc>
          <w:tcPr>
            <w:tcW w:w="4084" w:type="dxa"/>
            <w:gridSpan w:val="4"/>
          </w:tcPr>
          <w:p w:rsidR="0049588C" w:rsidRPr="006234AA" w:rsidRDefault="0049588C" w:rsidP="003C0546">
            <w:pPr>
              <w:spacing w:after="120"/>
              <w:ind w:firstLine="0"/>
              <w:jc w:val="left"/>
              <w:rPr>
                <w:b/>
                <w:lang w:val="nl-NL"/>
              </w:rPr>
            </w:pPr>
            <w:r w:rsidRPr="006234AA">
              <w:rPr>
                <w:b/>
                <w:lang w:val="nl-NL"/>
              </w:rPr>
              <w:t>Thông tin về cổ đông</w:t>
            </w:r>
          </w:p>
        </w:tc>
        <w:tc>
          <w:tcPr>
            <w:tcW w:w="4607" w:type="dxa"/>
            <w:gridSpan w:val="4"/>
          </w:tcPr>
          <w:p w:rsidR="0049588C" w:rsidRPr="006234AA" w:rsidRDefault="0049588C" w:rsidP="003C0546">
            <w:pPr>
              <w:spacing w:after="120"/>
              <w:ind w:firstLine="0"/>
              <w:jc w:val="left"/>
              <w:rPr>
                <w:b/>
                <w:lang w:val="nl-NL"/>
              </w:rPr>
            </w:pPr>
            <w:r w:rsidRPr="006234AA">
              <w:rPr>
                <w:b/>
                <w:lang w:val="nl-NL"/>
              </w:rPr>
              <w:t>Thông tin về tỷ lệ nắm giữ</w:t>
            </w:r>
          </w:p>
        </w:tc>
      </w:tr>
      <w:tr w:rsidR="0049588C" w:rsidRPr="006234AA" w:rsidTr="00A15B69">
        <w:tc>
          <w:tcPr>
            <w:tcW w:w="590" w:type="dxa"/>
            <w:vMerge/>
          </w:tcPr>
          <w:p w:rsidR="0049588C" w:rsidRPr="006234AA" w:rsidRDefault="0049588C" w:rsidP="003C0546">
            <w:pPr>
              <w:spacing w:after="120"/>
              <w:jc w:val="left"/>
              <w:rPr>
                <w:lang w:val="nl-NL"/>
              </w:rPr>
            </w:pPr>
          </w:p>
        </w:tc>
        <w:tc>
          <w:tcPr>
            <w:tcW w:w="1395" w:type="dxa"/>
            <w:vMerge w:val="restart"/>
          </w:tcPr>
          <w:p w:rsidR="0049588C" w:rsidRPr="006234AA" w:rsidRDefault="0049588C" w:rsidP="003C0546">
            <w:pPr>
              <w:spacing w:after="120"/>
              <w:ind w:firstLine="0"/>
              <w:jc w:val="center"/>
              <w:rPr>
                <w:lang w:val="nl-NL"/>
              </w:rPr>
            </w:pPr>
            <w:r w:rsidRPr="006234AA">
              <w:rPr>
                <w:lang w:val="nl-NL"/>
              </w:rPr>
              <w:t>Họ và tên (cá nhân)/ Tên công ty (pháp nhân)</w:t>
            </w:r>
          </w:p>
        </w:tc>
        <w:tc>
          <w:tcPr>
            <w:tcW w:w="1209" w:type="dxa"/>
            <w:vMerge w:val="restart"/>
          </w:tcPr>
          <w:p w:rsidR="0049588C" w:rsidRPr="006234AA" w:rsidRDefault="0049588C" w:rsidP="003C0546">
            <w:pPr>
              <w:spacing w:after="120"/>
              <w:ind w:firstLine="0"/>
              <w:jc w:val="center"/>
              <w:rPr>
                <w:lang w:val="nl-NL"/>
              </w:rPr>
            </w:pPr>
            <w:r w:rsidRPr="006234AA">
              <w:rPr>
                <w:lang w:val="nl-NL"/>
              </w:rPr>
              <w:t>Số giấy CMND/số Giấy CNĐKKD</w:t>
            </w:r>
          </w:p>
        </w:tc>
        <w:tc>
          <w:tcPr>
            <w:tcW w:w="823" w:type="dxa"/>
            <w:vMerge w:val="restart"/>
          </w:tcPr>
          <w:p w:rsidR="0049588C" w:rsidRPr="006234AA" w:rsidRDefault="0049588C" w:rsidP="003C0546">
            <w:pPr>
              <w:spacing w:after="120"/>
              <w:ind w:firstLine="0"/>
              <w:jc w:val="center"/>
              <w:rPr>
                <w:lang w:val="nl-NL"/>
              </w:rPr>
            </w:pPr>
            <w:r w:rsidRPr="006234AA">
              <w:rPr>
                <w:lang w:val="nl-NL"/>
              </w:rPr>
              <w:t>Ngày cấp</w:t>
            </w:r>
          </w:p>
        </w:tc>
        <w:tc>
          <w:tcPr>
            <w:tcW w:w="657" w:type="dxa"/>
            <w:vMerge w:val="restart"/>
          </w:tcPr>
          <w:p w:rsidR="0049588C" w:rsidRPr="006234AA" w:rsidRDefault="0049588C" w:rsidP="003C0546">
            <w:pPr>
              <w:spacing w:after="120"/>
              <w:ind w:firstLine="0"/>
              <w:jc w:val="center"/>
              <w:rPr>
                <w:lang w:val="nl-NL"/>
              </w:rPr>
            </w:pPr>
            <w:r w:rsidRPr="006234AA">
              <w:rPr>
                <w:lang w:val="nl-NL"/>
              </w:rPr>
              <w:t>Địa chỉ</w:t>
            </w:r>
          </w:p>
        </w:tc>
        <w:tc>
          <w:tcPr>
            <w:tcW w:w="2272" w:type="dxa"/>
            <w:gridSpan w:val="2"/>
          </w:tcPr>
          <w:p w:rsidR="0049588C" w:rsidRPr="006234AA" w:rsidRDefault="0049588C" w:rsidP="003C0546">
            <w:pPr>
              <w:spacing w:after="120"/>
              <w:ind w:firstLine="0"/>
              <w:jc w:val="center"/>
              <w:rPr>
                <w:lang w:val="nl-NL"/>
              </w:rPr>
            </w:pPr>
            <w:r w:rsidRPr="006234AA">
              <w:rPr>
                <w:lang w:val="nl-NL"/>
              </w:rPr>
              <w:t>Đầu tháng</w:t>
            </w:r>
          </w:p>
        </w:tc>
        <w:tc>
          <w:tcPr>
            <w:tcW w:w="2335" w:type="dxa"/>
            <w:gridSpan w:val="2"/>
          </w:tcPr>
          <w:p w:rsidR="0049588C" w:rsidRPr="006234AA" w:rsidRDefault="0049588C" w:rsidP="003C0546">
            <w:pPr>
              <w:spacing w:after="120"/>
              <w:ind w:firstLine="0"/>
              <w:jc w:val="center"/>
              <w:rPr>
                <w:lang w:val="nl-NL"/>
              </w:rPr>
            </w:pPr>
            <w:r w:rsidRPr="006234AA">
              <w:rPr>
                <w:lang w:val="nl-NL"/>
              </w:rPr>
              <w:t>Cuối tháng</w:t>
            </w:r>
          </w:p>
        </w:tc>
      </w:tr>
      <w:tr w:rsidR="0049588C" w:rsidRPr="006234AA" w:rsidTr="00A15B69">
        <w:tc>
          <w:tcPr>
            <w:tcW w:w="590" w:type="dxa"/>
            <w:vMerge/>
          </w:tcPr>
          <w:p w:rsidR="0049588C" w:rsidRPr="006234AA" w:rsidRDefault="0049588C" w:rsidP="003C0546">
            <w:pPr>
              <w:spacing w:after="120"/>
              <w:jc w:val="left"/>
              <w:rPr>
                <w:lang w:val="nl-NL"/>
              </w:rPr>
            </w:pPr>
          </w:p>
        </w:tc>
        <w:tc>
          <w:tcPr>
            <w:tcW w:w="1395" w:type="dxa"/>
            <w:vMerge/>
          </w:tcPr>
          <w:p w:rsidR="0049588C" w:rsidRPr="006234AA" w:rsidRDefault="0049588C" w:rsidP="003C0546">
            <w:pPr>
              <w:spacing w:after="120"/>
              <w:jc w:val="center"/>
              <w:rPr>
                <w:lang w:val="nl-NL"/>
              </w:rPr>
            </w:pPr>
          </w:p>
        </w:tc>
        <w:tc>
          <w:tcPr>
            <w:tcW w:w="1209" w:type="dxa"/>
            <w:vMerge/>
          </w:tcPr>
          <w:p w:rsidR="0049588C" w:rsidRPr="006234AA" w:rsidRDefault="0049588C" w:rsidP="003C0546">
            <w:pPr>
              <w:spacing w:after="120"/>
              <w:jc w:val="center"/>
              <w:rPr>
                <w:lang w:val="nl-NL"/>
              </w:rPr>
            </w:pPr>
          </w:p>
        </w:tc>
        <w:tc>
          <w:tcPr>
            <w:tcW w:w="823" w:type="dxa"/>
            <w:vMerge/>
          </w:tcPr>
          <w:p w:rsidR="0049588C" w:rsidRPr="006234AA" w:rsidRDefault="0049588C" w:rsidP="003C0546">
            <w:pPr>
              <w:spacing w:after="120"/>
              <w:jc w:val="center"/>
              <w:rPr>
                <w:lang w:val="nl-NL"/>
              </w:rPr>
            </w:pPr>
          </w:p>
        </w:tc>
        <w:tc>
          <w:tcPr>
            <w:tcW w:w="657" w:type="dxa"/>
            <w:vMerge/>
          </w:tcPr>
          <w:p w:rsidR="0049588C" w:rsidRPr="006234AA" w:rsidRDefault="0049588C" w:rsidP="003C0546">
            <w:pPr>
              <w:spacing w:after="120"/>
              <w:jc w:val="center"/>
              <w:rPr>
                <w:lang w:val="nl-NL"/>
              </w:rPr>
            </w:pPr>
          </w:p>
        </w:tc>
        <w:tc>
          <w:tcPr>
            <w:tcW w:w="1181" w:type="dxa"/>
          </w:tcPr>
          <w:p w:rsidR="0049588C" w:rsidRPr="006234AA" w:rsidRDefault="0049588C" w:rsidP="003C0546">
            <w:pPr>
              <w:spacing w:after="120"/>
              <w:ind w:firstLine="0"/>
              <w:jc w:val="center"/>
              <w:rPr>
                <w:lang w:val="nl-NL"/>
              </w:rPr>
            </w:pPr>
            <w:r w:rsidRPr="006234AA">
              <w:rPr>
                <w:lang w:val="nl-NL"/>
              </w:rPr>
              <w:t>Số lượng cổ phần/ phần vốn góp</w:t>
            </w:r>
          </w:p>
        </w:tc>
        <w:tc>
          <w:tcPr>
            <w:tcW w:w="1091" w:type="dxa"/>
          </w:tcPr>
          <w:p w:rsidR="0049588C" w:rsidRPr="006234AA" w:rsidRDefault="0049588C" w:rsidP="003C0546">
            <w:pPr>
              <w:spacing w:after="120"/>
              <w:ind w:firstLine="0"/>
              <w:jc w:val="center"/>
              <w:rPr>
                <w:lang w:val="nl-NL"/>
              </w:rPr>
            </w:pPr>
            <w:r w:rsidRPr="006234AA">
              <w:rPr>
                <w:lang w:val="nl-NL"/>
              </w:rPr>
              <w:t>Tỷ lệ nắm giữ so với vốn điều lệ</w:t>
            </w:r>
          </w:p>
        </w:tc>
        <w:tc>
          <w:tcPr>
            <w:tcW w:w="1185" w:type="dxa"/>
          </w:tcPr>
          <w:p w:rsidR="0049588C" w:rsidRPr="006234AA" w:rsidRDefault="0049588C" w:rsidP="003C0546">
            <w:pPr>
              <w:spacing w:after="120"/>
              <w:ind w:firstLine="0"/>
              <w:jc w:val="center"/>
              <w:rPr>
                <w:lang w:val="nl-NL"/>
              </w:rPr>
            </w:pPr>
            <w:r w:rsidRPr="006234AA">
              <w:rPr>
                <w:lang w:val="nl-NL"/>
              </w:rPr>
              <w:t>Số lượng cổ phần/ phần vốn góp</w:t>
            </w:r>
          </w:p>
        </w:tc>
        <w:tc>
          <w:tcPr>
            <w:tcW w:w="1150" w:type="dxa"/>
          </w:tcPr>
          <w:p w:rsidR="0049588C" w:rsidRPr="006234AA" w:rsidRDefault="0049588C" w:rsidP="003C0546">
            <w:pPr>
              <w:spacing w:after="120"/>
              <w:ind w:firstLine="0"/>
              <w:jc w:val="center"/>
              <w:rPr>
                <w:lang w:val="nl-NL"/>
              </w:rPr>
            </w:pPr>
            <w:r w:rsidRPr="006234AA">
              <w:rPr>
                <w:lang w:val="nl-NL"/>
              </w:rPr>
              <w:t>Tỷ lệ nắm giữ so với vốn điều lệ</w:t>
            </w:r>
          </w:p>
        </w:tc>
      </w:tr>
      <w:tr w:rsidR="0049588C" w:rsidRPr="006234AA" w:rsidTr="00A15B69">
        <w:tc>
          <w:tcPr>
            <w:tcW w:w="590" w:type="dxa"/>
          </w:tcPr>
          <w:p w:rsidR="0049588C" w:rsidRPr="006234AA" w:rsidRDefault="0049588C" w:rsidP="003C0546">
            <w:pPr>
              <w:spacing w:after="120"/>
              <w:ind w:firstLine="0"/>
              <w:rPr>
                <w:lang w:val="nl-NL"/>
              </w:rPr>
            </w:pPr>
            <w:r w:rsidRPr="006234AA">
              <w:rPr>
                <w:lang w:val="nl-NL"/>
              </w:rPr>
              <w:t>1.</w:t>
            </w:r>
          </w:p>
        </w:tc>
        <w:tc>
          <w:tcPr>
            <w:tcW w:w="1395" w:type="dxa"/>
          </w:tcPr>
          <w:p w:rsidR="0049588C" w:rsidRPr="006234AA" w:rsidRDefault="0049588C" w:rsidP="003C0546">
            <w:pPr>
              <w:spacing w:after="120"/>
              <w:rPr>
                <w:lang w:val="nl-NL"/>
              </w:rPr>
            </w:pPr>
            <w:r w:rsidRPr="006234AA">
              <w:rPr>
                <w:lang w:val="nl-NL"/>
              </w:rPr>
              <w:t>...</w:t>
            </w:r>
          </w:p>
        </w:tc>
        <w:tc>
          <w:tcPr>
            <w:tcW w:w="1209" w:type="dxa"/>
          </w:tcPr>
          <w:p w:rsidR="0049588C" w:rsidRPr="006234AA" w:rsidRDefault="0049588C" w:rsidP="003C0546">
            <w:pPr>
              <w:spacing w:after="120"/>
              <w:rPr>
                <w:lang w:val="nl-NL"/>
              </w:rPr>
            </w:pPr>
          </w:p>
        </w:tc>
        <w:tc>
          <w:tcPr>
            <w:tcW w:w="823" w:type="dxa"/>
          </w:tcPr>
          <w:p w:rsidR="0049588C" w:rsidRPr="006234AA" w:rsidRDefault="0049588C" w:rsidP="003C0546">
            <w:pPr>
              <w:spacing w:after="120"/>
              <w:rPr>
                <w:lang w:val="nl-NL"/>
              </w:rPr>
            </w:pPr>
          </w:p>
        </w:tc>
        <w:tc>
          <w:tcPr>
            <w:tcW w:w="657" w:type="dxa"/>
          </w:tcPr>
          <w:p w:rsidR="0049588C" w:rsidRPr="006234AA" w:rsidRDefault="0049588C" w:rsidP="003C0546">
            <w:pPr>
              <w:spacing w:after="120"/>
              <w:rPr>
                <w:lang w:val="nl-NL"/>
              </w:rPr>
            </w:pPr>
          </w:p>
        </w:tc>
        <w:tc>
          <w:tcPr>
            <w:tcW w:w="1181" w:type="dxa"/>
          </w:tcPr>
          <w:p w:rsidR="0049588C" w:rsidRPr="006234AA" w:rsidRDefault="0049588C" w:rsidP="003C0546">
            <w:pPr>
              <w:spacing w:after="120"/>
              <w:rPr>
                <w:b/>
                <w:lang w:val="nl-NL"/>
              </w:rPr>
            </w:pPr>
          </w:p>
        </w:tc>
        <w:tc>
          <w:tcPr>
            <w:tcW w:w="1091" w:type="dxa"/>
          </w:tcPr>
          <w:p w:rsidR="0049588C" w:rsidRPr="006234AA" w:rsidRDefault="0049588C" w:rsidP="003C0546">
            <w:pPr>
              <w:spacing w:after="120"/>
              <w:rPr>
                <w:b/>
                <w:lang w:val="nl-NL"/>
              </w:rPr>
            </w:pPr>
          </w:p>
        </w:tc>
        <w:tc>
          <w:tcPr>
            <w:tcW w:w="1185" w:type="dxa"/>
          </w:tcPr>
          <w:p w:rsidR="0049588C" w:rsidRPr="006234AA" w:rsidRDefault="0049588C" w:rsidP="003C0546">
            <w:pPr>
              <w:spacing w:after="120"/>
              <w:rPr>
                <w:b/>
                <w:lang w:val="nl-NL"/>
              </w:rPr>
            </w:pPr>
          </w:p>
        </w:tc>
        <w:tc>
          <w:tcPr>
            <w:tcW w:w="1150" w:type="dxa"/>
          </w:tcPr>
          <w:p w:rsidR="0049588C" w:rsidRPr="006234AA" w:rsidRDefault="0049588C" w:rsidP="003C0546">
            <w:pPr>
              <w:spacing w:after="120"/>
              <w:rPr>
                <w:b/>
                <w:lang w:val="nl-NL"/>
              </w:rPr>
            </w:pPr>
          </w:p>
        </w:tc>
      </w:tr>
    </w:tbl>
    <w:p w:rsidR="0049588C" w:rsidRPr="006234AA" w:rsidRDefault="0049588C" w:rsidP="003C0546">
      <w:pPr>
        <w:spacing w:after="120"/>
        <w:rPr>
          <w:i/>
          <w:lang w:val="nl-NL"/>
        </w:rPr>
      </w:pPr>
      <w:r w:rsidRPr="006234AA">
        <w:rPr>
          <w:i/>
          <w:lang w:val="nl-NL"/>
        </w:rPr>
        <w:t>* Công ty chứng khoán một thành viên không phải báo cáo mục này.</w:t>
      </w:r>
    </w:p>
    <w:p w:rsidR="0049588C" w:rsidRPr="006234AA" w:rsidRDefault="0049588C" w:rsidP="003C0546">
      <w:pPr>
        <w:spacing w:after="120"/>
        <w:rPr>
          <w:i/>
          <w:lang w:val="nl-NL"/>
        </w:rPr>
      </w:pPr>
    </w:p>
    <w:p w:rsidR="0049588C" w:rsidRPr="006234AA" w:rsidRDefault="0049588C" w:rsidP="003C0546">
      <w:pPr>
        <w:spacing w:after="120"/>
        <w:ind w:firstLine="0"/>
        <w:rPr>
          <w:b/>
          <w:lang w:val="nl-NL"/>
        </w:rPr>
      </w:pPr>
      <w:r w:rsidRPr="006234AA">
        <w:rPr>
          <w:b/>
          <w:lang w:val="nl-NL"/>
        </w:rPr>
        <w:t>II. Mạng lưới hoạt động:</w:t>
      </w:r>
    </w:p>
    <w:p w:rsidR="0049588C" w:rsidRPr="006234AA" w:rsidRDefault="0049588C" w:rsidP="00D36937">
      <w:pPr>
        <w:numPr>
          <w:ilvl w:val="0"/>
          <w:numId w:val="27"/>
        </w:numPr>
        <w:spacing w:after="120"/>
        <w:ind w:hanging="540"/>
        <w:jc w:val="left"/>
        <w:rPr>
          <w:b/>
          <w:lang w:val="nl-NL"/>
        </w:rPr>
      </w:pPr>
      <w:r w:rsidRPr="006234AA">
        <w:rPr>
          <w:b/>
          <w:lang w:val="nl-NL"/>
        </w:rPr>
        <w:t>Mạng lưới:</w:t>
      </w:r>
    </w:p>
    <w:p w:rsidR="0049588C" w:rsidRPr="006234AA" w:rsidRDefault="0049588C" w:rsidP="003C0546">
      <w:pPr>
        <w:spacing w:after="120"/>
        <w:ind w:left="540"/>
        <w:rPr>
          <w:sz w:val="12"/>
          <w:lang w:val="nl-NL"/>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2676"/>
        <w:gridCol w:w="2091"/>
        <w:gridCol w:w="1867"/>
        <w:gridCol w:w="1853"/>
      </w:tblGrid>
      <w:tr w:rsidR="0049588C" w:rsidRPr="006234AA" w:rsidTr="00A15B69">
        <w:tc>
          <w:tcPr>
            <w:tcW w:w="726" w:type="dxa"/>
          </w:tcPr>
          <w:p w:rsidR="0049588C" w:rsidRPr="006234AA" w:rsidRDefault="0049588C" w:rsidP="003C0546">
            <w:pPr>
              <w:spacing w:after="120"/>
              <w:ind w:firstLine="0"/>
              <w:rPr>
                <w:b/>
                <w:lang w:val="nl-NL"/>
              </w:rPr>
            </w:pPr>
            <w:r w:rsidRPr="006234AA">
              <w:rPr>
                <w:b/>
                <w:lang w:val="nl-NL"/>
              </w:rPr>
              <w:t>TT</w:t>
            </w:r>
          </w:p>
        </w:tc>
        <w:tc>
          <w:tcPr>
            <w:tcW w:w="2676" w:type="dxa"/>
          </w:tcPr>
          <w:p w:rsidR="0049588C" w:rsidRPr="006234AA" w:rsidRDefault="0049588C" w:rsidP="003C0546">
            <w:pPr>
              <w:spacing w:after="120"/>
              <w:ind w:firstLine="0"/>
              <w:rPr>
                <w:b/>
                <w:lang w:val="nl-NL"/>
              </w:rPr>
            </w:pPr>
            <w:r w:rsidRPr="006234AA">
              <w:rPr>
                <w:b/>
                <w:lang w:val="nl-NL"/>
              </w:rPr>
              <w:t>Mạng lưới</w:t>
            </w:r>
          </w:p>
        </w:tc>
        <w:tc>
          <w:tcPr>
            <w:tcW w:w="2091" w:type="dxa"/>
          </w:tcPr>
          <w:p w:rsidR="0049588C" w:rsidRPr="006234AA" w:rsidRDefault="0049588C" w:rsidP="003C0546">
            <w:pPr>
              <w:spacing w:after="120"/>
              <w:ind w:firstLine="0"/>
              <w:rPr>
                <w:b/>
                <w:lang w:val="nl-NL"/>
              </w:rPr>
            </w:pPr>
            <w:r w:rsidRPr="006234AA">
              <w:rPr>
                <w:b/>
                <w:lang w:val="nl-NL"/>
              </w:rPr>
              <w:t>Tên gọi</w:t>
            </w:r>
          </w:p>
        </w:tc>
        <w:tc>
          <w:tcPr>
            <w:tcW w:w="1867" w:type="dxa"/>
          </w:tcPr>
          <w:p w:rsidR="0049588C" w:rsidRPr="006234AA" w:rsidRDefault="0049588C" w:rsidP="003C0546">
            <w:pPr>
              <w:spacing w:after="120"/>
              <w:ind w:firstLine="0"/>
              <w:rPr>
                <w:b/>
                <w:lang w:val="nl-NL"/>
              </w:rPr>
            </w:pPr>
            <w:r w:rsidRPr="006234AA">
              <w:rPr>
                <w:b/>
                <w:lang w:val="nl-NL"/>
              </w:rPr>
              <w:t>Địa điểm</w:t>
            </w:r>
          </w:p>
        </w:tc>
        <w:tc>
          <w:tcPr>
            <w:tcW w:w="1853" w:type="dxa"/>
          </w:tcPr>
          <w:p w:rsidR="0049588C" w:rsidRPr="006234AA" w:rsidRDefault="0049588C" w:rsidP="003C0546">
            <w:pPr>
              <w:spacing w:after="120"/>
              <w:ind w:firstLine="0"/>
              <w:rPr>
                <w:b/>
                <w:lang w:val="nl-NL"/>
              </w:rPr>
            </w:pPr>
            <w:r w:rsidRPr="006234AA">
              <w:rPr>
                <w:b/>
                <w:lang w:val="nl-NL"/>
              </w:rPr>
              <w:t>Ghi chú</w:t>
            </w:r>
          </w:p>
        </w:tc>
      </w:tr>
      <w:tr w:rsidR="0049588C" w:rsidRPr="006234AA" w:rsidTr="00A15B69">
        <w:tc>
          <w:tcPr>
            <w:tcW w:w="726" w:type="dxa"/>
          </w:tcPr>
          <w:p w:rsidR="0049588C" w:rsidRPr="006234AA" w:rsidRDefault="0049588C" w:rsidP="003C0546">
            <w:pPr>
              <w:spacing w:after="120"/>
              <w:ind w:firstLine="0"/>
              <w:rPr>
                <w:lang w:val="nl-NL"/>
              </w:rPr>
            </w:pPr>
            <w:r w:rsidRPr="006234AA">
              <w:rPr>
                <w:lang w:val="nl-NL"/>
              </w:rPr>
              <w:lastRenderedPageBreak/>
              <w:t>1</w:t>
            </w:r>
          </w:p>
        </w:tc>
        <w:tc>
          <w:tcPr>
            <w:tcW w:w="2676" w:type="dxa"/>
          </w:tcPr>
          <w:p w:rsidR="0049588C" w:rsidRPr="006234AA" w:rsidRDefault="0049588C" w:rsidP="003C0546">
            <w:pPr>
              <w:spacing w:after="120"/>
              <w:ind w:firstLine="0"/>
              <w:rPr>
                <w:lang w:val="nl-NL"/>
              </w:rPr>
            </w:pPr>
            <w:r w:rsidRPr="006234AA">
              <w:rPr>
                <w:lang w:val="nl-NL"/>
              </w:rPr>
              <w:t>Chi nhánh</w:t>
            </w:r>
          </w:p>
        </w:tc>
        <w:tc>
          <w:tcPr>
            <w:tcW w:w="2091" w:type="dxa"/>
          </w:tcPr>
          <w:p w:rsidR="0049588C" w:rsidRPr="006234AA" w:rsidRDefault="0049588C" w:rsidP="003C0546">
            <w:pPr>
              <w:spacing w:after="120"/>
              <w:rPr>
                <w:lang w:val="nl-NL"/>
              </w:rPr>
            </w:pPr>
          </w:p>
        </w:tc>
        <w:tc>
          <w:tcPr>
            <w:tcW w:w="1867" w:type="dxa"/>
          </w:tcPr>
          <w:p w:rsidR="0049588C" w:rsidRPr="006234AA" w:rsidRDefault="0049588C" w:rsidP="003C0546">
            <w:pPr>
              <w:spacing w:after="120"/>
              <w:rPr>
                <w:lang w:val="nl-NL"/>
              </w:rPr>
            </w:pPr>
          </w:p>
        </w:tc>
        <w:tc>
          <w:tcPr>
            <w:tcW w:w="1853" w:type="dxa"/>
          </w:tcPr>
          <w:p w:rsidR="0049588C" w:rsidRPr="006234AA" w:rsidRDefault="0049588C" w:rsidP="003C0546">
            <w:pPr>
              <w:spacing w:after="120"/>
              <w:rPr>
                <w:lang w:val="nl-NL"/>
              </w:rPr>
            </w:pPr>
          </w:p>
        </w:tc>
      </w:tr>
      <w:tr w:rsidR="0049588C" w:rsidRPr="006234AA" w:rsidTr="00A15B69">
        <w:tc>
          <w:tcPr>
            <w:tcW w:w="726" w:type="dxa"/>
          </w:tcPr>
          <w:p w:rsidR="0049588C" w:rsidRPr="006234AA" w:rsidRDefault="0049588C" w:rsidP="003C0546">
            <w:pPr>
              <w:spacing w:after="120"/>
              <w:ind w:firstLine="0"/>
              <w:rPr>
                <w:lang w:val="nl-NL"/>
              </w:rPr>
            </w:pPr>
            <w:r w:rsidRPr="006234AA">
              <w:rPr>
                <w:lang w:val="nl-NL"/>
              </w:rPr>
              <w:t>2</w:t>
            </w:r>
          </w:p>
        </w:tc>
        <w:tc>
          <w:tcPr>
            <w:tcW w:w="2676" w:type="dxa"/>
          </w:tcPr>
          <w:p w:rsidR="0049588C" w:rsidRPr="006234AA" w:rsidRDefault="0049588C" w:rsidP="003C0546">
            <w:pPr>
              <w:spacing w:after="120"/>
              <w:ind w:firstLine="0"/>
              <w:rPr>
                <w:lang w:val="nl-NL"/>
              </w:rPr>
            </w:pPr>
            <w:r w:rsidRPr="006234AA">
              <w:rPr>
                <w:lang w:val="nl-NL"/>
              </w:rPr>
              <w:t>Phòng giao dịch</w:t>
            </w:r>
          </w:p>
        </w:tc>
        <w:tc>
          <w:tcPr>
            <w:tcW w:w="2091" w:type="dxa"/>
          </w:tcPr>
          <w:p w:rsidR="0049588C" w:rsidRPr="006234AA" w:rsidRDefault="0049588C" w:rsidP="003C0546">
            <w:pPr>
              <w:spacing w:after="120"/>
              <w:rPr>
                <w:lang w:val="nl-NL"/>
              </w:rPr>
            </w:pPr>
          </w:p>
        </w:tc>
        <w:tc>
          <w:tcPr>
            <w:tcW w:w="1867" w:type="dxa"/>
          </w:tcPr>
          <w:p w:rsidR="0049588C" w:rsidRPr="006234AA" w:rsidRDefault="0049588C" w:rsidP="003C0546">
            <w:pPr>
              <w:spacing w:after="120"/>
              <w:rPr>
                <w:lang w:val="nl-NL"/>
              </w:rPr>
            </w:pPr>
          </w:p>
        </w:tc>
        <w:tc>
          <w:tcPr>
            <w:tcW w:w="1853" w:type="dxa"/>
          </w:tcPr>
          <w:p w:rsidR="0049588C" w:rsidRPr="006234AA" w:rsidRDefault="0049588C" w:rsidP="003C0546">
            <w:pPr>
              <w:spacing w:after="120"/>
              <w:rPr>
                <w:lang w:val="nl-NL"/>
              </w:rPr>
            </w:pPr>
          </w:p>
        </w:tc>
      </w:tr>
      <w:tr w:rsidR="0049588C" w:rsidRPr="006234AA" w:rsidTr="00A15B69">
        <w:tc>
          <w:tcPr>
            <w:tcW w:w="726" w:type="dxa"/>
          </w:tcPr>
          <w:p w:rsidR="0049588C" w:rsidRPr="006234AA" w:rsidRDefault="0049588C" w:rsidP="003C0546">
            <w:pPr>
              <w:spacing w:after="120"/>
              <w:ind w:firstLine="0"/>
              <w:rPr>
                <w:lang w:val="nl-NL"/>
              </w:rPr>
            </w:pPr>
            <w:r w:rsidRPr="006234AA">
              <w:rPr>
                <w:lang w:val="nl-NL"/>
              </w:rPr>
              <w:t>3</w:t>
            </w:r>
          </w:p>
        </w:tc>
        <w:tc>
          <w:tcPr>
            <w:tcW w:w="2676" w:type="dxa"/>
          </w:tcPr>
          <w:p w:rsidR="0049588C" w:rsidRPr="006234AA" w:rsidRDefault="0049588C" w:rsidP="003C0546">
            <w:pPr>
              <w:spacing w:after="120"/>
              <w:ind w:firstLine="0"/>
              <w:rPr>
                <w:lang w:val="nl-NL"/>
              </w:rPr>
            </w:pPr>
            <w:r w:rsidRPr="006234AA">
              <w:rPr>
                <w:lang w:val="nl-NL"/>
              </w:rPr>
              <w:t>Văn phòng đại diện</w:t>
            </w:r>
          </w:p>
        </w:tc>
        <w:tc>
          <w:tcPr>
            <w:tcW w:w="2091" w:type="dxa"/>
          </w:tcPr>
          <w:p w:rsidR="0049588C" w:rsidRPr="006234AA" w:rsidRDefault="0049588C" w:rsidP="003C0546">
            <w:pPr>
              <w:spacing w:after="120"/>
              <w:rPr>
                <w:lang w:val="nl-NL"/>
              </w:rPr>
            </w:pPr>
          </w:p>
        </w:tc>
        <w:tc>
          <w:tcPr>
            <w:tcW w:w="1867" w:type="dxa"/>
          </w:tcPr>
          <w:p w:rsidR="0049588C" w:rsidRPr="006234AA" w:rsidRDefault="0049588C" w:rsidP="003C0546">
            <w:pPr>
              <w:spacing w:after="120"/>
              <w:rPr>
                <w:lang w:val="nl-NL"/>
              </w:rPr>
            </w:pPr>
          </w:p>
        </w:tc>
        <w:tc>
          <w:tcPr>
            <w:tcW w:w="1853" w:type="dxa"/>
          </w:tcPr>
          <w:p w:rsidR="0049588C" w:rsidRPr="006234AA" w:rsidRDefault="0049588C" w:rsidP="003C0546">
            <w:pPr>
              <w:spacing w:after="120"/>
              <w:rPr>
                <w:lang w:val="nl-NL"/>
              </w:rPr>
            </w:pPr>
          </w:p>
        </w:tc>
      </w:tr>
    </w:tbl>
    <w:p w:rsidR="0049588C" w:rsidRPr="006234AA" w:rsidRDefault="0049588C" w:rsidP="003C0546">
      <w:pPr>
        <w:spacing w:after="120"/>
        <w:rPr>
          <w:lang w:val="nl-NL"/>
        </w:rPr>
      </w:pPr>
    </w:p>
    <w:p w:rsidR="0049588C" w:rsidRPr="006234AA" w:rsidRDefault="0049588C" w:rsidP="00D36937">
      <w:pPr>
        <w:numPr>
          <w:ilvl w:val="0"/>
          <w:numId w:val="27"/>
        </w:numPr>
        <w:spacing w:after="120"/>
        <w:ind w:hanging="540"/>
        <w:jc w:val="left"/>
        <w:rPr>
          <w:b/>
          <w:lang w:val="nl-NL"/>
        </w:rPr>
      </w:pPr>
      <w:r w:rsidRPr="006234AA">
        <w:rPr>
          <w:b/>
          <w:lang w:val="nl-NL"/>
        </w:rPr>
        <w:t>Các thay đổi liên quan trong tháng:</w:t>
      </w:r>
    </w:p>
    <w:tbl>
      <w:tblPr>
        <w:tblW w:w="9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121"/>
        <w:gridCol w:w="1241"/>
        <w:gridCol w:w="1134"/>
        <w:gridCol w:w="1559"/>
        <w:gridCol w:w="1571"/>
      </w:tblGrid>
      <w:tr w:rsidR="0049588C" w:rsidRPr="006234AA" w:rsidTr="00A15B69">
        <w:tc>
          <w:tcPr>
            <w:tcW w:w="600" w:type="dxa"/>
            <w:vAlign w:val="center"/>
          </w:tcPr>
          <w:p w:rsidR="0049588C" w:rsidRPr="006234AA" w:rsidRDefault="0049588C" w:rsidP="003C0546">
            <w:pPr>
              <w:spacing w:after="120"/>
              <w:ind w:firstLine="0"/>
              <w:rPr>
                <w:b/>
                <w:lang w:val="nl-NL"/>
              </w:rPr>
            </w:pPr>
            <w:r w:rsidRPr="006234AA">
              <w:rPr>
                <w:b/>
                <w:lang w:val="nl-NL"/>
              </w:rPr>
              <w:t>TT</w:t>
            </w:r>
          </w:p>
        </w:tc>
        <w:tc>
          <w:tcPr>
            <w:tcW w:w="3121" w:type="dxa"/>
            <w:vAlign w:val="center"/>
          </w:tcPr>
          <w:p w:rsidR="0049588C" w:rsidRPr="006234AA" w:rsidRDefault="0049588C" w:rsidP="003C0546">
            <w:pPr>
              <w:spacing w:after="120"/>
              <w:ind w:firstLine="0"/>
              <w:jc w:val="center"/>
              <w:rPr>
                <w:b/>
                <w:lang w:val="nl-NL"/>
              </w:rPr>
            </w:pPr>
            <w:r w:rsidRPr="006234AA">
              <w:rPr>
                <w:b/>
                <w:lang w:val="nl-NL"/>
              </w:rPr>
              <w:t>Thay đổi</w:t>
            </w:r>
          </w:p>
        </w:tc>
        <w:tc>
          <w:tcPr>
            <w:tcW w:w="1241" w:type="dxa"/>
          </w:tcPr>
          <w:p w:rsidR="0049588C" w:rsidRPr="006234AA" w:rsidRDefault="0049588C" w:rsidP="003C0546">
            <w:pPr>
              <w:spacing w:after="120"/>
              <w:ind w:firstLine="0"/>
              <w:jc w:val="center"/>
              <w:rPr>
                <w:b/>
                <w:lang w:val="nl-NL"/>
              </w:rPr>
            </w:pPr>
            <w:r w:rsidRPr="006234AA">
              <w:rPr>
                <w:b/>
                <w:lang w:val="nl-NL"/>
              </w:rPr>
              <w:t>Trụ sở chính</w:t>
            </w:r>
          </w:p>
        </w:tc>
        <w:tc>
          <w:tcPr>
            <w:tcW w:w="1134" w:type="dxa"/>
            <w:vAlign w:val="center"/>
          </w:tcPr>
          <w:p w:rsidR="0049588C" w:rsidRPr="006234AA" w:rsidRDefault="0049588C" w:rsidP="003C0546">
            <w:pPr>
              <w:spacing w:after="120"/>
              <w:ind w:firstLine="0"/>
              <w:jc w:val="center"/>
              <w:rPr>
                <w:b/>
                <w:lang w:val="nl-NL"/>
              </w:rPr>
            </w:pPr>
            <w:r w:rsidRPr="006234AA">
              <w:rPr>
                <w:b/>
                <w:lang w:val="nl-NL"/>
              </w:rPr>
              <w:t>Chi nhánh</w:t>
            </w:r>
          </w:p>
        </w:tc>
        <w:tc>
          <w:tcPr>
            <w:tcW w:w="1559" w:type="dxa"/>
            <w:vAlign w:val="center"/>
          </w:tcPr>
          <w:p w:rsidR="0049588C" w:rsidRPr="006234AA" w:rsidRDefault="0049588C" w:rsidP="003C0546">
            <w:pPr>
              <w:spacing w:after="120"/>
              <w:ind w:firstLine="0"/>
              <w:jc w:val="center"/>
              <w:rPr>
                <w:b/>
                <w:lang w:val="nl-NL"/>
              </w:rPr>
            </w:pPr>
            <w:r w:rsidRPr="006234AA">
              <w:rPr>
                <w:b/>
                <w:lang w:val="nl-NL"/>
              </w:rPr>
              <w:t>Phòng giao dịch</w:t>
            </w:r>
          </w:p>
        </w:tc>
        <w:tc>
          <w:tcPr>
            <w:tcW w:w="1571" w:type="dxa"/>
            <w:vAlign w:val="center"/>
          </w:tcPr>
          <w:p w:rsidR="0049588C" w:rsidRPr="006234AA" w:rsidRDefault="0049588C" w:rsidP="003C0546">
            <w:pPr>
              <w:spacing w:after="120"/>
              <w:ind w:firstLine="0"/>
              <w:jc w:val="center"/>
              <w:rPr>
                <w:b/>
                <w:lang w:val="nl-NL"/>
              </w:rPr>
            </w:pPr>
            <w:r w:rsidRPr="006234AA">
              <w:rPr>
                <w:b/>
                <w:lang w:val="nl-NL"/>
              </w:rPr>
              <w:t>Văn phòng đại diện</w:t>
            </w:r>
          </w:p>
        </w:tc>
      </w:tr>
      <w:tr w:rsidR="0049588C" w:rsidRPr="006234AA" w:rsidTr="00A15B69">
        <w:tc>
          <w:tcPr>
            <w:tcW w:w="600" w:type="dxa"/>
          </w:tcPr>
          <w:p w:rsidR="0049588C" w:rsidRPr="006234AA" w:rsidRDefault="0049588C" w:rsidP="003C0546">
            <w:pPr>
              <w:spacing w:after="120"/>
              <w:jc w:val="center"/>
              <w:rPr>
                <w:lang w:val="nl-NL"/>
              </w:rPr>
            </w:pPr>
            <w:r w:rsidRPr="006234AA">
              <w:rPr>
                <w:lang w:val="nl-NL"/>
              </w:rPr>
              <w:t>1</w:t>
            </w:r>
          </w:p>
        </w:tc>
        <w:tc>
          <w:tcPr>
            <w:tcW w:w="3121" w:type="dxa"/>
          </w:tcPr>
          <w:p w:rsidR="0049588C" w:rsidRPr="006234AA" w:rsidRDefault="0049588C" w:rsidP="003C0546">
            <w:pPr>
              <w:spacing w:after="120"/>
              <w:ind w:firstLine="0"/>
              <w:rPr>
                <w:lang w:val="nl-NL"/>
              </w:rPr>
            </w:pPr>
            <w:r w:rsidRPr="006234AA">
              <w:rPr>
                <w:lang w:val="nl-NL"/>
              </w:rPr>
              <w:t xml:space="preserve">Địa điểm </w:t>
            </w:r>
          </w:p>
        </w:tc>
        <w:tc>
          <w:tcPr>
            <w:tcW w:w="1241" w:type="dxa"/>
          </w:tcPr>
          <w:p w:rsidR="0049588C" w:rsidRPr="006234AA" w:rsidRDefault="0049588C" w:rsidP="003C0546">
            <w:pPr>
              <w:spacing w:after="120"/>
              <w:rPr>
                <w:lang w:val="nl-NL"/>
              </w:rPr>
            </w:pPr>
          </w:p>
        </w:tc>
        <w:tc>
          <w:tcPr>
            <w:tcW w:w="1134" w:type="dxa"/>
          </w:tcPr>
          <w:p w:rsidR="0049588C" w:rsidRPr="006234AA" w:rsidRDefault="0049588C" w:rsidP="003C0546">
            <w:pPr>
              <w:spacing w:after="120"/>
              <w:rPr>
                <w:lang w:val="nl-NL"/>
              </w:rPr>
            </w:pPr>
          </w:p>
        </w:tc>
        <w:tc>
          <w:tcPr>
            <w:tcW w:w="1559" w:type="dxa"/>
          </w:tcPr>
          <w:p w:rsidR="0049588C" w:rsidRPr="006234AA" w:rsidRDefault="0049588C" w:rsidP="003C0546">
            <w:pPr>
              <w:spacing w:after="120"/>
              <w:rPr>
                <w:lang w:val="nl-NL"/>
              </w:rPr>
            </w:pPr>
          </w:p>
        </w:tc>
        <w:tc>
          <w:tcPr>
            <w:tcW w:w="1571" w:type="dxa"/>
          </w:tcPr>
          <w:p w:rsidR="0049588C" w:rsidRPr="006234AA" w:rsidRDefault="0049588C" w:rsidP="003C0546">
            <w:pPr>
              <w:spacing w:after="120"/>
              <w:rPr>
                <w:lang w:val="nl-NL"/>
              </w:rPr>
            </w:pPr>
          </w:p>
        </w:tc>
      </w:tr>
      <w:tr w:rsidR="0049588C" w:rsidRPr="006234AA" w:rsidTr="00A15B69">
        <w:tc>
          <w:tcPr>
            <w:tcW w:w="600" w:type="dxa"/>
          </w:tcPr>
          <w:p w:rsidR="0049588C" w:rsidRPr="006234AA" w:rsidRDefault="0049588C" w:rsidP="003C0546">
            <w:pPr>
              <w:spacing w:after="120"/>
              <w:jc w:val="center"/>
              <w:rPr>
                <w:lang w:val="nl-NL"/>
              </w:rPr>
            </w:pPr>
            <w:r w:rsidRPr="006234AA">
              <w:rPr>
                <w:lang w:val="nl-NL"/>
              </w:rPr>
              <w:t>2</w:t>
            </w:r>
          </w:p>
        </w:tc>
        <w:tc>
          <w:tcPr>
            <w:tcW w:w="3121" w:type="dxa"/>
          </w:tcPr>
          <w:p w:rsidR="0049588C" w:rsidRPr="006234AA" w:rsidRDefault="0049588C" w:rsidP="003C0546">
            <w:pPr>
              <w:spacing w:after="120"/>
              <w:ind w:firstLine="0"/>
              <w:rPr>
                <w:lang w:val="nl-NL"/>
              </w:rPr>
            </w:pPr>
            <w:r w:rsidRPr="006234AA">
              <w:rPr>
                <w:lang w:val="nl-NL"/>
              </w:rPr>
              <w:t>Đóng cửa (theo số lượng)</w:t>
            </w:r>
          </w:p>
        </w:tc>
        <w:tc>
          <w:tcPr>
            <w:tcW w:w="1241" w:type="dxa"/>
          </w:tcPr>
          <w:p w:rsidR="0049588C" w:rsidRPr="006234AA" w:rsidRDefault="0049588C" w:rsidP="003C0546">
            <w:pPr>
              <w:spacing w:after="120"/>
              <w:rPr>
                <w:lang w:val="nl-NL"/>
              </w:rPr>
            </w:pPr>
          </w:p>
        </w:tc>
        <w:tc>
          <w:tcPr>
            <w:tcW w:w="1134" w:type="dxa"/>
          </w:tcPr>
          <w:p w:rsidR="0049588C" w:rsidRPr="006234AA" w:rsidRDefault="0049588C" w:rsidP="003C0546">
            <w:pPr>
              <w:spacing w:after="120"/>
              <w:rPr>
                <w:lang w:val="nl-NL"/>
              </w:rPr>
            </w:pPr>
          </w:p>
        </w:tc>
        <w:tc>
          <w:tcPr>
            <w:tcW w:w="1559" w:type="dxa"/>
          </w:tcPr>
          <w:p w:rsidR="0049588C" w:rsidRPr="006234AA" w:rsidRDefault="0049588C" w:rsidP="003C0546">
            <w:pPr>
              <w:spacing w:after="120"/>
              <w:rPr>
                <w:lang w:val="nl-NL"/>
              </w:rPr>
            </w:pPr>
          </w:p>
        </w:tc>
        <w:tc>
          <w:tcPr>
            <w:tcW w:w="1571" w:type="dxa"/>
          </w:tcPr>
          <w:p w:rsidR="0049588C" w:rsidRPr="006234AA" w:rsidRDefault="0049588C" w:rsidP="003C0546">
            <w:pPr>
              <w:spacing w:after="120"/>
              <w:rPr>
                <w:lang w:val="nl-NL"/>
              </w:rPr>
            </w:pPr>
          </w:p>
        </w:tc>
      </w:tr>
      <w:tr w:rsidR="0049588C" w:rsidRPr="006234AA" w:rsidTr="00A15B69">
        <w:tc>
          <w:tcPr>
            <w:tcW w:w="600" w:type="dxa"/>
          </w:tcPr>
          <w:p w:rsidR="0049588C" w:rsidRPr="006234AA" w:rsidRDefault="0049588C" w:rsidP="003C0546">
            <w:pPr>
              <w:spacing w:after="120"/>
              <w:jc w:val="center"/>
              <w:rPr>
                <w:lang w:val="nl-NL"/>
              </w:rPr>
            </w:pPr>
            <w:r w:rsidRPr="006234AA">
              <w:rPr>
                <w:lang w:val="nl-NL"/>
              </w:rPr>
              <w:t>3</w:t>
            </w:r>
          </w:p>
        </w:tc>
        <w:tc>
          <w:tcPr>
            <w:tcW w:w="3121" w:type="dxa"/>
          </w:tcPr>
          <w:p w:rsidR="0049588C" w:rsidRPr="006234AA" w:rsidRDefault="0049588C" w:rsidP="003C0546">
            <w:pPr>
              <w:spacing w:after="120"/>
              <w:ind w:firstLine="0"/>
              <w:rPr>
                <w:lang w:val="nl-NL"/>
              </w:rPr>
            </w:pPr>
            <w:r w:rsidRPr="006234AA">
              <w:rPr>
                <w:lang w:val="nl-NL"/>
              </w:rPr>
              <w:t>Lập mới (theo số lượng)</w:t>
            </w:r>
          </w:p>
        </w:tc>
        <w:tc>
          <w:tcPr>
            <w:tcW w:w="1241" w:type="dxa"/>
          </w:tcPr>
          <w:p w:rsidR="0049588C" w:rsidRPr="006234AA" w:rsidRDefault="0049588C" w:rsidP="003C0546">
            <w:pPr>
              <w:spacing w:after="120"/>
              <w:rPr>
                <w:lang w:val="nl-NL"/>
              </w:rPr>
            </w:pPr>
          </w:p>
        </w:tc>
        <w:tc>
          <w:tcPr>
            <w:tcW w:w="1134" w:type="dxa"/>
          </w:tcPr>
          <w:p w:rsidR="0049588C" w:rsidRPr="006234AA" w:rsidRDefault="0049588C" w:rsidP="003C0546">
            <w:pPr>
              <w:spacing w:after="120"/>
              <w:rPr>
                <w:lang w:val="nl-NL"/>
              </w:rPr>
            </w:pPr>
          </w:p>
        </w:tc>
        <w:tc>
          <w:tcPr>
            <w:tcW w:w="1559" w:type="dxa"/>
          </w:tcPr>
          <w:p w:rsidR="0049588C" w:rsidRPr="006234AA" w:rsidRDefault="0049588C" w:rsidP="003C0546">
            <w:pPr>
              <w:spacing w:after="120"/>
              <w:rPr>
                <w:lang w:val="nl-NL"/>
              </w:rPr>
            </w:pPr>
          </w:p>
        </w:tc>
        <w:tc>
          <w:tcPr>
            <w:tcW w:w="1571" w:type="dxa"/>
          </w:tcPr>
          <w:p w:rsidR="0049588C" w:rsidRPr="006234AA" w:rsidRDefault="0049588C" w:rsidP="003C0546">
            <w:pPr>
              <w:spacing w:after="120"/>
              <w:rPr>
                <w:lang w:val="nl-NL"/>
              </w:rPr>
            </w:pPr>
          </w:p>
        </w:tc>
      </w:tr>
      <w:tr w:rsidR="0049588C" w:rsidRPr="006234AA" w:rsidTr="00A15B69">
        <w:tc>
          <w:tcPr>
            <w:tcW w:w="600" w:type="dxa"/>
          </w:tcPr>
          <w:p w:rsidR="0049588C" w:rsidRPr="006234AA" w:rsidRDefault="0049588C" w:rsidP="003C0546">
            <w:pPr>
              <w:spacing w:after="120"/>
              <w:jc w:val="center"/>
              <w:rPr>
                <w:lang w:val="nl-NL"/>
              </w:rPr>
            </w:pPr>
            <w:r w:rsidRPr="006234AA">
              <w:rPr>
                <w:lang w:val="nl-NL"/>
              </w:rPr>
              <w:t>4</w:t>
            </w:r>
          </w:p>
        </w:tc>
        <w:tc>
          <w:tcPr>
            <w:tcW w:w="3121" w:type="dxa"/>
          </w:tcPr>
          <w:p w:rsidR="0049588C" w:rsidRPr="006234AA" w:rsidRDefault="0049588C" w:rsidP="003C0546">
            <w:pPr>
              <w:spacing w:after="120"/>
              <w:ind w:firstLine="0"/>
              <w:rPr>
                <w:lang w:val="nl-NL"/>
              </w:rPr>
            </w:pPr>
            <w:r w:rsidRPr="006234AA">
              <w:rPr>
                <w:lang w:val="nl-NL"/>
              </w:rPr>
              <w:t>Tên gọi (theo số lần)</w:t>
            </w:r>
          </w:p>
        </w:tc>
        <w:tc>
          <w:tcPr>
            <w:tcW w:w="1241" w:type="dxa"/>
          </w:tcPr>
          <w:p w:rsidR="0049588C" w:rsidRPr="006234AA" w:rsidRDefault="0049588C" w:rsidP="003C0546">
            <w:pPr>
              <w:spacing w:after="120"/>
              <w:rPr>
                <w:lang w:val="nl-NL"/>
              </w:rPr>
            </w:pPr>
          </w:p>
        </w:tc>
        <w:tc>
          <w:tcPr>
            <w:tcW w:w="1134" w:type="dxa"/>
          </w:tcPr>
          <w:p w:rsidR="0049588C" w:rsidRPr="006234AA" w:rsidRDefault="0049588C" w:rsidP="003C0546">
            <w:pPr>
              <w:spacing w:after="120"/>
              <w:rPr>
                <w:lang w:val="nl-NL"/>
              </w:rPr>
            </w:pPr>
          </w:p>
        </w:tc>
        <w:tc>
          <w:tcPr>
            <w:tcW w:w="1559" w:type="dxa"/>
          </w:tcPr>
          <w:p w:rsidR="0049588C" w:rsidRPr="006234AA" w:rsidRDefault="0049588C" w:rsidP="003C0546">
            <w:pPr>
              <w:spacing w:after="120"/>
              <w:rPr>
                <w:lang w:val="nl-NL"/>
              </w:rPr>
            </w:pPr>
          </w:p>
        </w:tc>
        <w:tc>
          <w:tcPr>
            <w:tcW w:w="1571" w:type="dxa"/>
          </w:tcPr>
          <w:p w:rsidR="0049588C" w:rsidRPr="006234AA" w:rsidRDefault="0049588C" w:rsidP="003C0546">
            <w:pPr>
              <w:spacing w:after="120"/>
              <w:rPr>
                <w:lang w:val="nl-NL"/>
              </w:rPr>
            </w:pPr>
          </w:p>
        </w:tc>
      </w:tr>
      <w:tr w:rsidR="0049588C" w:rsidRPr="006234AA" w:rsidTr="00A15B69">
        <w:tc>
          <w:tcPr>
            <w:tcW w:w="600" w:type="dxa"/>
          </w:tcPr>
          <w:p w:rsidR="0049588C" w:rsidRPr="006234AA" w:rsidRDefault="0049588C" w:rsidP="003C0546">
            <w:pPr>
              <w:spacing w:after="120"/>
              <w:jc w:val="center"/>
              <w:rPr>
                <w:lang w:val="nl-NL"/>
              </w:rPr>
            </w:pPr>
            <w:r w:rsidRPr="006234AA">
              <w:rPr>
                <w:lang w:val="nl-NL"/>
              </w:rPr>
              <w:t>5</w:t>
            </w:r>
          </w:p>
        </w:tc>
        <w:tc>
          <w:tcPr>
            <w:tcW w:w="3121" w:type="dxa"/>
          </w:tcPr>
          <w:p w:rsidR="0049588C" w:rsidRPr="006234AA" w:rsidRDefault="0049588C" w:rsidP="003C0546">
            <w:pPr>
              <w:spacing w:after="120"/>
              <w:ind w:firstLine="0"/>
              <w:rPr>
                <w:lang w:val="nl-NL"/>
              </w:rPr>
            </w:pPr>
            <w:r w:rsidRPr="006234AA">
              <w:rPr>
                <w:lang w:val="nl-NL"/>
              </w:rPr>
              <w:t>Người đại diện theo pháp luật hoặc người đứng đầu hoặc trưởng đại diện (theo số lần)</w:t>
            </w:r>
          </w:p>
        </w:tc>
        <w:tc>
          <w:tcPr>
            <w:tcW w:w="1241" w:type="dxa"/>
          </w:tcPr>
          <w:p w:rsidR="0049588C" w:rsidRPr="006234AA" w:rsidRDefault="0049588C" w:rsidP="003C0546">
            <w:pPr>
              <w:spacing w:after="120"/>
              <w:rPr>
                <w:lang w:val="nl-NL"/>
              </w:rPr>
            </w:pPr>
          </w:p>
        </w:tc>
        <w:tc>
          <w:tcPr>
            <w:tcW w:w="1134" w:type="dxa"/>
          </w:tcPr>
          <w:p w:rsidR="0049588C" w:rsidRPr="006234AA" w:rsidRDefault="0049588C" w:rsidP="003C0546">
            <w:pPr>
              <w:spacing w:after="120"/>
              <w:rPr>
                <w:lang w:val="nl-NL"/>
              </w:rPr>
            </w:pPr>
          </w:p>
        </w:tc>
        <w:tc>
          <w:tcPr>
            <w:tcW w:w="1559" w:type="dxa"/>
          </w:tcPr>
          <w:p w:rsidR="0049588C" w:rsidRPr="006234AA" w:rsidRDefault="0049588C" w:rsidP="003C0546">
            <w:pPr>
              <w:spacing w:after="120"/>
              <w:rPr>
                <w:lang w:val="nl-NL"/>
              </w:rPr>
            </w:pPr>
          </w:p>
        </w:tc>
        <w:tc>
          <w:tcPr>
            <w:tcW w:w="1571" w:type="dxa"/>
          </w:tcPr>
          <w:p w:rsidR="0049588C" w:rsidRPr="006234AA" w:rsidRDefault="0049588C" w:rsidP="003C0546">
            <w:pPr>
              <w:spacing w:after="120"/>
              <w:rPr>
                <w:lang w:val="nl-NL"/>
              </w:rPr>
            </w:pPr>
          </w:p>
        </w:tc>
      </w:tr>
      <w:tr w:rsidR="0049588C" w:rsidRPr="006234AA" w:rsidTr="00A15B69">
        <w:tc>
          <w:tcPr>
            <w:tcW w:w="600" w:type="dxa"/>
          </w:tcPr>
          <w:p w:rsidR="0049588C" w:rsidRPr="006234AA" w:rsidRDefault="0049588C" w:rsidP="003C0546">
            <w:pPr>
              <w:spacing w:after="120"/>
              <w:jc w:val="center"/>
              <w:rPr>
                <w:lang w:val="nl-NL"/>
              </w:rPr>
            </w:pPr>
            <w:r w:rsidRPr="006234AA">
              <w:rPr>
                <w:lang w:val="nl-NL"/>
              </w:rPr>
              <w:t>6</w:t>
            </w:r>
          </w:p>
        </w:tc>
        <w:tc>
          <w:tcPr>
            <w:tcW w:w="3121" w:type="dxa"/>
          </w:tcPr>
          <w:p w:rsidR="0049588C" w:rsidRPr="006234AA" w:rsidRDefault="0049588C" w:rsidP="003C0546">
            <w:pPr>
              <w:spacing w:after="120"/>
              <w:ind w:firstLine="0"/>
              <w:rPr>
                <w:lang w:val="nl-NL"/>
              </w:rPr>
            </w:pPr>
            <w:r w:rsidRPr="006234AA">
              <w:rPr>
                <w:lang w:val="nl-NL"/>
              </w:rPr>
              <w:t>Tạm ngừng hoạt động</w:t>
            </w:r>
          </w:p>
        </w:tc>
        <w:tc>
          <w:tcPr>
            <w:tcW w:w="1241" w:type="dxa"/>
          </w:tcPr>
          <w:p w:rsidR="0049588C" w:rsidRPr="006234AA" w:rsidRDefault="0049588C" w:rsidP="003C0546">
            <w:pPr>
              <w:spacing w:after="120"/>
              <w:rPr>
                <w:lang w:val="nl-NL"/>
              </w:rPr>
            </w:pPr>
          </w:p>
        </w:tc>
        <w:tc>
          <w:tcPr>
            <w:tcW w:w="1134" w:type="dxa"/>
          </w:tcPr>
          <w:p w:rsidR="0049588C" w:rsidRPr="006234AA" w:rsidRDefault="0049588C" w:rsidP="003C0546">
            <w:pPr>
              <w:spacing w:after="120"/>
              <w:rPr>
                <w:lang w:val="nl-NL"/>
              </w:rPr>
            </w:pPr>
          </w:p>
        </w:tc>
        <w:tc>
          <w:tcPr>
            <w:tcW w:w="1559" w:type="dxa"/>
          </w:tcPr>
          <w:p w:rsidR="0049588C" w:rsidRPr="006234AA" w:rsidRDefault="0049588C" w:rsidP="003C0546">
            <w:pPr>
              <w:spacing w:after="120"/>
              <w:rPr>
                <w:lang w:val="nl-NL"/>
              </w:rPr>
            </w:pPr>
          </w:p>
        </w:tc>
        <w:tc>
          <w:tcPr>
            <w:tcW w:w="1571" w:type="dxa"/>
          </w:tcPr>
          <w:p w:rsidR="0049588C" w:rsidRPr="006234AA" w:rsidRDefault="0049588C" w:rsidP="003C0546">
            <w:pPr>
              <w:spacing w:after="120"/>
              <w:rPr>
                <w:lang w:val="nl-NL"/>
              </w:rPr>
            </w:pPr>
          </w:p>
        </w:tc>
      </w:tr>
      <w:tr w:rsidR="0049588C" w:rsidRPr="006234AA" w:rsidTr="00A15B69">
        <w:tc>
          <w:tcPr>
            <w:tcW w:w="600" w:type="dxa"/>
          </w:tcPr>
          <w:p w:rsidR="0049588C" w:rsidRPr="006234AA" w:rsidRDefault="0049588C" w:rsidP="003C0546">
            <w:pPr>
              <w:spacing w:after="120"/>
              <w:jc w:val="center"/>
              <w:rPr>
                <w:lang w:val="nl-NL"/>
              </w:rPr>
            </w:pPr>
            <w:r w:rsidRPr="006234AA">
              <w:rPr>
                <w:lang w:val="nl-NL"/>
              </w:rPr>
              <w:t>7</w:t>
            </w:r>
          </w:p>
        </w:tc>
        <w:tc>
          <w:tcPr>
            <w:tcW w:w="3121" w:type="dxa"/>
          </w:tcPr>
          <w:p w:rsidR="0049588C" w:rsidRPr="006234AA" w:rsidRDefault="0049588C" w:rsidP="003C0546">
            <w:pPr>
              <w:spacing w:after="120"/>
              <w:ind w:firstLine="0"/>
              <w:rPr>
                <w:lang w:val="nl-NL"/>
              </w:rPr>
            </w:pPr>
            <w:r w:rsidRPr="006234AA">
              <w:rPr>
                <w:lang w:val="nl-NL"/>
              </w:rPr>
              <w:t>Thay đổi nghiệp vụ kinh doanh (số lần theo trụ sở chính, theo chi nhánh, theo phòng giao dịch)</w:t>
            </w:r>
          </w:p>
        </w:tc>
        <w:tc>
          <w:tcPr>
            <w:tcW w:w="1241" w:type="dxa"/>
          </w:tcPr>
          <w:p w:rsidR="0049588C" w:rsidRPr="006234AA" w:rsidRDefault="0049588C" w:rsidP="003C0546">
            <w:pPr>
              <w:spacing w:after="120"/>
              <w:rPr>
                <w:lang w:val="nl-NL"/>
              </w:rPr>
            </w:pPr>
          </w:p>
        </w:tc>
        <w:tc>
          <w:tcPr>
            <w:tcW w:w="1134" w:type="dxa"/>
          </w:tcPr>
          <w:p w:rsidR="0049588C" w:rsidRPr="006234AA" w:rsidRDefault="0049588C" w:rsidP="003C0546">
            <w:pPr>
              <w:spacing w:after="120"/>
              <w:rPr>
                <w:lang w:val="nl-NL"/>
              </w:rPr>
            </w:pPr>
          </w:p>
        </w:tc>
        <w:tc>
          <w:tcPr>
            <w:tcW w:w="1559" w:type="dxa"/>
          </w:tcPr>
          <w:p w:rsidR="0049588C" w:rsidRPr="006234AA" w:rsidRDefault="0049588C" w:rsidP="003C0546">
            <w:pPr>
              <w:spacing w:after="120"/>
              <w:rPr>
                <w:lang w:val="nl-NL"/>
              </w:rPr>
            </w:pPr>
          </w:p>
        </w:tc>
        <w:tc>
          <w:tcPr>
            <w:tcW w:w="1571" w:type="dxa"/>
          </w:tcPr>
          <w:p w:rsidR="0049588C" w:rsidRPr="006234AA" w:rsidRDefault="0049588C" w:rsidP="003C0546">
            <w:pPr>
              <w:spacing w:after="120"/>
              <w:rPr>
                <w:lang w:val="nl-NL"/>
              </w:rPr>
            </w:pPr>
          </w:p>
        </w:tc>
      </w:tr>
    </w:tbl>
    <w:p w:rsidR="0049588C" w:rsidRPr="006234AA" w:rsidRDefault="0049588C" w:rsidP="003C0546">
      <w:pPr>
        <w:pStyle w:val="Heading1"/>
        <w:spacing w:after="120"/>
        <w:ind w:left="720"/>
      </w:pPr>
    </w:p>
    <w:p w:rsidR="0049588C" w:rsidRPr="006234AA" w:rsidRDefault="0049588C" w:rsidP="003C0546">
      <w:pPr>
        <w:spacing w:after="120"/>
        <w:ind w:firstLine="0"/>
        <w:rPr>
          <w:b/>
          <w:lang w:val="nl-NL"/>
        </w:rPr>
      </w:pPr>
      <w:r w:rsidRPr="006234AA">
        <w:rPr>
          <w:b/>
          <w:lang w:val="nl-NL"/>
        </w:rPr>
        <w:t>III. Tình hình hoạt động của công ty chứng khoán</w:t>
      </w:r>
    </w:p>
    <w:p w:rsidR="0049588C" w:rsidRPr="006234AA" w:rsidRDefault="0049588C" w:rsidP="00D36937">
      <w:pPr>
        <w:numPr>
          <w:ilvl w:val="0"/>
          <w:numId w:val="25"/>
        </w:numPr>
        <w:spacing w:after="120"/>
        <w:jc w:val="left"/>
        <w:rPr>
          <w:b/>
          <w:lang w:val="nl-NL"/>
        </w:rPr>
      </w:pPr>
      <w:r w:rsidRPr="006234AA">
        <w:rPr>
          <w:b/>
          <w:lang w:val="nl-NL"/>
        </w:rPr>
        <w:t>Hoạt động môi giới chứng khoán</w:t>
      </w:r>
    </w:p>
    <w:p w:rsidR="0049588C" w:rsidRPr="006234AA" w:rsidRDefault="0049588C" w:rsidP="00D36937">
      <w:pPr>
        <w:numPr>
          <w:ilvl w:val="1"/>
          <w:numId w:val="25"/>
        </w:numPr>
        <w:tabs>
          <w:tab w:val="clear" w:pos="420"/>
          <w:tab w:val="num" w:pos="600"/>
        </w:tabs>
        <w:spacing w:after="120"/>
        <w:ind w:left="600"/>
        <w:jc w:val="left"/>
        <w:rPr>
          <w:b/>
          <w:i/>
          <w:lang w:val="nl-NL"/>
        </w:rPr>
      </w:pPr>
      <w:r w:rsidRPr="006234AA">
        <w:rPr>
          <w:b/>
          <w:i/>
          <w:lang w:val="nl-NL"/>
        </w:rPr>
        <w:t>. Môi giới chứng khoán niêm yết, đăng ký giao dịch</w:t>
      </w:r>
    </w:p>
    <w:p w:rsidR="0049588C" w:rsidRPr="006234AA" w:rsidRDefault="0049588C" w:rsidP="00D36937">
      <w:pPr>
        <w:pStyle w:val="ListParagraph"/>
        <w:numPr>
          <w:ilvl w:val="1"/>
          <w:numId w:val="38"/>
        </w:numPr>
        <w:spacing w:after="120"/>
        <w:ind w:firstLine="561"/>
        <w:jc w:val="left"/>
      </w:pPr>
      <w:r w:rsidRPr="006234AA">
        <w:t>Số lượng tài khoản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8"/>
        <w:gridCol w:w="1144"/>
        <w:gridCol w:w="931"/>
        <w:gridCol w:w="1263"/>
        <w:gridCol w:w="1357"/>
        <w:gridCol w:w="992"/>
        <w:gridCol w:w="2261"/>
      </w:tblGrid>
      <w:tr w:rsidR="0049588C" w:rsidRPr="006234AA" w:rsidTr="00A15B69">
        <w:trPr>
          <w:cantSplit/>
        </w:trPr>
        <w:tc>
          <w:tcPr>
            <w:tcW w:w="2552" w:type="dxa"/>
            <w:gridSpan w:val="2"/>
            <w:vMerge w:val="restart"/>
            <w:vAlign w:val="center"/>
          </w:tcPr>
          <w:p w:rsidR="0049588C" w:rsidRPr="006234AA" w:rsidRDefault="0049588C" w:rsidP="003C0546">
            <w:pPr>
              <w:spacing w:after="120"/>
              <w:ind w:firstLine="0"/>
              <w:jc w:val="center"/>
              <w:rPr>
                <w:b/>
                <w:lang w:val="nl-NL"/>
              </w:rPr>
            </w:pPr>
            <w:r w:rsidRPr="006234AA">
              <w:rPr>
                <w:b/>
                <w:lang w:val="nl-NL"/>
              </w:rPr>
              <w:t>Loại khách hàng</w:t>
            </w:r>
          </w:p>
        </w:tc>
        <w:tc>
          <w:tcPr>
            <w:tcW w:w="931" w:type="dxa"/>
            <w:vMerge w:val="restart"/>
            <w:vAlign w:val="center"/>
          </w:tcPr>
          <w:p w:rsidR="0049588C" w:rsidRPr="006234AA" w:rsidRDefault="0049588C" w:rsidP="003C0546">
            <w:pPr>
              <w:spacing w:after="120"/>
              <w:ind w:firstLine="0"/>
              <w:jc w:val="center"/>
              <w:rPr>
                <w:b/>
                <w:lang w:val="nl-NL"/>
              </w:rPr>
            </w:pPr>
            <w:r w:rsidRPr="006234AA">
              <w:rPr>
                <w:b/>
                <w:lang w:val="nl-NL"/>
              </w:rPr>
              <w:t>Đầu tháng</w:t>
            </w:r>
          </w:p>
        </w:tc>
        <w:tc>
          <w:tcPr>
            <w:tcW w:w="2620" w:type="dxa"/>
            <w:gridSpan w:val="2"/>
            <w:vAlign w:val="center"/>
          </w:tcPr>
          <w:p w:rsidR="0049588C" w:rsidRPr="006234AA" w:rsidRDefault="0049588C" w:rsidP="003C0546">
            <w:pPr>
              <w:spacing w:after="120"/>
              <w:ind w:firstLine="0"/>
              <w:jc w:val="center"/>
              <w:rPr>
                <w:b/>
                <w:lang w:val="nl-NL"/>
              </w:rPr>
            </w:pPr>
            <w:r w:rsidRPr="006234AA">
              <w:rPr>
                <w:b/>
                <w:lang w:val="nl-NL"/>
              </w:rPr>
              <w:t>Phát sinh trong tháng</w:t>
            </w:r>
          </w:p>
        </w:tc>
        <w:tc>
          <w:tcPr>
            <w:tcW w:w="992" w:type="dxa"/>
            <w:vMerge w:val="restart"/>
            <w:vAlign w:val="center"/>
          </w:tcPr>
          <w:p w:rsidR="0049588C" w:rsidRPr="006234AA" w:rsidRDefault="0049588C" w:rsidP="003C0546">
            <w:pPr>
              <w:spacing w:after="120"/>
              <w:ind w:firstLine="0"/>
              <w:jc w:val="center"/>
              <w:rPr>
                <w:b/>
                <w:lang w:val="nl-NL"/>
              </w:rPr>
            </w:pPr>
            <w:r w:rsidRPr="006234AA">
              <w:rPr>
                <w:b/>
                <w:lang w:val="nl-NL"/>
              </w:rPr>
              <w:t>Cuối tháng</w:t>
            </w:r>
          </w:p>
        </w:tc>
        <w:tc>
          <w:tcPr>
            <w:tcW w:w="2261" w:type="dxa"/>
            <w:vMerge w:val="restart"/>
            <w:vAlign w:val="center"/>
          </w:tcPr>
          <w:p w:rsidR="0049588C" w:rsidRPr="006234AA" w:rsidRDefault="0049588C" w:rsidP="003C0546">
            <w:pPr>
              <w:spacing w:after="120"/>
              <w:ind w:firstLine="0"/>
              <w:jc w:val="center"/>
              <w:rPr>
                <w:b/>
                <w:lang w:val="nl-NL"/>
              </w:rPr>
            </w:pPr>
            <w:r w:rsidRPr="006234AA">
              <w:rPr>
                <w:b/>
                <w:lang w:val="nl-NL"/>
              </w:rPr>
              <w:t>Số lượng tài khoản có phát sinh giao dịch trong tháng</w:t>
            </w:r>
          </w:p>
        </w:tc>
      </w:tr>
      <w:tr w:rsidR="0049588C" w:rsidRPr="006234AA" w:rsidTr="00A15B69">
        <w:trPr>
          <w:cantSplit/>
        </w:trPr>
        <w:tc>
          <w:tcPr>
            <w:tcW w:w="2552" w:type="dxa"/>
            <w:gridSpan w:val="2"/>
            <w:vMerge/>
            <w:vAlign w:val="center"/>
          </w:tcPr>
          <w:p w:rsidR="0049588C" w:rsidRPr="006234AA" w:rsidRDefault="0049588C" w:rsidP="003C0546">
            <w:pPr>
              <w:keepNext/>
              <w:tabs>
                <w:tab w:val="num" w:pos="720"/>
              </w:tabs>
              <w:spacing w:after="120"/>
              <w:ind w:left="720" w:hanging="720"/>
              <w:jc w:val="center"/>
              <w:outlineLvl w:val="0"/>
              <w:rPr>
                <w:b/>
                <w:i/>
                <w:szCs w:val="22"/>
                <w:lang w:val="nl-NL"/>
              </w:rPr>
            </w:pPr>
          </w:p>
        </w:tc>
        <w:tc>
          <w:tcPr>
            <w:tcW w:w="931" w:type="dxa"/>
            <w:vMerge/>
            <w:vAlign w:val="center"/>
          </w:tcPr>
          <w:p w:rsidR="0049588C" w:rsidRPr="006234AA" w:rsidRDefault="0049588C" w:rsidP="003C0546">
            <w:pPr>
              <w:keepNext/>
              <w:tabs>
                <w:tab w:val="num" w:pos="720"/>
              </w:tabs>
              <w:spacing w:after="120"/>
              <w:ind w:left="720" w:hanging="720"/>
              <w:jc w:val="center"/>
              <w:outlineLvl w:val="0"/>
              <w:rPr>
                <w:b/>
                <w:i/>
                <w:szCs w:val="22"/>
                <w:lang w:val="nl-NL"/>
              </w:rPr>
            </w:pPr>
          </w:p>
        </w:tc>
        <w:tc>
          <w:tcPr>
            <w:tcW w:w="1263" w:type="dxa"/>
            <w:vAlign w:val="center"/>
          </w:tcPr>
          <w:p w:rsidR="0049588C" w:rsidRPr="006234AA" w:rsidRDefault="0049588C" w:rsidP="003C0546">
            <w:pPr>
              <w:spacing w:after="120"/>
              <w:ind w:firstLine="0"/>
              <w:jc w:val="center"/>
              <w:rPr>
                <w:b/>
                <w:lang w:val="nl-NL"/>
              </w:rPr>
            </w:pPr>
            <w:r w:rsidRPr="006234AA">
              <w:rPr>
                <w:b/>
                <w:lang w:val="nl-NL"/>
              </w:rPr>
              <w:t>Tăng</w:t>
            </w:r>
          </w:p>
        </w:tc>
        <w:tc>
          <w:tcPr>
            <w:tcW w:w="1357" w:type="dxa"/>
            <w:vAlign w:val="center"/>
          </w:tcPr>
          <w:p w:rsidR="0049588C" w:rsidRPr="006234AA" w:rsidRDefault="0049588C" w:rsidP="003C0546">
            <w:pPr>
              <w:spacing w:after="120"/>
              <w:ind w:firstLine="0"/>
              <w:jc w:val="center"/>
              <w:rPr>
                <w:b/>
                <w:lang w:val="nl-NL"/>
              </w:rPr>
            </w:pPr>
            <w:r w:rsidRPr="006234AA">
              <w:rPr>
                <w:b/>
                <w:lang w:val="nl-NL"/>
              </w:rPr>
              <w:t>Giảm</w:t>
            </w:r>
          </w:p>
        </w:tc>
        <w:tc>
          <w:tcPr>
            <w:tcW w:w="992" w:type="dxa"/>
            <w:vMerge/>
            <w:vAlign w:val="center"/>
          </w:tcPr>
          <w:p w:rsidR="0049588C" w:rsidRPr="006234AA" w:rsidRDefault="0049588C" w:rsidP="003C0546">
            <w:pPr>
              <w:keepNext/>
              <w:tabs>
                <w:tab w:val="num" w:pos="720"/>
              </w:tabs>
              <w:spacing w:after="120"/>
              <w:ind w:left="720" w:hanging="720"/>
              <w:jc w:val="center"/>
              <w:outlineLvl w:val="0"/>
              <w:rPr>
                <w:b/>
                <w:szCs w:val="22"/>
                <w:lang w:val="nl-NL"/>
              </w:rPr>
            </w:pPr>
          </w:p>
        </w:tc>
        <w:tc>
          <w:tcPr>
            <w:tcW w:w="2261" w:type="dxa"/>
            <w:vMerge/>
            <w:vAlign w:val="center"/>
          </w:tcPr>
          <w:p w:rsidR="0049588C" w:rsidRPr="006234AA" w:rsidRDefault="0049588C" w:rsidP="003C0546">
            <w:pPr>
              <w:keepNext/>
              <w:tabs>
                <w:tab w:val="num" w:pos="720"/>
              </w:tabs>
              <w:spacing w:after="120"/>
              <w:ind w:left="720" w:hanging="720"/>
              <w:jc w:val="center"/>
              <w:outlineLvl w:val="0"/>
              <w:rPr>
                <w:b/>
                <w:i/>
                <w:szCs w:val="22"/>
                <w:lang w:val="nl-NL"/>
              </w:rPr>
            </w:pPr>
          </w:p>
        </w:tc>
      </w:tr>
      <w:tr w:rsidR="0049588C" w:rsidRPr="006234AA" w:rsidTr="00A15B69">
        <w:trPr>
          <w:cantSplit/>
        </w:trPr>
        <w:tc>
          <w:tcPr>
            <w:tcW w:w="1408" w:type="dxa"/>
            <w:vMerge w:val="restart"/>
          </w:tcPr>
          <w:p w:rsidR="0049588C" w:rsidRPr="006234AA" w:rsidRDefault="0049588C" w:rsidP="003C0546">
            <w:pPr>
              <w:spacing w:after="120"/>
              <w:ind w:firstLine="0"/>
              <w:rPr>
                <w:lang w:val="nl-NL"/>
              </w:rPr>
            </w:pPr>
            <w:r w:rsidRPr="006234AA">
              <w:rPr>
                <w:lang w:val="nl-NL"/>
              </w:rPr>
              <w:t xml:space="preserve">Trong </w:t>
            </w:r>
            <w:r w:rsidRPr="006234AA">
              <w:rPr>
                <w:lang w:val="nl-NL"/>
              </w:rPr>
              <w:lastRenderedPageBreak/>
              <w:t>nước</w:t>
            </w:r>
          </w:p>
        </w:tc>
        <w:tc>
          <w:tcPr>
            <w:tcW w:w="1144" w:type="dxa"/>
          </w:tcPr>
          <w:p w:rsidR="0049588C" w:rsidRPr="006234AA" w:rsidRDefault="0049588C" w:rsidP="003C0546">
            <w:pPr>
              <w:spacing w:after="120"/>
              <w:ind w:firstLine="0"/>
              <w:rPr>
                <w:lang w:val="nl-NL"/>
              </w:rPr>
            </w:pPr>
            <w:r w:rsidRPr="006234AA">
              <w:rPr>
                <w:lang w:val="nl-NL"/>
              </w:rPr>
              <w:lastRenderedPageBreak/>
              <w:t>Cá nhân</w:t>
            </w:r>
          </w:p>
        </w:tc>
        <w:tc>
          <w:tcPr>
            <w:tcW w:w="931" w:type="dxa"/>
          </w:tcPr>
          <w:p w:rsidR="0049588C" w:rsidRPr="006234AA" w:rsidRDefault="0049588C" w:rsidP="003C0546">
            <w:pPr>
              <w:keepNext/>
              <w:spacing w:after="120"/>
              <w:outlineLvl w:val="2"/>
              <w:rPr>
                <w:b/>
                <w:i/>
                <w:lang w:val="nl-NL"/>
              </w:rPr>
            </w:pPr>
          </w:p>
        </w:tc>
        <w:tc>
          <w:tcPr>
            <w:tcW w:w="1263" w:type="dxa"/>
          </w:tcPr>
          <w:p w:rsidR="0049588C" w:rsidRPr="006234AA" w:rsidRDefault="0049588C" w:rsidP="003C0546">
            <w:pPr>
              <w:keepNext/>
              <w:spacing w:after="120"/>
              <w:outlineLvl w:val="2"/>
              <w:rPr>
                <w:b/>
                <w:i/>
                <w:lang w:val="nl-NL"/>
              </w:rPr>
            </w:pPr>
          </w:p>
        </w:tc>
        <w:tc>
          <w:tcPr>
            <w:tcW w:w="1357" w:type="dxa"/>
          </w:tcPr>
          <w:p w:rsidR="0049588C" w:rsidRPr="006234AA" w:rsidRDefault="0049588C" w:rsidP="003C0546">
            <w:pPr>
              <w:keepNext/>
              <w:spacing w:after="120"/>
              <w:outlineLvl w:val="2"/>
              <w:rPr>
                <w:b/>
                <w:i/>
                <w:lang w:val="nl-NL"/>
              </w:rPr>
            </w:pPr>
          </w:p>
        </w:tc>
        <w:tc>
          <w:tcPr>
            <w:tcW w:w="992" w:type="dxa"/>
          </w:tcPr>
          <w:p w:rsidR="0049588C" w:rsidRPr="006234AA" w:rsidRDefault="0049588C" w:rsidP="003C0546">
            <w:pPr>
              <w:keepNext/>
              <w:spacing w:after="120"/>
              <w:outlineLvl w:val="2"/>
              <w:rPr>
                <w:b/>
                <w:i/>
                <w:lang w:val="nl-NL"/>
              </w:rPr>
            </w:pPr>
          </w:p>
        </w:tc>
        <w:tc>
          <w:tcPr>
            <w:tcW w:w="2261" w:type="dxa"/>
          </w:tcPr>
          <w:p w:rsidR="0049588C" w:rsidRPr="006234AA" w:rsidRDefault="0049588C" w:rsidP="003C0546">
            <w:pPr>
              <w:keepNext/>
              <w:spacing w:after="120"/>
              <w:outlineLvl w:val="2"/>
              <w:rPr>
                <w:b/>
                <w:i/>
                <w:lang w:val="nl-NL"/>
              </w:rPr>
            </w:pPr>
          </w:p>
        </w:tc>
      </w:tr>
      <w:tr w:rsidR="0049588C" w:rsidRPr="006234AA" w:rsidTr="00A15B69">
        <w:trPr>
          <w:cantSplit/>
        </w:trPr>
        <w:tc>
          <w:tcPr>
            <w:tcW w:w="1408" w:type="dxa"/>
            <w:vMerge/>
          </w:tcPr>
          <w:p w:rsidR="0049588C" w:rsidRPr="006234AA" w:rsidRDefault="0049588C" w:rsidP="003C0546">
            <w:pPr>
              <w:spacing w:after="120"/>
              <w:rPr>
                <w:b/>
                <w:i/>
                <w:lang w:val="nl-NL"/>
              </w:rPr>
            </w:pPr>
          </w:p>
        </w:tc>
        <w:tc>
          <w:tcPr>
            <w:tcW w:w="1144" w:type="dxa"/>
          </w:tcPr>
          <w:p w:rsidR="0049588C" w:rsidRPr="006234AA" w:rsidRDefault="0049588C" w:rsidP="003C0546">
            <w:pPr>
              <w:spacing w:after="120"/>
              <w:ind w:firstLine="0"/>
              <w:rPr>
                <w:lang w:val="nl-NL"/>
              </w:rPr>
            </w:pPr>
            <w:r w:rsidRPr="006234AA">
              <w:rPr>
                <w:lang w:val="nl-NL"/>
              </w:rPr>
              <w:t>Tổ chức</w:t>
            </w:r>
          </w:p>
        </w:tc>
        <w:tc>
          <w:tcPr>
            <w:tcW w:w="931" w:type="dxa"/>
          </w:tcPr>
          <w:p w:rsidR="0049588C" w:rsidRPr="006234AA" w:rsidRDefault="0049588C" w:rsidP="003C0546">
            <w:pPr>
              <w:keepNext/>
              <w:spacing w:after="120"/>
              <w:outlineLvl w:val="2"/>
              <w:rPr>
                <w:b/>
                <w:i/>
                <w:lang w:val="nl-NL"/>
              </w:rPr>
            </w:pPr>
          </w:p>
        </w:tc>
        <w:tc>
          <w:tcPr>
            <w:tcW w:w="1263" w:type="dxa"/>
          </w:tcPr>
          <w:p w:rsidR="0049588C" w:rsidRPr="006234AA" w:rsidRDefault="0049588C" w:rsidP="003C0546">
            <w:pPr>
              <w:keepNext/>
              <w:spacing w:after="120"/>
              <w:outlineLvl w:val="2"/>
              <w:rPr>
                <w:b/>
                <w:i/>
                <w:lang w:val="nl-NL"/>
              </w:rPr>
            </w:pPr>
          </w:p>
        </w:tc>
        <w:tc>
          <w:tcPr>
            <w:tcW w:w="1357" w:type="dxa"/>
          </w:tcPr>
          <w:p w:rsidR="0049588C" w:rsidRPr="006234AA" w:rsidRDefault="0049588C" w:rsidP="003C0546">
            <w:pPr>
              <w:keepNext/>
              <w:spacing w:after="120"/>
              <w:outlineLvl w:val="2"/>
              <w:rPr>
                <w:b/>
                <w:i/>
                <w:lang w:val="nl-NL"/>
              </w:rPr>
            </w:pPr>
          </w:p>
        </w:tc>
        <w:tc>
          <w:tcPr>
            <w:tcW w:w="992" w:type="dxa"/>
          </w:tcPr>
          <w:p w:rsidR="0049588C" w:rsidRPr="006234AA" w:rsidRDefault="0049588C" w:rsidP="003C0546">
            <w:pPr>
              <w:keepNext/>
              <w:spacing w:after="120"/>
              <w:outlineLvl w:val="2"/>
              <w:rPr>
                <w:b/>
                <w:i/>
                <w:lang w:val="nl-NL"/>
              </w:rPr>
            </w:pPr>
          </w:p>
        </w:tc>
        <w:tc>
          <w:tcPr>
            <w:tcW w:w="2261" w:type="dxa"/>
          </w:tcPr>
          <w:p w:rsidR="0049588C" w:rsidRPr="006234AA" w:rsidRDefault="0049588C" w:rsidP="003C0546">
            <w:pPr>
              <w:keepNext/>
              <w:spacing w:after="120"/>
              <w:outlineLvl w:val="2"/>
              <w:rPr>
                <w:b/>
                <w:i/>
                <w:lang w:val="nl-NL"/>
              </w:rPr>
            </w:pPr>
          </w:p>
        </w:tc>
      </w:tr>
      <w:tr w:rsidR="0049588C" w:rsidRPr="006234AA" w:rsidTr="00A15B69">
        <w:trPr>
          <w:cantSplit/>
        </w:trPr>
        <w:tc>
          <w:tcPr>
            <w:tcW w:w="1408" w:type="dxa"/>
            <w:vMerge w:val="restart"/>
          </w:tcPr>
          <w:p w:rsidR="0049588C" w:rsidRPr="006234AA" w:rsidRDefault="0049588C" w:rsidP="003C0546">
            <w:pPr>
              <w:spacing w:after="120"/>
              <w:ind w:firstLine="0"/>
              <w:rPr>
                <w:lang w:val="nl-NL"/>
              </w:rPr>
            </w:pPr>
            <w:r w:rsidRPr="006234AA">
              <w:rPr>
                <w:lang w:val="nl-NL"/>
              </w:rPr>
              <w:lastRenderedPageBreak/>
              <w:t>Nước ngoài</w:t>
            </w:r>
          </w:p>
        </w:tc>
        <w:tc>
          <w:tcPr>
            <w:tcW w:w="1144" w:type="dxa"/>
          </w:tcPr>
          <w:p w:rsidR="0049588C" w:rsidRPr="006234AA" w:rsidRDefault="0049588C" w:rsidP="003C0546">
            <w:pPr>
              <w:spacing w:after="120"/>
              <w:ind w:firstLine="0"/>
              <w:rPr>
                <w:lang w:val="nl-NL"/>
              </w:rPr>
            </w:pPr>
            <w:r w:rsidRPr="006234AA">
              <w:rPr>
                <w:lang w:val="nl-NL"/>
              </w:rPr>
              <w:t>Cá nhân</w:t>
            </w:r>
          </w:p>
        </w:tc>
        <w:tc>
          <w:tcPr>
            <w:tcW w:w="931" w:type="dxa"/>
          </w:tcPr>
          <w:p w:rsidR="0049588C" w:rsidRPr="006234AA" w:rsidRDefault="0049588C" w:rsidP="003C0546">
            <w:pPr>
              <w:keepNext/>
              <w:spacing w:after="120"/>
              <w:outlineLvl w:val="2"/>
              <w:rPr>
                <w:b/>
                <w:i/>
                <w:lang w:val="nl-NL"/>
              </w:rPr>
            </w:pPr>
          </w:p>
        </w:tc>
        <w:tc>
          <w:tcPr>
            <w:tcW w:w="1263" w:type="dxa"/>
          </w:tcPr>
          <w:p w:rsidR="0049588C" w:rsidRPr="006234AA" w:rsidRDefault="0049588C" w:rsidP="003C0546">
            <w:pPr>
              <w:keepNext/>
              <w:spacing w:after="120"/>
              <w:outlineLvl w:val="2"/>
              <w:rPr>
                <w:b/>
                <w:i/>
                <w:lang w:val="nl-NL"/>
              </w:rPr>
            </w:pPr>
          </w:p>
        </w:tc>
        <w:tc>
          <w:tcPr>
            <w:tcW w:w="1357" w:type="dxa"/>
          </w:tcPr>
          <w:p w:rsidR="0049588C" w:rsidRPr="006234AA" w:rsidRDefault="0049588C" w:rsidP="003C0546">
            <w:pPr>
              <w:keepNext/>
              <w:spacing w:after="120"/>
              <w:outlineLvl w:val="2"/>
              <w:rPr>
                <w:b/>
                <w:i/>
                <w:lang w:val="nl-NL"/>
              </w:rPr>
            </w:pPr>
          </w:p>
        </w:tc>
        <w:tc>
          <w:tcPr>
            <w:tcW w:w="992" w:type="dxa"/>
          </w:tcPr>
          <w:p w:rsidR="0049588C" w:rsidRPr="006234AA" w:rsidRDefault="0049588C" w:rsidP="003C0546">
            <w:pPr>
              <w:keepNext/>
              <w:spacing w:after="120"/>
              <w:outlineLvl w:val="2"/>
              <w:rPr>
                <w:b/>
                <w:i/>
                <w:lang w:val="nl-NL"/>
              </w:rPr>
            </w:pPr>
          </w:p>
        </w:tc>
        <w:tc>
          <w:tcPr>
            <w:tcW w:w="2261" w:type="dxa"/>
          </w:tcPr>
          <w:p w:rsidR="0049588C" w:rsidRPr="006234AA" w:rsidRDefault="0049588C" w:rsidP="003C0546">
            <w:pPr>
              <w:keepNext/>
              <w:spacing w:after="120"/>
              <w:outlineLvl w:val="2"/>
              <w:rPr>
                <w:b/>
                <w:i/>
                <w:lang w:val="nl-NL"/>
              </w:rPr>
            </w:pPr>
          </w:p>
        </w:tc>
      </w:tr>
      <w:tr w:rsidR="0049588C" w:rsidRPr="006234AA" w:rsidTr="00A15B69">
        <w:trPr>
          <w:cantSplit/>
        </w:trPr>
        <w:tc>
          <w:tcPr>
            <w:tcW w:w="1408" w:type="dxa"/>
            <w:vMerge/>
          </w:tcPr>
          <w:p w:rsidR="0049588C" w:rsidRPr="006234AA" w:rsidRDefault="0049588C" w:rsidP="003C0546">
            <w:pPr>
              <w:spacing w:after="120"/>
              <w:rPr>
                <w:b/>
                <w:i/>
                <w:lang w:val="nl-NL"/>
              </w:rPr>
            </w:pPr>
          </w:p>
        </w:tc>
        <w:tc>
          <w:tcPr>
            <w:tcW w:w="1144" w:type="dxa"/>
          </w:tcPr>
          <w:p w:rsidR="0049588C" w:rsidRPr="006234AA" w:rsidRDefault="0049588C" w:rsidP="003C0546">
            <w:pPr>
              <w:spacing w:after="120"/>
              <w:ind w:firstLine="0"/>
              <w:rPr>
                <w:lang w:val="nl-NL"/>
              </w:rPr>
            </w:pPr>
            <w:r w:rsidRPr="006234AA">
              <w:rPr>
                <w:lang w:val="nl-NL"/>
              </w:rPr>
              <w:t>Tổ chức</w:t>
            </w:r>
          </w:p>
        </w:tc>
        <w:tc>
          <w:tcPr>
            <w:tcW w:w="931" w:type="dxa"/>
          </w:tcPr>
          <w:p w:rsidR="0049588C" w:rsidRPr="006234AA" w:rsidRDefault="0049588C" w:rsidP="003C0546">
            <w:pPr>
              <w:keepNext/>
              <w:spacing w:after="120"/>
              <w:outlineLvl w:val="2"/>
              <w:rPr>
                <w:b/>
                <w:i/>
                <w:lang w:val="nl-NL"/>
              </w:rPr>
            </w:pPr>
          </w:p>
        </w:tc>
        <w:tc>
          <w:tcPr>
            <w:tcW w:w="1263" w:type="dxa"/>
          </w:tcPr>
          <w:p w:rsidR="0049588C" w:rsidRPr="006234AA" w:rsidRDefault="0049588C" w:rsidP="003C0546">
            <w:pPr>
              <w:keepNext/>
              <w:spacing w:after="120"/>
              <w:outlineLvl w:val="2"/>
              <w:rPr>
                <w:b/>
                <w:i/>
                <w:lang w:val="nl-NL"/>
              </w:rPr>
            </w:pPr>
          </w:p>
        </w:tc>
        <w:tc>
          <w:tcPr>
            <w:tcW w:w="1357" w:type="dxa"/>
          </w:tcPr>
          <w:p w:rsidR="0049588C" w:rsidRPr="006234AA" w:rsidRDefault="0049588C" w:rsidP="003C0546">
            <w:pPr>
              <w:keepNext/>
              <w:spacing w:after="120"/>
              <w:outlineLvl w:val="2"/>
              <w:rPr>
                <w:b/>
                <w:i/>
                <w:lang w:val="nl-NL"/>
              </w:rPr>
            </w:pPr>
          </w:p>
        </w:tc>
        <w:tc>
          <w:tcPr>
            <w:tcW w:w="992" w:type="dxa"/>
          </w:tcPr>
          <w:p w:rsidR="0049588C" w:rsidRPr="006234AA" w:rsidRDefault="0049588C" w:rsidP="003C0546">
            <w:pPr>
              <w:keepNext/>
              <w:spacing w:after="120"/>
              <w:outlineLvl w:val="2"/>
              <w:rPr>
                <w:b/>
                <w:i/>
                <w:lang w:val="nl-NL"/>
              </w:rPr>
            </w:pPr>
          </w:p>
        </w:tc>
        <w:tc>
          <w:tcPr>
            <w:tcW w:w="2261" w:type="dxa"/>
          </w:tcPr>
          <w:p w:rsidR="0049588C" w:rsidRPr="006234AA" w:rsidRDefault="0049588C" w:rsidP="003C0546">
            <w:pPr>
              <w:keepNext/>
              <w:spacing w:after="120"/>
              <w:outlineLvl w:val="2"/>
              <w:rPr>
                <w:b/>
                <w:i/>
                <w:lang w:val="nl-NL"/>
              </w:rPr>
            </w:pPr>
          </w:p>
        </w:tc>
      </w:tr>
      <w:tr w:rsidR="0049588C" w:rsidRPr="006234AA" w:rsidTr="00A15B69">
        <w:tc>
          <w:tcPr>
            <w:tcW w:w="1408" w:type="dxa"/>
          </w:tcPr>
          <w:p w:rsidR="0049588C" w:rsidRPr="006234AA" w:rsidRDefault="0049588C" w:rsidP="003C0546">
            <w:pPr>
              <w:spacing w:after="120"/>
              <w:ind w:firstLine="0"/>
              <w:rPr>
                <w:b/>
                <w:lang w:val="nl-NL"/>
              </w:rPr>
            </w:pPr>
            <w:r w:rsidRPr="006234AA">
              <w:rPr>
                <w:b/>
                <w:lang w:val="nl-NL"/>
              </w:rPr>
              <w:t>Tổng</w:t>
            </w:r>
          </w:p>
        </w:tc>
        <w:tc>
          <w:tcPr>
            <w:tcW w:w="1144" w:type="dxa"/>
          </w:tcPr>
          <w:p w:rsidR="0049588C" w:rsidRPr="006234AA" w:rsidRDefault="0049588C" w:rsidP="003C0546">
            <w:pPr>
              <w:keepNext/>
              <w:spacing w:after="120"/>
              <w:outlineLvl w:val="2"/>
              <w:rPr>
                <w:b/>
                <w:i/>
                <w:lang w:val="nl-NL"/>
              </w:rPr>
            </w:pPr>
          </w:p>
        </w:tc>
        <w:tc>
          <w:tcPr>
            <w:tcW w:w="931" w:type="dxa"/>
          </w:tcPr>
          <w:p w:rsidR="0049588C" w:rsidRPr="006234AA" w:rsidRDefault="0049588C" w:rsidP="003C0546">
            <w:pPr>
              <w:keepNext/>
              <w:spacing w:after="120"/>
              <w:outlineLvl w:val="2"/>
              <w:rPr>
                <w:b/>
                <w:i/>
                <w:lang w:val="nl-NL"/>
              </w:rPr>
            </w:pPr>
          </w:p>
        </w:tc>
        <w:tc>
          <w:tcPr>
            <w:tcW w:w="1263" w:type="dxa"/>
          </w:tcPr>
          <w:p w:rsidR="0049588C" w:rsidRPr="006234AA" w:rsidRDefault="0049588C" w:rsidP="003C0546">
            <w:pPr>
              <w:keepNext/>
              <w:spacing w:after="120"/>
              <w:outlineLvl w:val="2"/>
              <w:rPr>
                <w:b/>
                <w:i/>
                <w:lang w:val="nl-NL"/>
              </w:rPr>
            </w:pPr>
          </w:p>
        </w:tc>
        <w:tc>
          <w:tcPr>
            <w:tcW w:w="1357" w:type="dxa"/>
          </w:tcPr>
          <w:p w:rsidR="0049588C" w:rsidRPr="006234AA" w:rsidRDefault="0049588C" w:rsidP="003C0546">
            <w:pPr>
              <w:keepNext/>
              <w:spacing w:after="120"/>
              <w:outlineLvl w:val="2"/>
              <w:rPr>
                <w:b/>
                <w:i/>
                <w:lang w:val="nl-NL"/>
              </w:rPr>
            </w:pPr>
          </w:p>
        </w:tc>
        <w:tc>
          <w:tcPr>
            <w:tcW w:w="992" w:type="dxa"/>
          </w:tcPr>
          <w:p w:rsidR="0049588C" w:rsidRPr="006234AA" w:rsidRDefault="0049588C" w:rsidP="003C0546">
            <w:pPr>
              <w:keepNext/>
              <w:spacing w:after="120"/>
              <w:outlineLvl w:val="2"/>
              <w:rPr>
                <w:b/>
                <w:i/>
                <w:lang w:val="nl-NL"/>
              </w:rPr>
            </w:pPr>
          </w:p>
        </w:tc>
        <w:tc>
          <w:tcPr>
            <w:tcW w:w="2261" w:type="dxa"/>
          </w:tcPr>
          <w:p w:rsidR="0049588C" w:rsidRPr="006234AA" w:rsidRDefault="0049588C" w:rsidP="003C0546">
            <w:pPr>
              <w:keepNext/>
              <w:spacing w:after="120"/>
              <w:outlineLvl w:val="2"/>
              <w:rPr>
                <w:b/>
                <w:i/>
                <w:lang w:val="nl-NL"/>
              </w:rPr>
            </w:pPr>
          </w:p>
        </w:tc>
      </w:tr>
    </w:tbl>
    <w:p w:rsidR="0049588C" w:rsidRPr="006234AA" w:rsidRDefault="0049588C" w:rsidP="003C0546">
      <w:pPr>
        <w:spacing w:after="120"/>
        <w:jc w:val="left"/>
        <w:rPr>
          <w:b/>
          <w:i/>
          <w:lang w:val="nl-NL"/>
        </w:rPr>
      </w:pPr>
      <w:r w:rsidRPr="006234AA">
        <w:rPr>
          <w:b/>
          <w:i/>
          <w:lang w:val="nl-NL"/>
        </w:rPr>
        <w:t>Trong đó đối với chứng khoán phái sinh: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8"/>
        <w:gridCol w:w="1144"/>
        <w:gridCol w:w="931"/>
        <w:gridCol w:w="1263"/>
        <w:gridCol w:w="1357"/>
        <w:gridCol w:w="992"/>
        <w:gridCol w:w="2261"/>
      </w:tblGrid>
      <w:tr w:rsidR="0049588C" w:rsidRPr="006234AA" w:rsidTr="00A15B69">
        <w:trPr>
          <w:cantSplit/>
        </w:trPr>
        <w:tc>
          <w:tcPr>
            <w:tcW w:w="2552" w:type="dxa"/>
            <w:gridSpan w:val="2"/>
            <w:vMerge w:val="restart"/>
            <w:vAlign w:val="center"/>
          </w:tcPr>
          <w:p w:rsidR="0049588C" w:rsidRPr="006234AA" w:rsidRDefault="0049588C" w:rsidP="003C0546">
            <w:pPr>
              <w:spacing w:after="120"/>
              <w:ind w:firstLine="0"/>
              <w:jc w:val="center"/>
              <w:rPr>
                <w:b/>
                <w:lang w:val="nl-NL"/>
              </w:rPr>
            </w:pPr>
            <w:r w:rsidRPr="006234AA">
              <w:rPr>
                <w:b/>
                <w:lang w:val="nl-NL"/>
              </w:rPr>
              <w:t>Loại khách hàng</w:t>
            </w:r>
          </w:p>
        </w:tc>
        <w:tc>
          <w:tcPr>
            <w:tcW w:w="931" w:type="dxa"/>
            <w:vMerge w:val="restart"/>
            <w:vAlign w:val="center"/>
          </w:tcPr>
          <w:p w:rsidR="0049588C" w:rsidRPr="006234AA" w:rsidRDefault="0049588C" w:rsidP="003C0546">
            <w:pPr>
              <w:spacing w:after="120"/>
              <w:ind w:firstLine="0"/>
              <w:jc w:val="center"/>
              <w:rPr>
                <w:b/>
                <w:lang w:val="nl-NL"/>
              </w:rPr>
            </w:pPr>
            <w:r w:rsidRPr="006234AA">
              <w:rPr>
                <w:b/>
                <w:lang w:val="nl-NL"/>
              </w:rPr>
              <w:t>Đầu tháng</w:t>
            </w:r>
          </w:p>
        </w:tc>
        <w:tc>
          <w:tcPr>
            <w:tcW w:w="2620" w:type="dxa"/>
            <w:gridSpan w:val="2"/>
            <w:vAlign w:val="center"/>
          </w:tcPr>
          <w:p w:rsidR="0049588C" w:rsidRPr="006234AA" w:rsidRDefault="0049588C" w:rsidP="003C0546">
            <w:pPr>
              <w:spacing w:after="120"/>
              <w:ind w:firstLine="0"/>
              <w:jc w:val="center"/>
              <w:rPr>
                <w:b/>
                <w:lang w:val="nl-NL"/>
              </w:rPr>
            </w:pPr>
            <w:r w:rsidRPr="006234AA">
              <w:rPr>
                <w:b/>
                <w:lang w:val="nl-NL"/>
              </w:rPr>
              <w:t>Phát sinh trong tháng</w:t>
            </w:r>
          </w:p>
        </w:tc>
        <w:tc>
          <w:tcPr>
            <w:tcW w:w="992" w:type="dxa"/>
            <w:vMerge w:val="restart"/>
            <w:vAlign w:val="center"/>
          </w:tcPr>
          <w:p w:rsidR="0049588C" w:rsidRPr="006234AA" w:rsidRDefault="0049588C" w:rsidP="003C0546">
            <w:pPr>
              <w:spacing w:after="120"/>
              <w:ind w:firstLine="0"/>
              <w:jc w:val="center"/>
              <w:rPr>
                <w:b/>
                <w:lang w:val="nl-NL"/>
              </w:rPr>
            </w:pPr>
            <w:r w:rsidRPr="006234AA">
              <w:rPr>
                <w:b/>
                <w:lang w:val="nl-NL"/>
              </w:rPr>
              <w:t>Cuối tháng</w:t>
            </w:r>
          </w:p>
        </w:tc>
        <w:tc>
          <w:tcPr>
            <w:tcW w:w="2261" w:type="dxa"/>
            <w:vMerge w:val="restart"/>
            <w:vAlign w:val="center"/>
          </w:tcPr>
          <w:p w:rsidR="0049588C" w:rsidRPr="006234AA" w:rsidRDefault="0049588C" w:rsidP="003C0546">
            <w:pPr>
              <w:spacing w:after="120"/>
              <w:ind w:firstLine="0"/>
              <w:jc w:val="center"/>
              <w:rPr>
                <w:b/>
                <w:lang w:val="nl-NL"/>
              </w:rPr>
            </w:pPr>
            <w:r w:rsidRPr="006234AA">
              <w:rPr>
                <w:b/>
                <w:lang w:val="nl-NL"/>
              </w:rPr>
              <w:t>Số lượng tài khoản có phát sinh giao dịch trong tháng</w:t>
            </w:r>
          </w:p>
        </w:tc>
      </w:tr>
      <w:tr w:rsidR="0049588C" w:rsidRPr="006234AA" w:rsidTr="00A15B69">
        <w:trPr>
          <w:cantSplit/>
        </w:trPr>
        <w:tc>
          <w:tcPr>
            <w:tcW w:w="2552" w:type="dxa"/>
            <w:gridSpan w:val="2"/>
            <w:vMerge/>
            <w:vAlign w:val="center"/>
          </w:tcPr>
          <w:p w:rsidR="0049588C" w:rsidRPr="006234AA" w:rsidRDefault="0049588C" w:rsidP="003C0546">
            <w:pPr>
              <w:keepNext/>
              <w:tabs>
                <w:tab w:val="num" w:pos="720"/>
              </w:tabs>
              <w:spacing w:after="120"/>
              <w:ind w:left="720" w:hanging="720"/>
              <w:jc w:val="center"/>
              <w:outlineLvl w:val="0"/>
              <w:rPr>
                <w:b/>
                <w:i/>
                <w:szCs w:val="22"/>
                <w:lang w:val="nl-NL"/>
              </w:rPr>
            </w:pPr>
          </w:p>
        </w:tc>
        <w:tc>
          <w:tcPr>
            <w:tcW w:w="931" w:type="dxa"/>
            <w:vMerge/>
            <w:vAlign w:val="center"/>
          </w:tcPr>
          <w:p w:rsidR="0049588C" w:rsidRPr="006234AA" w:rsidRDefault="0049588C" w:rsidP="003C0546">
            <w:pPr>
              <w:keepNext/>
              <w:tabs>
                <w:tab w:val="num" w:pos="720"/>
              </w:tabs>
              <w:spacing w:after="120"/>
              <w:ind w:left="720" w:hanging="720"/>
              <w:jc w:val="center"/>
              <w:outlineLvl w:val="0"/>
              <w:rPr>
                <w:b/>
                <w:i/>
                <w:szCs w:val="22"/>
                <w:lang w:val="nl-NL"/>
              </w:rPr>
            </w:pPr>
          </w:p>
        </w:tc>
        <w:tc>
          <w:tcPr>
            <w:tcW w:w="1263" w:type="dxa"/>
            <w:vAlign w:val="center"/>
          </w:tcPr>
          <w:p w:rsidR="0049588C" w:rsidRPr="006234AA" w:rsidRDefault="0049588C" w:rsidP="003C0546">
            <w:pPr>
              <w:spacing w:after="120"/>
              <w:ind w:firstLine="0"/>
              <w:jc w:val="center"/>
              <w:rPr>
                <w:b/>
                <w:lang w:val="nl-NL"/>
              </w:rPr>
            </w:pPr>
            <w:r w:rsidRPr="006234AA">
              <w:rPr>
                <w:b/>
                <w:lang w:val="nl-NL"/>
              </w:rPr>
              <w:t>Tăng</w:t>
            </w:r>
          </w:p>
        </w:tc>
        <w:tc>
          <w:tcPr>
            <w:tcW w:w="1357" w:type="dxa"/>
            <w:vAlign w:val="center"/>
          </w:tcPr>
          <w:p w:rsidR="0049588C" w:rsidRPr="006234AA" w:rsidRDefault="0049588C" w:rsidP="003C0546">
            <w:pPr>
              <w:spacing w:after="120"/>
              <w:ind w:firstLine="0"/>
              <w:jc w:val="center"/>
              <w:rPr>
                <w:b/>
                <w:lang w:val="nl-NL"/>
              </w:rPr>
            </w:pPr>
            <w:r w:rsidRPr="006234AA">
              <w:rPr>
                <w:b/>
                <w:lang w:val="nl-NL"/>
              </w:rPr>
              <w:t>Giảm</w:t>
            </w:r>
          </w:p>
        </w:tc>
        <w:tc>
          <w:tcPr>
            <w:tcW w:w="992" w:type="dxa"/>
            <w:vMerge/>
            <w:vAlign w:val="center"/>
          </w:tcPr>
          <w:p w:rsidR="0049588C" w:rsidRPr="006234AA" w:rsidRDefault="0049588C" w:rsidP="003C0546">
            <w:pPr>
              <w:keepNext/>
              <w:tabs>
                <w:tab w:val="num" w:pos="720"/>
              </w:tabs>
              <w:spacing w:after="120"/>
              <w:ind w:left="720" w:hanging="720"/>
              <w:jc w:val="center"/>
              <w:outlineLvl w:val="0"/>
              <w:rPr>
                <w:b/>
                <w:szCs w:val="22"/>
                <w:lang w:val="nl-NL"/>
              </w:rPr>
            </w:pPr>
          </w:p>
        </w:tc>
        <w:tc>
          <w:tcPr>
            <w:tcW w:w="2261" w:type="dxa"/>
            <w:vMerge/>
            <w:vAlign w:val="center"/>
          </w:tcPr>
          <w:p w:rsidR="0049588C" w:rsidRPr="006234AA" w:rsidRDefault="0049588C" w:rsidP="003C0546">
            <w:pPr>
              <w:keepNext/>
              <w:tabs>
                <w:tab w:val="num" w:pos="720"/>
              </w:tabs>
              <w:spacing w:after="120"/>
              <w:ind w:left="720" w:hanging="720"/>
              <w:jc w:val="center"/>
              <w:outlineLvl w:val="0"/>
              <w:rPr>
                <w:b/>
                <w:i/>
                <w:szCs w:val="22"/>
                <w:lang w:val="nl-NL"/>
              </w:rPr>
            </w:pPr>
          </w:p>
        </w:tc>
      </w:tr>
      <w:tr w:rsidR="0049588C" w:rsidRPr="006234AA" w:rsidTr="00A15B69">
        <w:trPr>
          <w:cantSplit/>
        </w:trPr>
        <w:tc>
          <w:tcPr>
            <w:tcW w:w="1408" w:type="dxa"/>
            <w:vMerge w:val="restart"/>
          </w:tcPr>
          <w:p w:rsidR="0049588C" w:rsidRPr="006234AA" w:rsidRDefault="0049588C" w:rsidP="003C0546">
            <w:pPr>
              <w:spacing w:after="120"/>
              <w:ind w:firstLine="0"/>
              <w:rPr>
                <w:lang w:val="nl-NL"/>
              </w:rPr>
            </w:pPr>
            <w:r w:rsidRPr="006234AA">
              <w:rPr>
                <w:lang w:val="nl-NL"/>
              </w:rPr>
              <w:t>Trong nước</w:t>
            </w:r>
          </w:p>
        </w:tc>
        <w:tc>
          <w:tcPr>
            <w:tcW w:w="1144" w:type="dxa"/>
          </w:tcPr>
          <w:p w:rsidR="0049588C" w:rsidRPr="006234AA" w:rsidRDefault="0049588C" w:rsidP="003C0546">
            <w:pPr>
              <w:spacing w:after="120"/>
              <w:ind w:firstLine="0"/>
              <w:rPr>
                <w:lang w:val="nl-NL"/>
              </w:rPr>
            </w:pPr>
            <w:r w:rsidRPr="006234AA">
              <w:rPr>
                <w:lang w:val="nl-NL"/>
              </w:rPr>
              <w:t>Cá nhân</w:t>
            </w:r>
          </w:p>
        </w:tc>
        <w:tc>
          <w:tcPr>
            <w:tcW w:w="931" w:type="dxa"/>
          </w:tcPr>
          <w:p w:rsidR="0049588C" w:rsidRPr="006234AA" w:rsidRDefault="0049588C" w:rsidP="003C0546">
            <w:pPr>
              <w:keepNext/>
              <w:spacing w:after="120"/>
              <w:outlineLvl w:val="2"/>
              <w:rPr>
                <w:b/>
                <w:i/>
                <w:lang w:val="nl-NL"/>
              </w:rPr>
            </w:pPr>
          </w:p>
        </w:tc>
        <w:tc>
          <w:tcPr>
            <w:tcW w:w="1263" w:type="dxa"/>
          </w:tcPr>
          <w:p w:rsidR="0049588C" w:rsidRPr="006234AA" w:rsidRDefault="0049588C" w:rsidP="003C0546">
            <w:pPr>
              <w:keepNext/>
              <w:spacing w:after="120"/>
              <w:outlineLvl w:val="2"/>
              <w:rPr>
                <w:b/>
                <w:i/>
                <w:lang w:val="nl-NL"/>
              </w:rPr>
            </w:pPr>
          </w:p>
        </w:tc>
        <w:tc>
          <w:tcPr>
            <w:tcW w:w="1357" w:type="dxa"/>
          </w:tcPr>
          <w:p w:rsidR="0049588C" w:rsidRPr="006234AA" w:rsidRDefault="0049588C" w:rsidP="003C0546">
            <w:pPr>
              <w:keepNext/>
              <w:spacing w:after="120"/>
              <w:outlineLvl w:val="2"/>
              <w:rPr>
                <w:b/>
                <w:i/>
                <w:lang w:val="nl-NL"/>
              </w:rPr>
            </w:pPr>
          </w:p>
        </w:tc>
        <w:tc>
          <w:tcPr>
            <w:tcW w:w="992" w:type="dxa"/>
          </w:tcPr>
          <w:p w:rsidR="0049588C" w:rsidRPr="006234AA" w:rsidRDefault="0049588C" w:rsidP="003C0546">
            <w:pPr>
              <w:keepNext/>
              <w:spacing w:after="120"/>
              <w:outlineLvl w:val="2"/>
              <w:rPr>
                <w:b/>
                <w:i/>
                <w:lang w:val="nl-NL"/>
              </w:rPr>
            </w:pPr>
          </w:p>
        </w:tc>
        <w:tc>
          <w:tcPr>
            <w:tcW w:w="2261" w:type="dxa"/>
          </w:tcPr>
          <w:p w:rsidR="0049588C" w:rsidRPr="006234AA" w:rsidRDefault="0049588C" w:rsidP="003C0546">
            <w:pPr>
              <w:keepNext/>
              <w:spacing w:after="120"/>
              <w:outlineLvl w:val="2"/>
              <w:rPr>
                <w:b/>
                <w:i/>
                <w:lang w:val="nl-NL"/>
              </w:rPr>
            </w:pPr>
          </w:p>
        </w:tc>
      </w:tr>
      <w:tr w:rsidR="0049588C" w:rsidRPr="006234AA" w:rsidTr="00A15B69">
        <w:trPr>
          <w:cantSplit/>
        </w:trPr>
        <w:tc>
          <w:tcPr>
            <w:tcW w:w="1408" w:type="dxa"/>
            <w:vMerge/>
          </w:tcPr>
          <w:p w:rsidR="0049588C" w:rsidRPr="006234AA" w:rsidRDefault="0049588C" w:rsidP="003C0546">
            <w:pPr>
              <w:spacing w:after="120"/>
              <w:rPr>
                <w:b/>
                <w:i/>
                <w:lang w:val="nl-NL"/>
              </w:rPr>
            </w:pPr>
          </w:p>
        </w:tc>
        <w:tc>
          <w:tcPr>
            <w:tcW w:w="1144" w:type="dxa"/>
          </w:tcPr>
          <w:p w:rsidR="0049588C" w:rsidRPr="006234AA" w:rsidRDefault="0049588C" w:rsidP="003C0546">
            <w:pPr>
              <w:spacing w:after="120"/>
              <w:ind w:firstLine="0"/>
              <w:rPr>
                <w:lang w:val="nl-NL"/>
              </w:rPr>
            </w:pPr>
            <w:r w:rsidRPr="006234AA">
              <w:rPr>
                <w:lang w:val="nl-NL"/>
              </w:rPr>
              <w:t>Tổ chức</w:t>
            </w:r>
          </w:p>
        </w:tc>
        <w:tc>
          <w:tcPr>
            <w:tcW w:w="931" w:type="dxa"/>
          </w:tcPr>
          <w:p w:rsidR="0049588C" w:rsidRPr="006234AA" w:rsidRDefault="0049588C" w:rsidP="003C0546">
            <w:pPr>
              <w:keepNext/>
              <w:spacing w:after="120"/>
              <w:outlineLvl w:val="2"/>
              <w:rPr>
                <w:b/>
                <w:i/>
                <w:lang w:val="nl-NL"/>
              </w:rPr>
            </w:pPr>
          </w:p>
        </w:tc>
        <w:tc>
          <w:tcPr>
            <w:tcW w:w="1263" w:type="dxa"/>
          </w:tcPr>
          <w:p w:rsidR="0049588C" w:rsidRPr="006234AA" w:rsidRDefault="0049588C" w:rsidP="003C0546">
            <w:pPr>
              <w:keepNext/>
              <w:spacing w:after="120"/>
              <w:outlineLvl w:val="2"/>
              <w:rPr>
                <w:b/>
                <w:i/>
                <w:lang w:val="nl-NL"/>
              </w:rPr>
            </w:pPr>
          </w:p>
        </w:tc>
        <w:tc>
          <w:tcPr>
            <w:tcW w:w="1357" w:type="dxa"/>
          </w:tcPr>
          <w:p w:rsidR="0049588C" w:rsidRPr="006234AA" w:rsidRDefault="0049588C" w:rsidP="003C0546">
            <w:pPr>
              <w:keepNext/>
              <w:spacing w:after="120"/>
              <w:outlineLvl w:val="2"/>
              <w:rPr>
                <w:b/>
                <w:i/>
                <w:lang w:val="nl-NL"/>
              </w:rPr>
            </w:pPr>
          </w:p>
        </w:tc>
        <w:tc>
          <w:tcPr>
            <w:tcW w:w="992" w:type="dxa"/>
          </w:tcPr>
          <w:p w:rsidR="0049588C" w:rsidRPr="006234AA" w:rsidRDefault="0049588C" w:rsidP="003C0546">
            <w:pPr>
              <w:keepNext/>
              <w:spacing w:after="120"/>
              <w:outlineLvl w:val="2"/>
              <w:rPr>
                <w:b/>
                <w:i/>
                <w:lang w:val="nl-NL"/>
              </w:rPr>
            </w:pPr>
          </w:p>
        </w:tc>
        <w:tc>
          <w:tcPr>
            <w:tcW w:w="2261" w:type="dxa"/>
          </w:tcPr>
          <w:p w:rsidR="0049588C" w:rsidRPr="006234AA" w:rsidRDefault="0049588C" w:rsidP="003C0546">
            <w:pPr>
              <w:keepNext/>
              <w:spacing w:after="120"/>
              <w:outlineLvl w:val="2"/>
              <w:rPr>
                <w:b/>
                <w:i/>
                <w:lang w:val="nl-NL"/>
              </w:rPr>
            </w:pPr>
          </w:p>
        </w:tc>
      </w:tr>
      <w:tr w:rsidR="0049588C" w:rsidRPr="006234AA" w:rsidTr="00A15B69">
        <w:trPr>
          <w:cantSplit/>
        </w:trPr>
        <w:tc>
          <w:tcPr>
            <w:tcW w:w="1408" w:type="dxa"/>
            <w:vMerge w:val="restart"/>
          </w:tcPr>
          <w:p w:rsidR="0049588C" w:rsidRPr="006234AA" w:rsidRDefault="0049588C" w:rsidP="003C0546">
            <w:pPr>
              <w:spacing w:after="120"/>
              <w:ind w:firstLine="0"/>
              <w:rPr>
                <w:lang w:val="nl-NL"/>
              </w:rPr>
            </w:pPr>
            <w:r w:rsidRPr="006234AA">
              <w:rPr>
                <w:lang w:val="nl-NL"/>
              </w:rPr>
              <w:t>Nước ngoài</w:t>
            </w:r>
          </w:p>
        </w:tc>
        <w:tc>
          <w:tcPr>
            <w:tcW w:w="1144" w:type="dxa"/>
          </w:tcPr>
          <w:p w:rsidR="0049588C" w:rsidRPr="006234AA" w:rsidRDefault="0049588C" w:rsidP="003C0546">
            <w:pPr>
              <w:spacing w:after="120"/>
              <w:ind w:firstLine="0"/>
              <w:rPr>
                <w:lang w:val="nl-NL"/>
              </w:rPr>
            </w:pPr>
            <w:r w:rsidRPr="006234AA">
              <w:rPr>
                <w:lang w:val="nl-NL"/>
              </w:rPr>
              <w:t>Cá nhân</w:t>
            </w:r>
          </w:p>
        </w:tc>
        <w:tc>
          <w:tcPr>
            <w:tcW w:w="931" w:type="dxa"/>
          </w:tcPr>
          <w:p w:rsidR="0049588C" w:rsidRPr="006234AA" w:rsidRDefault="0049588C" w:rsidP="003C0546">
            <w:pPr>
              <w:keepNext/>
              <w:spacing w:after="120"/>
              <w:outlineLvl w:val="2"/>
              <w:rPr>
                <w:b/>
                <w:i/>
                <w:lang w:val="nl-NL"/>
              </w:rPr>
            </w:pPr>
          </w:p>
        </w:tc>
        <w:tc>
          <w:tcPr>
            <w:tcW w:w="1263" w:type="dxa"/>
          </w:tcPr>
          <w:p w:rsidR="0049588C" w:rsidRPr="006234AA" w:rsidRDefault="0049588C" w:rsidP="003C0546">
            <w:pPr>
              <w:keepNext/>
              <w:spacing w:after="120"/>
              <w:outlineLvl w:val="2"/>
              <w:rPr>
                <w:b/>
                <w:i/>
                <w:lang w:val="nl-NL"/>
              </w:rPr>
            </w:pPr>
          </w:p>
        </w:tc>
        <w:tc>
          <w:tcPr>
            <w:tcW w:w="1357" w:type="dxa"/>
          </w:tcPr>
          <w:p w:rsidR="0049588C" w:rsidRPr="006234AA" w:rsidRDefault="0049588C" w:rsidP="003C0546">
            <w:pPr>
              <w:keepNext/>
              <w:spacing w:after="120"/>
              <w:outlineLvl w:val="2"/>
              <w:rPr>
                <w:b/>
                <w:i/>
                <w:lang w:val="nl-NL"/>
              </w:rPr>
            </w:pPr>
          </w:p>
        </w:tc>
        <w:tc>
          <w:tcPr>
            <w:tcW w:w="992" w:type="dxa"/>
          </w:tcPr>
          <w:p w:rsidR="0049588C" w:rsidRPr="006234AA" w:rsidRDefault="0049588C" w:rsidP="003C0546">
            <w:pPr>
              <w:keepNext/>
              <w:spacing w:after="120"/>
              <w:outlineLvl w:val="2"/>
              <w:rPr>
                <w:b/>
                <w:i/>
                <w:lang w:val="nl-NL"/>
              </w:rPr>
            </w:pPr>
          </w:p>
        </w:tc>
        <w:tc>
          <w:tcPr>
            <w:tcW w:w="2261" w:type="dxa"/>
          </w:tcPr>
          <w:p w:rsidR="0049588C" w:rsidRPr="006234AA" w:rsidRDefault="0049588C" w:rsidP="003C0546">
            <w:pPr>
              <w:keepNext/>
              <w:spacing w:after="120"/>
              <w:outlineLvl w:val="2"/>
              <w:rPr>
                <w:b/>
                <w:i/>
                <w:lang w:val="nl-NL"/>
              </w:rPr>
            </w:pPr>
          </w:p>
        </w:tc>
      </w:tr>
      <w:tr w:rsidR="0049588C" w:rsidRPr="006234AA" w:rsidTr="00A15B69">
        <w:trPr>
          <w:cantSplit/>
        </w:trPr>
        <w:tc>
          <w:tcPr>
            <w:tcW w:w="1408" w:type="dxa"/>
            <w:vMerge/>
          </w:tcPr>
          <w:p w:rsidR="0049588C" w:rsidRPr="006234AA" w:rsidRDefault="0049588C" w:rsidP="003C0546">
            <w:pPr>
              <w:spacing w:after="120"/>
              <w:rPr>
                <w:b/>
                <w:i/>
                <w:lang w:val="nl-NL"/>
              </w:rPr>
            </w:pPr>
          </w:p>
        </w:tc>
        <w:tc>
          <w:tcPr>
            <w:tcW w:w="1144" w:type="dxa"/>
          </w:tcPr>
          <w:p w:rsidR="0049588C" w:rsidRPr="006234AA" w:rsidRDefault="0049588C" w:rsidP="003C0546">
            <w:pPr>
              <w:spacing w:after="120"/>
              <w:ind w:firstLine="0"/>
              <w:rPr>
                <w:lang w:val="nl-NL"/>
              </w:rPr>
            </w:pPr>
            <w:r w:rsidRPr="006234AA">
              <w:rPr>
                <w:lang w:val="nl-NL"/>
              </w:rPr>
              <w:t>Tổ chức</w:t>
            </w:r>
          </w:p>
        </w:tc>
        <w:tc>
          <w:tcPr>
            <w:tcW w:w="931" w:type="dxa"/>
          </w:tcPr>
          <w:p w:rsidR="0049588C" w:rsidRPr="006234AA" w:rsidRDefault="0049588C" w:rsidP="003C0546">
            <w:pPr>
              <w:keepNext/>
              <w:spacing w:after="120"/>
              <w:outlineLvl w:val="2"/>
              <w:rPr>
                <w:b/>
                <w:i/>
                <w:lang w:val="nl-NL"/>
              </w:rPr>
            </w:pPr>
          </w:p>
        </w:tc>
        <w:tc>
          <w:tcPr>
            <w:tcW w:w="1263" w:type="dxa"/>
          </w:tcPr>
          <w:p w:rsidR="0049588C" w:rsidRPr="006234AA" w:rsidRDefault="0049588C" w:rsidP="003C0546">
            <w:pPr>
              <w:keepNext/>
              <w:spacing w:after="120"/>
              <w:outlineLvl w:val="2"/>
              <w:rPr>
                <w:b/>
                <w:i/>
                <w:lang w:val="nl-NL"/>
              </w:rPr>
            </w:pPr>
          </w:p>
        </w:tc>
        <w:tc>
          <w:tcPr>
            <w:tcW w:w="1357" w:type="dxa"/>
          </w:tcPr>
          <w:p w:rsidR="0049588C" w:rsidRPr="006234AA" w:rsidRDefault="0049588C" w:rsidP="003C0546">
            <w:pPr>
              <w:keepNext/>
              <w:spacing w:after="120"/>
              <w:outlineLvl w:val="2"/>
              <w:rPr>
                <w:b/>
                <w:i/>
                <w:lang w:val="nl-NL"/>
              </w:rPr>
            </w:pPr>
          </w:p>
        </w:tc>
        <w:tc>
          <w:tcPr>
            <w:tcW w:w="992" w:type="dxa"/>
          </w:tcPr>
          <w:p w:rsidR="0049588C" w:rsidRPr="006234AA" w:rsidRDefault="0049588C" w:rsidP="003C0546">
            <w:pPr>
              <w:keepNext/>
              <w:spacing w:after="120"/>
              <w:outlineLvl w:val="2"/>
              <w:rPr>
                <w:b/>
                <w:i/>
                <w:lang w:val="nl-NL"/>
              </w:rPr>
            </w:pPr>
          </w:p>
        </w:tc>
        <w:tc>
          <w:tcPr>
            <w:tcW w:w="2261" w:type="dxa"/>
          </w:tcPr>
          <w:p w:rsidR="0049588C" w:rsidRPr="006234AA" w:rsidRDefault="0049588C" w:rsidP="003C0546">
            <w:pPr>
              <w:keepNext/>
              <w:spacing w:after="120"/>
              <w:outlineLvl w:val="2"/>
              <w:rPr>
                <w:b/>
                <w:i/>
                <w:lang w:val="nl-NL"/>
              </w:rPr>
            </w:pPr>
          </w:p>
        </w:tc>
      </w:tr>
      <w:tr w:rsidR="0049588C" w:rsidRPr="006234AA" w:rsidTr="00A15B69">
        <w:tc>
          <w:tcPr>
            <w:tcW w:w="1408" w:type="dxa"/>
          </w:tcPr>
          <w:p w:rsidR="0049588C" w:rsidRPr="006234AA" w:rsidRDefault="0049588C" w:rsidP="003C0546">
            <w:pPr>
              <w:spacing w:after="120"/>
              <w:ind w:firstLine="0"/>
              <w:rPr>
                <w:b/>
                <w:lang w:val="nl-NL"/>
              </w:rPr>
            </w:pPr>
            <w:r w:rsidRPr="006234AA">
              <w:rPr>
                <w:b/>
                <w:lang w:val="nl-NL"/>
              </w:rPr>
              <w:t>Tổng</w:t>
            </w:r>
          </w:p>
        </w:tc>
        <w:tc>
          <w:tcPr>
            <w:tcW w:w="1144" w:type="dxa"/>
          </w:tcPr>
          <w:p w:rsidR="0049588C" w:rsidRPr="006234AA" w:rsidRDefault="0049588C" w:rsidP="003C0546">
            <w:pPr>
              <w:keepNext/>
              <w:spacing w:after="120"/>
              <w:outlineLvl w:val="2"/>
              <w:rPr>
                <w:b/>
                <w:i/>
                <w:lang w:val="nl-NL"/>
              </w:rPr>
            </w:pPr>
          </w:p>
        </w:tc>
        <w:tc>
          <w:tcPr>
            <w:tcW w:w="931" w:type="dxa"/>
          </w:tcPr>
          <w:p w:rsidR="0049588C" w:rsidRPr="006234AA" w:rsidRDefault="0049588C" w:rsidP="003C0546">
            <w:pPr>
              <w:keepNext/>
              <w:spacing w:after="120"/>
              <w:outlineLvl w:val="2"/>
              <w:rPr>
                <w:b/>
                <w:i/>
                <w:lang w:val="nl-NL"/>
              </w:rPr>
            </w:pPr>
          </w:p>
        </w:tc>
        <w:tc>
          <w:tcPr>
            <w:tcW w:w="1263" w:type="dxa"/>
          </w:tcPr>
          <w:p w:rsidR="0049588C" w:rsidRPr="006234AA" w:rsidRDefault="0049588C" w:rsidP="003C0546">
            <w:pPr>
              <w:keepNext/>
              <w:spacing w:after="120"/>
              <w:outlineLvl w:val="2"/>
              <w:rPr>
                <w:b/>
                <w:i/>
                <w:lang w:val="nl-NL"/>
              </w:rPr>
            </w:pPr>
          </w:p>
        </w:tc>
        <w:tc>
          <w:tcPr>
            <w:tcW w:w="1357" w:type="dxa"/>
          </w:tcPr>
          <w:p w:rsidR="0049588C" w:rsidRPr="006234AA" w:rsidRDefault="0049588C" w:rsidP="003C0546">
            <w:pPr>
              <w:keepNext/>
              <w:spacing w:after="120"/>
              <w:outlineLvl w:val="2"/>
              <w:rPr>
                <w:b/>
                <w:i/>
                <w:lang w:val="nl-NL"/>
              </w:rPr>
            </w:pPr>
          </w:p>
        </w:tc>
        <w:tc>
          <w:tcPr>
            <w:tcW w:w="992" w:type="dxa"/>
          </w:tcPr>
          <w:p w:rsidR="0049588C" w:rsidRPr="006234AA" w:rsidRDefault="0049588C" w:rsidP="003C0546">
            <w:pPr>
              <w:keepNext/>
              <w:spacing w:after="120"/>
              <w:outlineLvl w:val="2"/>
              <w:rPr>
                <w:b/>
                <w:i/>
                <w:lang w:val="nl-NL"/>
              </w:rPr>
            </w:pPr>
          </w:p>
        </w:tc>
        <w:tc>
          <w:tcPr>
            <w:tcW w:w="2261" w:type="dxa"/>
          </w:tcPr>
          <w:p w:rsidR="0049588C" w:rsidRPr="006234AA" w:rsidRDefault="0049588C" w:rsidP="003C0546">
            <w:pPr>
              <w:keepNext/>
              <w:spacing w:after="120"/>
              <w:outlineLvl w:val="2"/>
              <w:rPr>
                <w:b/>
                <w:i/>
                <w:lang w:val="nl-NL"/>
              </w:rPr>
            </w:pPr>
          </w:p>
        </w:tc>
      </w:tr>
    </w:tbl>
    <w:p w:rsidR="0049588C" w:rsidRPr="006234AA" w:rsidRDefault="0049588C" w:rsidP="00D36937">
      <w:pPr>
        <w:pStyle w:val="ListParagraph"/>
        <w:numPr>
          <w:ilvl w:val="1"/>
          <w:numId w:val="38"/>
        </w:numPr>
        <w:spacing w:after="120"/>
        <w:ind w:left="743" w:hanging="323"/>
        <w:jc w:val="left"/>
      </w:pPr>
      <w:r w:rsidRPr="006234AA">
        <w:t>Số dư tiền gửi giao dịch chứng khoán của khách hàng</w:t>
      </w:r>
    </w:p>
    <w:p w:rsidR="0049588C" w:rsidRPr="006234AA" w:rsidRDefault="0049588C" w:rsidP="003C0546">
      <w:pPr>
        <w:spacing w:after="120"/>
        <w:jc w:val="right"/>
        <w:rPr>
          <w:i/>
          <w:lang w:val="nl-NL"/>
        </w:rPr>
      </w:pPr>
      <w:r w:rsidRPr="006234AA">
        <w:rPr>
          <w:i/>
          <w:lang w:val="nl-NL"/>
        </w:rPr>
        <w:t>đơn vị: đồng</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1277"/>
        <w:gridCol w:w="1926"/>
        <w:gridCol w:w="1413"/>
        <w:gridCol w:w="1414"/>
        <w:gridCol w:w="1783"/>
      </w:tblGrid>
      <w:tr w:rsidR="0049588C" w:rsidRPr="006234AA" w:rsidTr="00A15B69">
        <w:trPr>
          <w:cantSplit/>
          <w:trHeight w:val="386"/>
          <w:tblHeader/>
        </w:trPr>
        <w:tc>
          <w:tcPr>
            <w:tcW w:w="2752" w:type="dxa"/>
            <w:gridSpan w:val="2"/>
            <w:vMerge w:val="restart"/>
            <w:vAlign w:val="center"/>
          </w:tcPr>
          <w:p w:rsidR="0049588C" w:rsidRPr="006234AA" w:rsidRDefault="0049588C" w:rsidP="003C0546">
            <w:pPr>
              <w:spacing w:after="120"/>
              <w:ind w:firstLine="0"/>
              <w:jc w:val="center"/>
              <w:rPr>
                <w:b/>
                <w:lang w:val="nl-NL"/>
              </w:rPr>
            </w:pPr>
            <w:r w:rsidRPr="006234AA">
              <w:rPr>
                <w:b/>
                <w:lang w:val="nl-NL"/>
              </w:rPr>
              <w:t>Loại khách hàng</w:t>
            </w:r>
          </w:p>
        </w:tc>
        <w:tc>
          <w:tcPr>
            <w:tcW w:w="1926" w:type="dxa"/>
            <w:vMerge w:val="restart"/>
            <w:vAlign w:val="center"/>
          </w:tcPr>
          <w:p w:rsidR="0049588C" w:rsidRPr="006234AA" w:rsidRDefault="0049588C" w:rsidP="003C0546">
            <w:pPr>
              <w:spacing w:after="120"/>
              <w:ind w:firstLine="0"/>
              <w:jc w:val="center"/>
              <w:rPr>
                <w:b/>
                <w:lang w:val="nl-NL"/>
              </w:rPr>
            </w:pPr>
            <w:r w:rsidRPr="006234AA">
              <w:rPr>
                <w:b/>
                <w:lang w:val="nl-NL"/>
              </w:rPr>
              <w:t>Dư đầu tháng</w:t>
            </w:r>
          </w:p>
        </w:tc>
        <w:tc>
          <w:tcPr>
            <w:tcW w:w="2827" w:type="dxa"/>
            <w:gridSpan w:val="2"/>
            <w:vAlign w:val="center"/>
          </w:tcPr>
          <w:p w:rsidR="0049588C" w:rsidRPr="006234AA" w:rsidRDefault="0049588C" w:rsidP="003C0546">
            <w:pPr>
              <w:spacing w:after="120"/>
              <w:ind w:firstLine="0"/>
              <w:jc w:val="center"/>
              <w:rPr>
                <w:b/>
                <w:lang w:val="nl-NL"/>
              </w:rPr>
            </w:pPr>
            <w:r w:rsidRPr="006234AA">
              <w:rPr>
                <w:b/>
                <w:lang w:val="nl-NL"/>
              </w:rPr>
              <w:t>Phát sinh trong tháng</w:t>
            </w:r>
          </w:p>
        </w:tc>
        <w:tc>
          <w:tcPr>
            <w:tcW w:w="1783" w:type="dxa"/>
            <w:vMerge w:val="restart"/>
            <w:vAlign w:val="center"/>
          </w:tcPr>
          <w:p w:rsidR="0049588C" w:rsidRPr="006234AA" w:rsidRDefault="0049588C" w:rsidP="003C0546">
            <w:pPr>
              <w:spacing w:after="120"/>
              <w:ind w:firstLine="0"/>
              <w:jc w:val="center"/>
              <w:rPr>
                <w:b/>
                <w:lang w:val="nl-NL"/>
              </w:rPr>
            </w:pPr>
            <w:r w:rsidRPr="006234AA">
              <w:rPr>
                <w:b/>
                <w:lang w:val="nl-NL"/>
              </w:rPr>
              <w:t>Dư cuối tháng</w:t>
            </w:r>
          </w:p>
        </w:tc>
      </w:tr>
      <w:tr w:rsidR="0049588C" w:rsidRPr="006234AA" w:rsidTr="00A15B69">
        <w:trPr>
          <w:cantSplit/>
          <w:trHeight w:val="386"/>
          <w:tblHeader/>
        </w:trPr>
        <w:tc>
          <w:tcPr>
            <w:tcW w:w="2752" w:type="dxa"/>
            <w:gridSpan w:val="2"/>
            <w:vMerge/>
            <w:vAlign w:val="center"/>
          </w:tcPr>
          <w:p w:rsidR="0049588C" w:rsidRPr="006234AA" w:rsidRDefault="0049588C" w:rsidP="003C0546">
            <w:pPr>
              <w:spacing w:after="120"/>
              <w:jc w:val="center"/>
              <w:rPr>
                <w:b/>
                <w:i/>
                <w:lang w:val="nl-NL"/>
              </w:rPr>
            </w:pPr>
          </w:p>
        </w:tc>
        <w:tc>
          <w:tcPr>
            <w:tcW w:w="1926" w:type="dxa"/>
            <w:vMerge/>
            <w:vAlign w:val="center"/>
          </w:tcPr>
          <w:p w:rsidR="0049588C" w:rsidRPr="006234AA" w:rsidRDefault="0049588C" w:rsidP="003C0546">
            <w:pPr>
              <w:spacing w:after="120"/>
              <w:jc w:val="center"/>
              <w:rPr>
                <w:b/>
                <w:i/>
                <w:lang w:val="nl-NL"/>
              </w:rPr>
            </w:pPr>
          </w:p>
        </w:tc>
        <w:tc>
          <w:tcPr>
            <w:tcW w:w="1413" w:type="dxa"/>
            <w:vAlign w:val="center"/>
          </w:tcPr>
          <w:p w:rsidR="0049588C" w:rsidRPr="006234AA" w:rsidRDefault="0049588C" w:rsidP="003C0546">
            <w:pPr>
              <w:spacing w:after="120"/>
              <w:ind w:firstLine="0"/>
              <w:jc w:val="center"/>
              <w:rPr>
                <w:b/>
                <w:lang w:val="nl-NL"/>
              </w:rPr>
            </w:pPr>
            <w:r w:rsidRPr="006234AA">
              <w:rPr>
                <w:b/>
                <w:lang w:val="nl-NL"/>
              </w:rPr>
              <w:t>Tăng</w:t>
            </w:r>
          </w:p>
        </w:tc>
        <w:tc>
          <w:tcPr>
            <w:tcW w:w="1414" w:type="dxa"/>
            <w:vAlign w:val="center"/>
          </w:tcPr>
          <w:p w:rsidR="0049588C" w:rsidRPr="006234AA" w:rsidRDefault="0049588C" w:rsidP="003C0546">
            <w:pPr>
              <w:spacing w:after="120"/>
              <w:ind w:firstLine="0"/>
              <w:jc w:val="center"/>
              <w:rPr>
                <w:b/>
                <w:lang w:val="nl-NL"/>
              </w:rPr>
            </w:pPr>
            <w:r w:rsidRPr="006234AA">
              <w:rPr>
                <w:b/>
                <w:lang w:val="nl-NL"/>
              </w:rPr>
              <w:t>Giảm</w:t>
            </w:r>
          </w:p>
        </w:tc>
        <w:tc>
          <w:tcPr>
            <w:tcW w:w="1783" w:type="dxa"/>
            <w:vMerge/>
            <w:vAlign w:val="center"/>
          </w:tcPr>
          <w:p w:rsidR="0049588C" w:rsidRPr="006234AA" w:rsidRDefault="0049588C" w:rsidP="003C0546">
            <w:pPr>
              <w:spacing w:after="120"/>
              <w:jc w:val="center"/>
              <w:rPr>
                <w:b/>
                <w:lang w:val="nl-NL"/>
              </w:rPr>
            </w:pPr>
          </w:p>
        </w:tc>
      </w:tr>
      <w:tr w:rsidR="0049588C" w:rsidRPr="006234AA" w:rsidTr="00A15B69">
        <w:trPr>
          <w:cantSplit/>
        </w:trPr>
        <w:tc>
          <w:tcPr>
            <w:tcW w:w="1475" w:type="dxa"/>
            <w:vMerge w:val="restart"/>
          </w:tcPr>
          <w:p w:rsidR="0049588C" w:rsidRPr="006234AA" w:rsidRDefault="0049588C" w:rsidP="003C0546">
            <w:pPr>
              <w:spacing w:after="120"/>
              <w:ind w:firstLine="0"/>
              <w:rPr>
                <w:lang w:val="nl-NL"/>
              </w:rPr>
            </w:pPr>
            <w:r w:rsidRPr="006234AA">
              <w:rPr>
                <w:lang w:val="nl-NL"/>
              </w:rPr>
              <w:t>Trong nước</w:t>
            </w:r>
          </w:p>
        </w:tc>
        <w:tc>
          <w:tcPr>
            <w:tcW w:w="1277" w:type="dxa"/>
          </w:tcPr>
          <w:p w:rsidR="0049588C" w:rsidRPr="006234AA" w:rsidRDefault="0049588C" w:rsidP="003C0546">
            <w:pPr>
              <w:spacing w:after="120"/>
              <w:ind w:firstLine="0"/>
              <w:rPr>
                <w:lang w:val="nl-NL"/>
              </w:rPr>
            </w:pPr>
            <w:r w:rsidRPr="006234AA">
              <w:rPr>
                <w:lang w:val="nl-NL"/>
              </w:rPr>
              <w:t>Cá nhân</w:t>
            </w:r>
          </w:p>
        </w:tc>
        <w:tc>
          <w:tcPr>
            <w:tcW w:w="1926" w:type="dxa"/>
          </w:tcPr>
          <w:p w:rsidR="0049588C" w:rsidRPr="006234AA" w:rsidRDefault="0049588C" w:rsidP="003C0546">
            <w:pPr>
              <w:keepNext/>
              <w:spacing w:after="120"/>
              <w:outlineLvl w:val="2"/>
              <w:rPr>
                <w:b/>
                <w:i/>
                <w:lang w:val="nl-NL"/>
              </w:rPr>
            </w:pPr>
          </w:p>
        </w:tc>
        <w:tc>
          <w:tcPr>
            <w:tcW w:w="1413" w:type="dxa"/>
          </w:tcPr>
          <w:p w:rsidR="0049588C" w:rsidRPr="006234AA" w:rsidRDefault="0049588C" w:rsidP="003C0546">
            <w:pPr>
              <w:keepNext/>
              <w:spacing w:after="120"/>
              <w:outlineLvl w:val="2"/>
              <w:rPr>
                <w:b/>
                <w:i/>
                <w:lang w:val="nl-NL"/>
              </w:rPr>
            </w:pPr>
          </w:p>
        </w:tc>
        <w:tc>
          <w:tcPr>
            <w:tcW w:w="1414" w:type="dxa"/>
          </w:tcPr>
          <w:p w:rsidR="0049588C" w:rsidRPr="006234AA" w:rsidRDefault="0049588C" w:rsidP="003C0546">
            <w:pPr>
              <w:keepNext/>
              <w:spacing w:after="120"/>
              <w:outlineLvl w:val="2"/>
              <w:rPr>
                <w:b/>
                <w:i/>
                <w:lang w:val="nl-NL"/>
              </w:rPr>
            </w:pPr>
          </w:p>
        </w:tc>
        <w:tc>
          <w:tcPr>
            <w:tcW w:w="1783" w:type="dxa"/>
          </w:tcPr>
          <w:p w:rsidR="0049588C" w:rsidRPr="006234AA" w:rsidRDefault="0049588C" w:rsidP="003C0546">
            <w:pPr>
              <w:keepNext/>
              <w:spacing w:after="120"/>
              <w:outlineLvl w:val="2"/>
              <w:rPr>
                <w:b/>
                <w:i/>
                <w:lang w:val="nl-NL"/>
              </w:rPr>
            </w:pPr>
          </w:p>
        </w:tc>
      </w:tr>
      <w:tr w:rsidR="0049588C" w:rsidRPr="006234AA" w:rsidTr="00A15B69">
        <w:trPr>
          <w:cantSplit/>
        </w:trPr>
        <w:tc>
          <w:tcPr>
            <w:tcW w:w="1475" w:type="dxa"/>
            <w:vMerge/>
          </w:tcPr>
          <w:p w:rsidR="0049588C" w:rsidRPr="006234AA" w:rsidRDefault="0049588C" w:rsidP="003C0546">
            <w:pPr>
              <w:spacing w:after="120"/>
              <w:rPr>
                <w:b/>
                <w:i/>
                <w:lang w:val="nl-NL"/>
              </w:rPr>
            </w:pPr>
          </w:p>
        </w:tc>
        <w:tc>
          <w:tcPr>
            <w:tcW w:w="1277" w:type="dxa"/>
          </w:tcPr>
          <w:p w:rsidR="0049588C" w:rsidRPr="006234AA" w:rsidRDefault="0049588C" w:rsidP="003C0546">
            <w:pPr>
              <w:spacing w:after="120"/>
              <w:ind w:firstLine="0"/>
              <w:rPr>
                <w:lang w:val="nl-NL"/>
              </w:rPr>
            </w:pPr>
            <w:r w:rsidRPr="006234AA">
              <w:rPr>
                <w:lang w:val="nl-NL"/>
              </w:rPr>
              <w:t>Tổ chức</w:t>
            </w:r>
          </w:p>
        </w:tc>
        <w:tc>
          <w:tcPr>
            <w:tcW w:w="1926" w:type="dxa"/>
          </w:tcPr>
          <w:p w:rsidR="0049588C" w:rsidRPr="006234AA" w:rsidRDefault="0049588C" w:rsidP="003C0546">
            <w:pPr>
              <w:keepNext/>
              <w:spacing w:after="120"/>
              <w:outlineLvl w:val="2"/>
              <w:rPr>
                <w:b/>
                <w:i/>
                <w:lang w:val="nl-NL"/>
              </w:rPr>
            </w:pPr>
          </w:p>
        </w:tc>
        <w:tc>
          <w:tcPr>
            <w:tcW w:w="1413" w:type="dxa"/>
          </w:tcPr>
          <w:p w:rsidR="0049588C" w:rsidRPr="006234AA" w:rsidRDefault="0049588C" w:rsidP="003C0546">
            <w:pPr>
              <w:keepNext/>
              <w:spacing w:after="120"/>
              <w:outlineLvl w:val="2"/>
              <w:rPr>
                <w:b/>
                <w:i/>
                <w:lang w:val="nl-NL"/>
              </w:rPr>
            </w:pPr>
          </w:p>
        </w:tc>
        <w:tc>
          <w:tcPr>
            <w:tcW w:w="1414" w:type="dxa"/>
          </w:tcPr>
          <w:p w:rsidR="0049588C" w:rsidRPr="006234AA" w:rsidRDefault="0049588C" w:rsidP="003C0546">
            <w:pPr>
              <w:keepNext/>
              <w:spacing w:after="120"/>
              <w:outlineLvl w:val="2"/>
              <w:rPr>
                <w:b/>
                <w:i/>
                <w:lang w:val="nl-NL"/>
              </w:rPr>
            </w:pPr>
          </w:p>
        </w:tc>
        <w:tc>
          <w:tcPr>
            <w:tcW w:w="1783" w:type="dxa"/>
          </w:tcPr>
          <w:p w:rsidR="0049588C" w:rsidRPr="006234AA" w:rsidRDefault="0049588C" w:rsidP="003C0546">
            <w:pPr>
              <w:keepNext/>
              <w:spacing w:after="120"/>
              <w:outlineLvl w:val="2"/>
              <w:rPr>
                <w:b/>
                <w:i/>
                <w:lang w:val="nl-NL"/>
              </w:rPr>
            </w:pPr>
          </w:p>
        </w:tc>
      </w:tr>
      <w:tr w:rsidR="0049588C" w:rsidRPr="006234AA" w:rsidTr="00A15B69">
        <w:trPr>
          <w:cantSplit/>
        </w:trPr>
        <w:tc>
          <w:tcPr>
            <w:tcW w:w="1475" w:type="dxa"/>
            <w:vMerge w:val="restart"/>
          </w:tcPr>
          <w:p w:rsidR="0049588C" w:rsidRPr="006234AA" w:rsidRDefault="0049588C" w:rsidP="003C0546">
            <w:pPr>
              <w:spacing w:after="120"/>
              <w:ind w:firstLine="0"/>
              <w:rPr>
                <w:lang w:val="nl-NL"/>
              </w:rPr>
            </w:pPr>
            <w:r w:rsidRPr="006234AA">
              <w:rPr>
                <w:lang w:val="nl-NL"/>
              </w:rPr>
              <w:t>Nước ngoài</w:t>
            </w:r>
          </w:p>
        </w:tc>
        <w:tc>
          <w:tcPr>
            <w:tcW w:w="1277" w:type="dxa"/>
          </w:tcPr>
          <w:p w:rsidR="0049588C" w:rsidRPr="006234AA" w:rsidRDefault="0049588C" w:rsidP="003C0546">
            <w:pPr>
              <w:spacing w:after="120"/>
              <w:ind w:firstLine="0"/>
              <w:rPr>
                <w:lang w:val="nl-NL"/>
              </w:rPr>
            </w:pPr>
            <w:r w:rsidRPr="006234AA">
              <w:rPr>
                <w:lang w:val="nl-NL"/>
              </w:rPr>
              <w:t>Cá nhân</w:t>
            </w:r>
          </w:p>
        </w:tc>
        <w:tc>
          <w:tcPr>
            <w:tcW w:w="1926" w:type="dxa"/>
          </w:tcPr>
          <w:p w:rsidR="0049588C" w:rsidRPr="006234AA" w:rsidRDefault="0049588C" w:rsidP="003C0546">
            <w:pPr>
              <w:keepNext/>
              <w:spacing w:after="120"/>
              <w:outlineLvl w:val="2"/>
              <w:rPr>
                <w:b/>
                <w:i/>
                <w:lang w:val="nl-NL"/>
              </w:rPr>
            </w:pPr>
          </w:p>
        </w:tc>
        <w:tc>
          <w:tcPr>
            <w:tcW w:w="1413" w:type="dxa"/>
          </w:tcPr>
          <w:p w:rsidR="0049588C" w:rsidRPr="006234AA" w:rsidRDefault="0049588C" w:rsidP="003C0546">
            <w:pPr>
              <w:keepNext/>
              <w:spacing w:after="120"/>
              <w:outlineLvl w:val="2"/>
              <w:rPr>
                <w:b/>
                <w:i/>
                <w:lang w:val="nl-NL"/>
              </w:rPr>
            </w:pPr>
          </w:p>
        </w:tc>
        <w:tc>
          <w:tcPr>
            <w:tcW w:w="1414" w:type="dxa"/>
          </w:tcPr>
          <w:p w:rsidR="0049588C" w:rsidRPr="006234AA" w:rsidRDefault="0049588C" w:rsidP="003C0546">
            <w:pPr>
              <w:keepNext/>
              <w:spacing w:after="120"/>
              <w:outlineLvl w:val="2"/>
              <w:rPr>
                <w:b/>
                <w:i/>
                <w:lang w:val="nl-NL"/>
              </w:rPr>
            </w:pPr>
          </w:p>
        </w:tc>
        <w:tc>
          <w:tcPr>
            <w:tcW w:w="1783" w:type="dxa"/>
          </w:tcPr>
          <w:p w:rsidR="0049588C" w:rsidRPr="006234AA" w:rsidRDefault="0049588C" w:rsidP="003C0546">
            <w:pPr>
              <w:keepNext/>
              <w:spacing w:after="120"/>
              <w:outlineLvl w:val="2"/>
              <w:rPr>
                <w:b/>
                <w:i/>
                <w:lang w:val="nl-NL"/>
              </w:rPr>
            </w:pPr>
          </w:p>
        </w:tc>
      </w:tr>
      <w:tr w:rsidR="0049588C" w:rsidRPr="006234AA" w:rsidTr="00A15B69">
        <w:trPr>
          <w:cantSplit/>
        </w:trPr>
        <w:tc>
          <w:tcPr>
            <w:tcW w:w="1475" w:type="dxa"/>
            <w:vMerge/>
          </w:tcPr>
          <w:p w:rsidR="0049588C" w:rsidRPr="006234AA" w:rsidRDefault="0049588C" w:rsidP="003C0546">
            <w:pPr>
              <w:spacing w:after="120"/>
              <w:rPr>
                <w:b/>
                <w:i/>
                <w:lang w:val="nl-NL"/>
              </w:rPr>
            </w:pPr>
          </w:p>
        </w:tc>
        <w:tc>
          <w:tcPr>
            <w:tcW w:w="1277" w:type="dxa"/>
          </w:tcPr>
          <w:p w:rsidR="0049588C" w:rsidRPr="006234AA" w:rsidRDefault="0049588C" w:rsidP="003C0546">
            <w:pPr>
              <w:spacing w:after="120"/>
              <w:ind w:left="720" w:hanging="720"/>
              <w:rPr>
                <w:lang w:val="nl-NL"/>
              </w:rPr>
            </w:pPr>
            <w:r w:rsidRPr="006234AA">
              <w:rPr>
                <w:lang w:val="nl-NL"/>
              </w:rPr>
              <w:t>Tổ chức</w:t>
            </w:r>
          </w:p>
        </w:tc>
        <w:tc>
          <w:tcPr>
            <w:tcW w:w="1926" w:type="dxa"/>
          </w:tcPr>
          <w:p w:rsidR="0049588C" w:rsidRPr="006234AA" w:rsidRDefault="0049588C" w:rsidP="003C0546">
            <w:pPr>
              <w:keepNext/>
              <w:spacing w:after="120"/>
              <w:outlineLvl w:val="2"/>
              <w:rPr>
                <w:b/>
                <w:i/>
                <w:lang w:val="nl-NL"/>
              </w:rPr>
            </w:pPr>
          </w:p>
        </w:tc>
        <w:tc>
          <w:tcPr>
            <w:tcW w:w="1413" w:type="dxa"/>
          </w:tcPr>
          <w:p w:rsidR="0049588C" w:rsidRPr="006234AA" w:rsidRDefault="0049588C" w:rsidP="003C0546">
            <w:pPr>
              <w:keepNext/>
              <w:spacing w:after="120"/>
              <w:outlineLvl w:val="2"/>
              <w:rPr>
                <w:b/>
                <w:i/>
                <w:lang w:val="nl-NL"/>
              </w:rPr>
            </w:pPr>
          </w:p>
        </w:tc>
        <w:tc>
          <w:tcPr>
            <w:tcW w:w="1414" w:type="dxa"/>
          </w:tcPr>
          <w:p w:rsidR="0049588C" w:rsidRPr="006234AA" w:rsidRDefault="0049588C" w:rsidP="003C0546">
            <w:pPr>
              <w:keepNext/>
              <w:spacing w:after="120"/>
              <w:outlineLvl w:val="2"/>
              <w:rPr>
                <w:b/>
                <w:i/>
                <w:lang w:val="nl-NL"/>
              </w:rPr>
            </w:pPr>
          </w:p>
        </w:tc>
        <w:tc>
          <w:tcPr>
            <w:tcW w:w="1783" w:type="dxa"/>
          </w:tcPr>
          <w:p w:rsidR="0049588C" w:rsidRPr="006234AA" w:rsidRDefault="0049588C" w:rsidP="003C0546">
            <w:pPr>
              <w:keepNext/>
              <w:spacing w:after="120"/>
              <w:outlineLvl w:val="2"/>
              <w:rPr>
                <w:b/>
                <w:i/>
                <w:lang w:val="nl-NL"/>
              </w:rPr>
            </w:pPr>
          </w:p>
        </w:tc>
      </w:tr>
      <w:tr w:rsidR="0049588C" w:rsidRPr="006234AA" w:rsidTr="00A15B69">
        <w:tc>
          <w:tcPr>
            <w:tcW w:w="1475" w:type="dxa"/>
          </w:tcPr>
          <w:p w:rsidR="0049588C" w:rsidRPr="006234AA" w:rsidRDefault="0049588C" w:rsidP="003C0546">
            <w:pPr>
              <w:spacing w:after="120"/>
              <w:rPr>
                <w:b/>
                <w:lang w:val="nl-NL"/>
              </w:rPr>
            </w:pPr>
            <w:r w:rsidRPr="006234AA">
              <w:rPr>
                <w:b/>
                <w:lang w:val="nl-NL"/>
              </w:rPr>
              <w:t>Tổng</w:t>
            </w:r>
          </w:p>
        </w:tc>
        <w:tc>
          <w:tcPr>
            <w:tcW w:w="1277" w:type="dxa"/>
          </w:tcPr>
          <w:p w:rsidR="0049588C" w:rsidRPr="006234AA" w:rsidRDefault="0049588C" w:rsidP="003C0546">
            <w:pPr>
              <w:keepNext/>
              <w:spacing w:after="120"/>
              <w:outlineLvl w:val="2"/>
              <w:rPr>
                <w:b/>
                <w:i/>
                <w:lang w:val="nl-NL"/>
              </w:rPr>
            </w:pPr>
          </w:p>
        </w:tc>
        <w:tc>
          <w:tcPr>
            <w:tcW w:w="1926" w:type="dxa"/>
          </w:tcPr>
          <w:p w:rsidR="0049588C" w:rsidRPr="006234AA" w:rsidRDefault="0049588C" w:rsidP="003C0546">
            <w:pPr>
              <w:keepNext/>
              <w:spacing w:after="120"/>
              <w:outlineLvl w:val="2"/>
              <w:rPr>
                <w:b/>
                <w:i/>
                <w:lang w:val="nl-NL"/>
              </w:rPr>
            </w:pPr>
          </w:p>
        </w:tc>
        <w:tc>
          <w:tcPr>
            <w:tcW w:w="1413" w:type="dxa"/>
          </w:tcPr>
          <w:p w:rsidR="0049588C" w:rsidRPr="006234AA" w:rsidRDefault="0049588C" w:rsidP="003C0546">
            <w:pPr>
              <w:keepNext/>
              <w:spacing w:after="120"/>
              <w:outlineLvl w:val="2"/>
              <w:rPr>
                <w:b/>
                <w:i/>
                <w:lang w:val="nl-NL"/>
              </w:rPr>
            </w:pPr>
          </w:p>
        </w:tc>
        <w:tc>
          <w:tcPr>
            <w:tcW w:w="1414" w:type="dxa"/>
          </w:tcPr>
          <w:p w:rsidR="0049588C" w:rsidRPr="006234AA" w:rsidRDefault="0049588C" w:rsidP="003C0546">
            <w:pPr>
              <w:keepNext/>
              <w:spacing w:after="120"/>
              <w:outlineLvl w:val="2"/>
              <w:rPr>
                <w:b/>
                <w:i/>
                <w:lang w:val="nl-NL"/>
              </w:rPr>
            </w:pPr>
          </w:p>
        </w:tc>
        <w:tc>
          <w:tcPr>
            <w:tcW w:w="1783" w:type="dxa"/>
          </w:tcPr>
          <w:p w:rsidR="0049588C" w:rsidRPr="006234AA" w:rsidRDefault="0049588C" w:rsidP="003C0546">
            <w:pPr>
              <w:keepNext/>
              <w:spacing w:after="120"/>
              <w:outlineLvl w:val="2"/>
              <w:rPr>
                <w:b/>
                <w:i/>
                <w:lang w:val="nl-NL"/>
              </w:rPr>
            </w:pPr>
          </w:p>
        </w:tc>
      </w:tr>
    </w:tbl>
    <w:p w:rsidR="0049588C" w:rsidRPr="006234AA" w:rsidRDefault="0049588C" w:rsidP="00D36937">
      <w:pPr>
        <w:pStyle w:val="ListParagraph"/>
        <w:numPr>
          <w:ilvl w:val="1"/>
          <w:numId w:val="38"/>
        </w:numPr>
        <w:spacing w:after="120"/>
        <w:ind w:left="743" w:hanging="323"/>
        <w:jc w:val="left"/>
      </w:pPr>
      <w:r w:rsidRPr="006234AA">
        <w:t>Ủy thác quản lý tài khoản giao dịch chứng khoán của nhà đầu tư cá nhân</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34"/>
        <w:gridCol w:w="1170"/>
        <w:gridCol w:w="1081"/>
        <w:gridCol w:w="1080"/>
        <w:gridCol w:w="1330"/>
        <w:gridCol w:w="1632"/>
      </w:tblGrid>
      <w:tr w:rsidR="0049588C" w:rsidRPr="006234AA" w:rsidTr="00A15B69">
        <w:trPr>
          <w:cantSplit/>
        </w:trPr>
        <w:tc>
          <w:tcPr>
            <w:tcW w:w="1560" w:type="dxa"/>
            <w:vMerge w:val="restart"/>
            <w:vAlign w:val="center"/>
          </w:tcPr>
          <w:p w:rsidR="0049588C" w:rsidRPr="006234AA" w:rsidRDefault="0049588C" w:rsidP="003C0546">
            <w:pPr>
              <w:spacing w:after="120"/>
              <w:ind w:firstLine="0"/>
              <w:jc w:val="center"/>
              <w:rPr>
                <w:b/>
                <w:lang w:val="nl-NL"/>
              </w:rPr>
            </w:pPr>
            <w:r w:rsidRPr="006234AA">
              <w:rPr>
                <w:b/>
                <w:lang w:val="nl-NL"/>
              </w:rPr>
              <w:t xml:space="preserve">Loại khách </w:t>
            </w:r>
            <w:r w:rsidRPr="006234AA">
              <w:rPr>
                <w:b/>
                <w:lang w:val="nl-NL"/>
              </w:rPr>
              <w:lastRenderedPageBreak/>
              <w:t>hàng</w:t>
            </w:r>
          </w:p>
        </w:tc>
        <w:tc>
          <w:tcPr>
            <w:tcW w:w="1434" w:type="dxa"/>
            <w:vMerge w:val="restart"/>
            <w:vAlign w:val="center"/>
          </w:tcPr>
          <w:p w:rsidR="0049588C" w:rsidRPr="006234AA" w:rsidRDefault="0049588C" w:rsidP="003C0546">
            <w:pPr>
              <w:spacing w:after="120"/>
              <w:ind w:firstLine="0"/>
              <w:jc w:val="center"/>
              <w:rPr>
                <w:b/>
                <w:lang w:val="nl-NL"/>
              </w:rPr>
            </w:pPr>
            <w:r w:rsidRPr="006234AA">
              <w:rPr>
                <w:b/>
                <w:lang w:val="nl-NL"/>
              </w:rPr>
              <w:lastRenderedPageBreak/>
              <w:t xml:space="preserve">Tổng số tài khoản </w:t>
            </w:r>
            <w:r w:rsidRPr="006234AA">
              <w:rPr>
                <w:b/>
                <w:lang w:val="nl-NL"/>
              </w:rPr>
              <w:lastRenderedPageBreak/>
              <w:t>ủy thác đầu tháng</w:t>
            </w:r>
          </w:p>
        </w:tc>
        <w:tc>
          <w:tcPr>
            <w:tcW w:w="2251" w:type="dxa"/>
            <w:gridSpan w:val="2"/>
            <w:vAlign w:val="center"/>
          </w:tcPr>
          <w:p w:rsidR="0049588C" w:rsidRPr="006234AA" w:rsidRDefault="0049588C" w:rsidP="003C0546">
            <w:pPr>
              <w:spacing w:after="120"/>
              <w:ind w:firstLine="0"/>
              <w:jc w:val="center"/>
              <w:rPr>
                <w:b/>
                <w:lang w:val="nl-NL"/>
              </w:rPr>
            </w:pPr>
            <w:r w:rsidRPr="006234AA">
              <w:rPr>
                <w:b/>
                <w:lang w:val="nl-NL"/>
              </w:rPr>
              <w:lastRenderedPageBreak/>
              <w:t>Phát sinh trong tháng</w:t>
            </w:r>
          </w:p>
        </w:tc>
        <w:tc>
          <w:tcPr>
            <w:tcW w:w="1080" w:type="dxa"/>
            <w:vMerge w:val="restart"/>
            <w:vAlign w:val="center"/>
          </w:tcPr>
          <w:p w:rsidR="0049588C" w:rsidRPr="006234AA" w:rsidRDefault="0049588C" w:rsidP="003C0546">
            <w:pPr>
              <w:spacing w:after="120"/>
              <w:ind w:firstLine="0"/>
              <w:jc w:val="center"/>
              <w:rPr>
                <w:b/>
                <w:lang w:val="nl-NL"/>
              </w:rPr>
            </w:pPr>
            <w:r w:rsidRPr="006234AA">
              <w:rPr>
                <w:b/>
                <w:lang w:val="nl-NL"/>
              </w:rPr>
              <w:t>Cuối tháng</w:t>
            </w:r>
          </w:p>
        </w:tc>
        <w:tc>
          <w:tcPr>
            <w:tcW w:w="1330" w:type="dxa"/>
            <w:vMerge w:val="restart"/>
            <w:vAlign w:val="center"/>
          </w:tcPr>
          <w:p w:rsidR="0049588C" w:rsidRPr="006234AA" w:rsidRDefault="0049588C" w:rsidP="003C0546">
            <w:pPr>
              <w:spacing w:after="120"/>
              <w:ind w:firstLine="0"/>
              <w:jc w:val="center"/>
              <w:rPr>
                <w:b/>
                <w:lang w:val="nl-NL"/>
              </w:rPr>
            </w:pPr>
            <w:r w:rsidRPr="006234AA">
              <w:rPr>
                <w:b/>
                <w:lang w:val="nl-NL"/>
              </w:rPr>
              <w:t>Giá trị ủy thác</w:t>
            </w:r>
          </w:p>
          <w:p w:rsidR="0049588C" w:rsidRPr="006234AA" w:rsidRDefault="0049588C" w:rsidP="003C0546">
            <w:pPr>
              <w:spacing w:after="120"/>
              <w:ind w:firstLine="0"/>
              <w:jc w:val="center"/>
              <w:rPr>
                <w:lang w:val="nl-NL"/>
              </w:rPr>
            </w:pPr>
            <w:r w:rsidRPr="006234AA">
              <w:rPr>
                <w:lang w:val="nl-NL"/>
              </w:rPr>
              <w:lastRenderedPageBreak/>
              <w:t>(triệu đồng)</w:t>
            </w:r>
          </w:p>
        </w:tc>
        <w:tc>
          <w:tcPr>
            <w:tcW w:w="1632" w:type="dxa"/>
            <w:vMerge w:val="restart"/>
          </w:tcPr>
          <w:p w:rsidR="0049588C" w:rsidRPr="006234AA" w:rsidRDefault="0049588C" w:rsidP="003C0546">
            <w:pPr>
              <w:spacing w:after="120"/>
              <w:ind w:firstLine="0"/>
              <w:jc w:val="center"/>
              <w:rPr>
                <w:b/>
                <w:lang w:val="nl-NL"/>
              </w:rPr>
            </w:pPr>
            <w:r w:rsidRPr="006234AA">
              <w:rPr>
                <w:b/>
                <w:lang w:val="nl-NL"/>
              </w:rPr>
              <w:lastRenderedPageBreak/>
              <w:t xml:space="preserve">Phí ủy thác thu được </w:t>
            </w:r>
            <w:r w:rsidRPr="006234AA">
              <w:rPr>
                <w:b/>
                <w:lang w:val="nl-NL"/>
              </w:rPr>
              <w:lastRenderedPageBreak/>
              <w:t xml:space="preserve">trong tháng </w:t>
            </w:r>
            <w:r w:rsidRPr="006234AA">
              <w:rPr>
                <w:lang w:val="nl-NL"/>
              </w:rPr>
              <w:t>(triệu đồng)</w:t>
            </w:r>
          </w:p>
        </w:tc>
      </w:tr>
      <w:tr w:rsidR="0049588C" w:rsidRPr="006234AA" w:rsidTr="00A15B69">
        <w:trPr>
          <w:cantSplit/>
        </w:trPr>
        <w:tc>
          <w:tcPr>
            <w:tcW w:w="1560" w:type="dxa"/>
            <w:vMerge/>
            <w:vAlign w:val="center"/>
          </w:tcPr>
          <w:p w:rsidR="0049588C" w:rsidRPr="006234AA" w:rsidRDefault="0049588C" w:rsidP="003C0546">
            <w:pPr>
              <w:spacing w:after="120"/>
              <w:jc w:val="center"/>
              <w:rPr>
                <w:b/>
                <w:i/>
                <w:lang w:val="nl-NL"/>
              </w:rPr>
            </w:pPr>
          </w:p>
        </w:tc>
        <w:tc>
          <w:tcPr>
            <w:tcW w:w="1434" w:type="dxa"/>
            <w:vMerge/>
            <w:vAlign w:val="center"/>
          </w:tcPr>
          <w:p w:rsidR="0049588C" w:rsidRPr="006234AA" w:rsidRDefault="0049588C" w:rsidP="003C0546">
            <w:pPr>
              <w:spacing w:after="120"/>
              <w:jc w:val="center"/>
              <w:rPr>
                <w:b/>
                <w:i/>
                <w:lang w:val="nl-NL"/>
              </w:rPr>
            </w:pPr>
          </w:p>
        </w:tc>
        <w:tc>
          <w:tcPr>
            <w:tcW w:w="1170" w:type="dxa"/>
            <w:vAlign w:val="center"/>
          </w:tcPr>
          <w:p w:rsidR="0049588C" w:rsidRPr="006234AA" w:rsidRDefault="0049588C" w:rsidP="003C0546">
            <w:pPr>
              <w:spacing w:after="120"/>
              <w:ind w:firstLine="0"/>
              <w:jc w:val="center"/>
              <w:rPr>
                <w:b/>
                <w:lang w:val="nl-NL"/>
              </w:rPr>
            </w:pPr>
            <w:r w:rsidRPr="006234AA">
              <w:rPr>
                <w:b/>
                <w:lang w:val="nl-NL"/>
              </w:rPr>
              <w:t>Tăng</w:t>
            </w:r>
          </w:p>
        </w:tc>
        <w:tc>
          <w:tcPr>
            <w:tcW w:w="1081" w:type="dxa"/>
            <w:vAlign w:val="center"/>
          </w:tcPr>
          <w:p w:rsidR="0049588C" w:rsidRPr="006234AA" w:rsidRDefault="0049588C" w:rsidP="003C0546">
            <w:pPr>
              <w:spacing w:after="120"/>
              <w:ind w:firstLine="0"/>
              <w:jc w:val="center"/>
              <w:rPr>
                <w:b/>
                <w:lang w:val="nl-NL"/>
              </w:rPr>
            </w:pPr>
            <w:r w:rsidRPr="006234AA">
              <w:rPr>
                <w:b/>
                <w:lang w:val="nl-NL"/>
              </w:rPr>
              <w:t>Giảm</w:t>
            </w:r>
          </w:p>
        </w:tc>
        <w:tc>
          <w:tcPr>
            <w:tcW w:w="1080" w:type="dxa"/>
            <w:vMerge/>
            <w:vAlign w:val="center"/>
          </w:tcPr>
          <w:p w:rsidR="0049588C" w:rsidRPr="006234AA" w:rsidRDefault="0049588C" w:rsidP="003C0546">
            <w:pPr>
              <w:spacing w:after="120"/>
              <w:jc w:val="center"/>
              <w:rPr>
                <w:b/>
                <w:lang w:val="nl-NL"/>
              </w:rPr>
            </w:pPr>
          </w:p>
        </w:tc>
        <w:tc>
          <w:tcPr>
            <w:tcW w:w="1330" w:type="dxa"/>
            <w:vMerge/>
            <w:vAlign w:val="center"/>
          </w:tcPr>
          <w:p w:rsidR="0049588C" w:rsidRPr="006234AA" w:rsidRDefault="0049588C" w:rsidP="003C0546">
            <w:pPr>
              <w:spacing w:after="120"/>
              <w:jc w:val="center"/>
              <w:rPr>
                <w:b/>
                <w:i/>
                <w:lang w:val="nl-NL"/>
              </w:rPr>
            </w:pPr>
          </w:p>
        </w:tc>
        <w:tc>
          <w:tcPr>
            <w:tcW w:w="1632" w:type="dxa"/>
            <w:vMerge/>
          </w:tcPr>
          <w:p w:rsidR="0049588C" w:rsidRPr="006234AA" w:rsidRDefault="0049588C" w:rsidP="003C0546">
            <w:pPr>
              <w:spacing w:after="120"/>
              <w:jc w:val="center"/>
              <w:rPr>
                <w:b/>
                <w:i/>
                <w:lang w:val="nl-NL"/>
              </w:rPr>
            </w:pPr>
          </w:p>
        </w:tc>
      </w:tr>
      <w:tr w:rsidR="0049588C" w:rsidRPr="006234AA" w:rsidTr="00A15B69">
        <w:trPr>
          <w:cantSplit/>
        </w:trPr>
        <w:tc>
          <w:tcPr>
            <w:tcW w:w="1560" w:type="dxa"/>
          </w:tcPr>
          <w:p w:rsidR="0049588C" w:rsidRPr="006234AA" w:rsidRDefault="0049588C" w:rsidP="003C0546">
            <w:pPr>
              <w:spacing w:after="120"/>
              <w:ind w:firstLine="0"/>
              <w:rPr>
                <w:lang w:val="nl-NL"/>
              </w:rPr>
            </w:pPr>
            <w:r w:rsidRPr="006234AA">
              <w:rPr>
                <w:lang w:val="nl-NL"/>
              </w:rPr>
              <w:lastRenderedPageBreak/>
              <w:t>Trong nước</w:t>
            </w:r>
          </w:p>
        </w:tc>
        <w:tc>
          <w:tcPr>
            <w:tcW w:w="1434" w:type="dxa"/>
          </w:tcPr>
          <w:p w:rsidR="0049588C" w:rsidRPr="006234AA" w:rsidRDefault="0049588C" w:rsidP="003C0546">
            <w:pPr>
              <w:spacing w:after="120"/>
              <w:rPr>
                <w:b/>
                <w:i/>
                <w:lang w:val="nl-NL"/>
              </w:rPr>
            </w:pPr>
          </w:p>
        </w:tc>
        <w:tc>
          <w:tcPr>
            <w:tcW w:w="1170" w:type="dxa"/>
          </w:tcPr>
          <w:p w:rsidR="0049588C" w:rsidRPr="006234AA" w:rsidRDefault="0049588C" w:rsidP="003C0546">
            <w:pPr>
              <w:spacing w:after="120"/>
              <w:rPr>
                <w:b/>
                <w:i/>
                <w:lang w:val="nl-NL"/>
              </w:rPr>
            </w:pPr>
          </w:p>
        </w:tc>
        <w:tc>
          <w:tcPr>
            <w:tcW w:w="1081" w:type="dxa"/>
          </w:tcPr>
          <w:p w:rsidR="0049588C" w:rsidRPr="006234AA" w:rsidRDefault="0049588C" w:rsidP="003C0546">
            <w:pPr>
              <w:spacing w:after="120"/>
              <w:rPr>
                <w:b/>
                <w:i/>
                <w:lang w:val="nl-NL"/>
              </w:rPr>
            </w:pPr>
          </w:p>
        </w:tc>
        <w:tc>
          <w:tcPr>
            <w:tcW w:w="1080" w:type="dxa"/>
          </w:tcPr>
          <w:p w:rsidR="0049588C" w:rsidRPr="006234AA" w:rsidRDefault="0049588C" w:rsidP="003C0546">
            <w:pPr>
              <w:spacing w:after="120"/>
              <w:rPr>
                <w:b/>
                <w:i/>
                <w:lang w:val="nl-NL"/>
              </w:rPr>
            </w:pPr>
          </w:p>
        </w:tc>
        <w:tc>
          <w:tcPr>
            <w:tcW w:w="1330" w:type="dxa"/>
          </w:tcPr>
          <w:p w:rsidR="0049588C" w:rsidRPr="006234AA" w:rsidRDefault="0049588C" w:rsidP="003C0546">
            <w:pPr>
              <w:spacing w:after="120"/>
              <w:rPr>
                <w:b/>
                <w:i/>
                <w:lang w:val="nl-NL"/>
              </w:rPr>
            </w:pPr>
          </w:p>
        </w:tc>
        <w:tc>
          <w:tcPr>
            <w:tcW w:w="1632" w:type="dxa"/>
          </w:tcPr>
          <w:p w:rsidR="0049588C" w:rsidRPr="006234AA" w:rsidRDefault="0049588C" w:rsidP="003C0546">
            <w:pPr>
              <w:spacing w:after="120"/>
              <w:rPr>
                <w:b/>
                <w:i/>
                <w:lang w:val="nl-NL"/>
              </w:rPr>
            </w:pPr>
          </w:p>
        </w:tc>
      </w:tr>
      <w:tr w:rsidR="0049588C" w:rsidRPr="006234AA" w:rsidTr="00A15B69">
        <w:trPr>
          <w:cantSplit/>
        </w:trPr>
        <w:tc>
          <w:tcPr>
            <w:tcW w:w="1560" w:type="dxa"/>
            <w:tcBorders>
              <w:bottom w:val="single" w:sz="4" w:space="0" w:color="auto"/>
            </w:tcBorders>
          </w:tcPr>
          <w:p w:rsidR="0049588C" w:rsidRPr="006234AA" w:rsidRDefault="0049588C" w:rsidP="003C0546">
            <w:pPr>
              <w:spacing w:after="120"/>
              <w:ind w:left="720" w:hanging="720"/>
              <w:rPr>
                <w:lang w:val="nl-NL"/>
              </w:rPr>
            </w:pPr>
            <w:r w:rsidRPr="006234AA">
              <w:rPr>
                <w:lang w:val="nl-NL"/>
              </w:rPr>
              <w:t>Nước ngoài</w:t>
            </w:r>
          </w:p>
        </w:tc>
        <w:tc>
          <w:tcPr>
            <w:tcW w:w="1434" w:type="dxa"/>
            <w:tcBorders>
              <w:bottom w:val="single" w:sz="4" w:space="0" w:color="auto"/>
            </w:tcBorders>
          </w:tcPr>
          <w:p w:rsidR="0049588C" w:rsidRPr="006234AA" w:rsidRDefault="0049588C" w:rsidP="003C0546">
            <w:pPr>
              <w:spacing w:after="120"/>
              <w:rPr>
                <w:b/>
                <w:i/>
                <w:lang w:val="nl-NL"/>
              </w:rPr>
            </w:pPr>
          </w:p>
        </w:tc>
        <w:tc>
          <w:tcPr>
            <w:tcW w:w="1170" w:type="dxa"/>
            <w:tcBorders>
              <w:bottom w:val="single" w:sz="4" w:space="0" w:color="auto"/>
            </w:tcBorders>
          </w:tcPr>
          <w:p w:rsidR="0049588C" w:rsidRPr="006234AA" w:rsidRDefault="0049588C" w:rsidP="003C0546">
            <w:pPr>
              <w:spacing w:after="120"/>
              <w:rPr>
                <w:b/>
                <w:i/>
                <w:lang w:val="nl-NL"/>
              </w:rPr>
            </w:pPr>
          </w:p>
        </w:tc>
        <w:tc>
          <w:tcPr>
            <w:tcW w:w="1081" w:type="dxa"/>
            <w:tcBorders>
              <w:bottom w:val="single" w:sz="4" w:space="0" w:color="auto"/>
            </w:tcBorders>
          </w:tcPr>
          <w:p w:rsidR="0049588C" w:rsidRPr="006234AA" w:rsidRDefault="0049588C" w:rsidP="003C0546">
            <w:pPr>
              <w:spacing w:after="120"/>
              <w:rPr>
                <w:b/>
                <w:i/>
                <w:lang w:val="nl-NL"/>
              </w:rPr>
            </w:pPr>
          </w:p>
        </w:tc>
        <w:tc>
          <w:tcPr>
            <w:tcW w:w="1080" w:type="dxa"/>
            <w:tcBorders>
              <w:bottom w:val="single" w:sz="4" w:space="0" w:color="auto"/>
            </w:tcBorders>
          </w:tcPr>
          <w:p w:rsidR="0049588C" w:rsidRPr="006234AA" w:rsidRDefault="0049588C" w:rsidP="003C0546">
            <w:pPr>
              <w:spacing w:after="120"/>
              <w:rPr>
                <w:b/>
                <w:i/>
                <w:lang w:val="nl-NL"/>
              </w:rPr>
            </w:pPr>
          </w:p>
        </w:tc>
        <w:tc>
          <w:tcPr>
            <w:tcW w:w="1330" w:type="dxa"/>
            <w:tcBorders>
              <w:bottom w:val="single" w:sz="4" w:space="0" w:color="auto"/>
            </w:tcBorders>
          </w:tcPr>
          <w:p w:rsidR="0049588C" w:rsidRPr="006234AA" w:rsidRDefault="0049588C" w:rsidP="003C0546">
            <w:pPr>
              <w:spacing w:after="120"/>
              <w:rPr>
                <w:b/>
                <w:i/>
                <w:lang w:val="nl-NL"/>
              </w:rPr>
            </w:pPr>
          </w:p>
        </w:tc>
        <w:tc>
          <w:tcPr>
            <w:tcW w:w="1632" w:type="dxa"/>
            <w:tcBorders>
              <w:bottom w:val="single" w:sz="4" w:space="0" w:color="auto"/>
            </w:tcBorders>
          </w:tcPr>
          <w:p w:rsidR="0049588C" w:rsidRPr="006234AA" w:rsidRDefault="0049588C" w:rsidP="003C0546">
            <w:pPr>
              <w:spacing w:after="120"/>
              <w:rPr>
                <w:b/>
                <w:i/>
                <w:lang w:val="nl-NL"/>
              </w:rPr>
            </w:pPr>
          </w:p>
        </w:tc>
      </w:tr>
      <w:tr w:rsidR="0049588C" w:rsidRPr="006234AA" w:rsidTr="00A15B69">
        <w:tc>
          <w:tcPr>
            <w:tcW w:w="1560" w:type="dxa"/>
          </w:tcPr>
          <w:p w:rsidR="0049588C" w:rsidRPr="006234AA" w:rsidRDefault="0049588C" w:rsidP="003C0546">
            <w:pPr>
              <w:spacing w:after="120"/>
              <w:ind w:firstLine="0"/>
              <w:rPr>
                <w:b/>
                <w:lang w:val="nl-NL"/>
              </w:rPr>
            </w:pPr>
            <w:r w:rsidRPr="006234AA">
              <w:rPr>
                <w:b/>
                <w:lang w:val="nl-NL"/>
              </w:rPr>
              <w:t>Tổng</w:t>
            </w:r>
          </w:p>
        </w:tc>
        <w:tc>
          <w:tcPr>
            <w:tcW w:w="1434" w:type="dxa"/>
          </w:tcPr>
          <w:p w:rsidR="0049588C" w:rsidRPr="006234AA" w:rsidRDefault="0049588C" w:rsidP="003C0546">
            <w:pPr>
              <w:spacing w:after="120"/>
              <w:rPr>
                <w:b/>
                <w:i/>
                <w:lang w:val="nl-NL"/>
              </w:rPr>
            </w:pPr>
          </w:p>
        </w:tc>
        <w:tc>
          <w:tcPr>
            <w:tcW w:w="1170" w:type="dxa"/>
          </w:tcPr>
          <w:p w:rsidR="0049588C" w:rsidRPr="006234AA" w:rsidRDefault="0049588C" w:rsidP="003C0546">
            <w:pPr>
              <w:spacing w:after="120"/>
              <w:rPr>
                <w:b/>
                <w:i/>
                <w:lang w:val="nl-NL"/>
              </w:rPr>
            </w:pPr>
          </w:p>
        </w:tc>
        <w:tc>
          <w:tcPr>
            <w:tcW w:w="1081" w:type="dxa"/>
          </w:tcPr>
          <w:p w:rsidR="0049588C" w:rsidRPr="006234AA" w:rsidRDefault="0049588C" w:rsidP="003C0546">
            <w:pPr>
              <w:spacing w:after="120"/>
              <w:rPr>
                <w:b/>
                <w:i/>
                <w:lang w:val="nl-NL"/>
              </w:rPr>
            </w:pPr>
          </w:p>
        </w:tc>
        <w:tc>
          <w:tcPr>
            <w:tcW w:w="1080" w:type="dxa"/>
          </w:tcPr>
          <w:p w:rsidR="0049588C" w:rsidRPr="006234AA" w:rsidRDefault="0049588C" w:rsidP="003C0546">
            <w:pPr>
              <w:spacing w:after="120"/>
              <w:rPr>
                <w:b/>
                <w:i/>
                <w:lang w:val="nl-NL"/>
              </w:rPr>
            </w:pPr>
          </w:p>
        </w:tc>
        <w:tc>
          <w:tcPr>
            <w:tcW w:w="1330" w:type="dxa"/>
          </w:tcPr>
          <w:p w:rsidR="0049588C" w:rsidRPr="006234AA" w:rsidRDefault="0049588C" w:rsidP="003C0546">
            <w:pPr>
              <w:spacing w:after="120"/>
              <w:rPr>
                <w:b/>
                <w:i/>
                <w:lang w:val="nl-NL"/>
              </w:rPr>
            </w:pPr>
          </w:p>
        </w:tc>
        <w:tc>
          <w:tcPr>
            <w:tcW w:w="1632" w:type="dxa"/>
          </w:tcPr>
          <w:p w:rsidR="0049588C" w:rsidRPr="006234AA" w:rsidRDefault="0049588C" w:rsidP="003C0546">
            <w:pPr>
              <w:spacing w:after="120"/>
              <w:rPr>
                <w:b/>
                <w:i/>
                <w:lang w:val="nl-NL"/>
              </w:rPr>
            </w:pPr>
          </w:p>
        </w:tc>
      </w:tr>
    </w:tbl>
    <w:p w:rsidR="0049588C" w:rsidRPr="006234AA" w:rsidRDefault="0049588C" w:rsidP="00D36937">
      <w:pPr>
        <w:pStyle w:val="ListParagraph"/>
        <w:numPr>
          <w:ilvl w:val="1"/>
          <w:numId w:val="38"/>
        </w:numPr>
        <w:spacing w:after="120"/>
        <w:ind w:left="743" w:hanging="323"/>
        <w:jc w:val="left"/>
      </w:pPr>
      <w:r w:rsidRPr="006234AA">
        <w:t>Tình hình giao dịch</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667"/>
        <w:gridCol w:w="543"/>
        <w:gridCol w:w="682"/>
        <w:gridCol w:w="584"/>
        <w:gridCol w:w="742"/>
        <w:gridCol w:w="554"/>
        <w:gridCol w:w="700"/>
        <w:gridCol w:w="559"/>
        <w:gridCol w:w="686"/>
        <w:gridCol w:w="543"/>
        <w:gridCol w:w="732"/>
        <w:gridCol w:w="556"/>
        <w:gridCol w:w="666"/>
      </w:tblGrid>
      <w:tr w:rsidR="0049588C" w:rsidRPr="006234AA" w:rsidTr="00A15B69">
        <w:trPr>
          <w:cantSplit/>
          <w:tblHeader/>
        </w:trPr>
        <w:tc>
          <w:tcPr>
            <w:tcW w:w="568" w:type="dxa"/>
            <w:vMerge w:val="restart"/>
            <w:vAlign w:val="center"/>
          </w:tcPr>
          <w:p w:rsidR="0049588C" w:rsidRPr="006234AA" w:rsidRDefault="0049588C" w:rsidP="003C0546">
            <w:pPr>
              <w:spacing w:after="120"/>
              <w:ind w:firstLine="0"/>
              <w:jc w:val="center"/>
              <w:rPr>
                <w:b/>
                <w:lang w:val="nl-NL"/>
              </w:rPr>
            </w:pPr>
            <w:r w:rsidRPr="006234AA">
              <w:rPr>
                <w:b/>
                <w:lang w:val="nl-NL"/>
              </w:rPr>
              <w:t>TT</w:t>
            </w:r>
          </w:p>
        </w:tc>
        <w:tc>
          <w:tcPr>
            <w:tcW w:w="1667" w:type="dxa"/>
            <w:vMerge w:val="restart"/>
            <w:vAlign w:val="center"/>
          </w:tcPr>
          <w:p w:rsidR="0049588C" w:rsidRPr="006234AA" w:rsidRDefault="0049588C" w:rsidP="003C0546">
            <w:pPr>
              <w:spacing w:after="120"/>
              <w:ind w:firstLine="0"/>
              <w:jc w:val="center"/>
              <w:rPr>
                <w:b/>
                <w:lang w:val="nl-NL"/>
              </w:rPr>
            </w:pPr>
            <w:r w:rsidRPr="006234AA">
              <w:rPr>
                <w:b/>
                <w:lang w:val="nl-NL"/>
              </w:rPr>
              <w:t>Loại chứng khoán</w:t>
            </w:r>
          </w:p>
        </w:tc>
        <w:tc>
          <w:tcPr>
            <w:tcW w:w="1225" w:type="dxa"/>
            <w:gridSpan w:val="2"/>
            <w:vAlign w:val="center"/>
          </w:tcPr>
          <w:p w:rsidR="0049588C" w:rsidRPr="006234AA" w:rsidRDefault="0049588C" w:rsidP="003C0546">
            <w:pPr>
              <w:spacing w:after="120"/>
              <w:ind w:firstLine="0"/>
              <w:jc w:val="center"/>
              <w:rPr>
                <w:b/>
                <w:lang w:val="nl-NL"/>
              </w:rPr>
            </w:pPr>
            <w:r w:rsidRPr="006234AA">
              <w:rPr>
                <w:b/>
                <w:lang w:val="nl-NL"/>
              </w:rPr>
              <w:t>Tổng mua từ đầu năm</w:t>
            </w:r>
          </w:p>
        </w:tc>
        <w:tc>
          <w:tcPr>
            <w:tcW w:w="1326" w:type="dxa"/>
            <w:gridSpan w:val="2"/>
            <w:vAlign w:val="center"/>
          </w:tcPr>
          <w:p w:rsidR="0049588C" w:rsidRPr="006234AA" w:rsidRDefault="0049588C" w:rsidP="003C0546">
            <w:pPr>
              <w:spacing w:after="120"/>
              <w:ind w:firstLine="0"/>
              <w:jc w:val="center"/>
              <w:rPr>
                <w:b/>
                <w:lang w:val="nl-NL"/>
              </w:rPr>
            </w:pPr>
            <w:r w:rsidRPr="006234AA">
              <w:rPr>
                <w:b/>
                <w:lang w:val="nl-NL"/>
              </w:rPr>
              <w:t>Tổng bán từ đầu năm</w:t>
            </w:r>
          </w:p>
        </w:tc>
        <w:tc>
          <w:tcPr>
            <w:tcW w:w="1254" w:type="dxa"/>
            <w:gridSpan w:val="2"/>
            <w:vAlign w:val="center"/>
          </w:tcPr>
          <w:p w:rsidR="0049588C" w:rsidRPr="006234AA" w:rsidRDefault="0049588C" w:rsidP="003C0546">
            <w:pPr>
              <w:spacing w:after="120"/>
              <w:ind w:firstLine="0"/>
              <w:jc w:val="center"/>
              <w:rPr>
                <w:b/>
                <w:lang w:val="nl-NL"/>
              </w:rPr>
            </w:pPr>
            <w:r w:rsidRPr="006234AA">
              <w:rPr>
                <w:b/>
                <w:lang w:val="nl-NL"/>
              </w:rPr>
              <w:t>Mua trong tháng</w:t>
            </w:r>
          </w:p>
        </w:tc>
        <w:tc>
          <w:tcPr>
            <w:tcW w:w="1245" w:type="dxa"/>
            <w:gridSpan w:val="2"/>
            <w:vAlign w:val="center"/>
          </w:tcPr>
          <w:p w:rsidR="0049588C" w:rsidRPr="006234AA" w:rsidRDefault="0049588C" w:rsidP="003C0546">
            <w:pPr>
              <w:spacing w:after="120"/>
              <w:ind w:firstLine="0"/>
              <w:jc w:val="center"/>
              <w:rPr>
                <w:b/>
                <w:lang w:val="nl-NL"/>
              </w:rPr>
            </w:pPr>
            <w:r w:rsidRPr="006234AA">
              <w:rPr>
                <w:b/>
                <w:lang w:val="nl-NL"/>
              </w:rPr>
              <w:t>Bán trong tháng</w:t>
            </w:r>
          </w:p>
        </w:tc>
        <w:tc>
          <w:tcPr>
            <w:tcW w:w="1275" w:type="dxa"/>
            <w:gridSpan w:val="2"/>
            <w:vAlign w:val="center"/>
          </w:tcPr>
          <w:p w:rsidR="0049588C" w:rsidRPr="006234AA" w:rsidRDefault="0049588C" w:rsidP="003C0546">
            <w:pPr>
              <w:spacing w:after="120"/>
              <w:ind w:firstLine="0"/>
              <w:jc w:val="center"/>
              <w:rPr>
                <w:b/>
                <w:lang w:val="nl-NL"/>
              </w:rPr>
            </w:pPr>
            <w:r w:rsidRPr="006234AA">
              <w:rPr>
                <w:b/>
                <w:lang w:val="nl-NL"/>
              </w:rPr>
              <w:t>Tổng mua cuối kỳ</w:t>
            </w:r>
          </w:p>
        </w:tc>
        <w:tc>
          <w:tcPr>
            <w:tcW w:w="1222" w:type="dxa"/>
            <w:gridSpan w:val="2"/>
            <w:vAlign w:val="center"/>
          </w:tcPr>
          <w:p w:rsidR="0049588C" w:rsidRPr="006234AA" w:rsidRDefault="0049588C" w:rsidP="003C0546">
            <w:pPr>
              <w:spacing w:after="120"/>
              <w:ind w:firstLine="0"/>
              <w:jc w:val="center"/>
              <w:rPr>
                <w:b/>
                <w:lang w:val="nl-NL"/>
              </w:rPr>
            </w:pPr>
            <w:r w:rsidRPr="006234AA">
              <w:rPr>
                <w:b/>
                <w:lang w:val="nl-NL"/>
              </w:rPr>
              <w:t>Tổng bán cuối kỳ</w:t>
            </w:r>
          </w:p>
        </w:tc>
      </w:tr>
      <w:tr w:rsidR="0049588C" w:rsidRPr="006234AA" w:rsidTr="00A15B69">
        <w:trPr>
          <w:tblHeader/>
        </w:trPr>
        <w:tc>
          <w:tcPr>
            <w:tcW w:w="568" w:type="dxa"/>
            <w:vMerge/>
            <w:vAlign w:val="center"/>
          </w:tcPr>
          <w:p w:rsidR="0049588C" w:rsidRPr="006234AA" w:rsidRDefault="0049588C" w:rsidP="003C0546">
            <w:pPr>
              <w:spacing w:after="120"/>
              <w:jc w:val="center"/>
              <w:rPr>
                <w:lang w:val="nl-NL"/>
              </w:rPr>
            </w:pPr>
          </w:p>
        </w:tc>
        <w:tc>
          <w:tcPr>
            <w:tcW w:w="1667" w:type="dxa"/>
            <w:vMerge/>
            <w:vAlign w:val="center"/>
          </w:tcPr>
          <w:p w:rsidR="0049588C" w:rsidRPr="006234AA" w:rsidRDefault="0049588C" w:rsidP="003C0546">
            <w:pPr>
              <w:spacing w:after="120"/>
              <w:jc w:val="center"/>
              <w:rPr>
                <w:lang w:val="nl-NL"/>
              </w:rPr>
            </w:pPr>
          </w:p>
        </w:tc>
        <w:tc>
          <w:tcPr>
            <w:tcW w:w="543" w:type="dxa"/>
            <w:vAlign w:val="center"/>
          </w:tcPr>
          <w:p w:rsidR="0049588C" w:rsidRPr="006234AA" w:rsidRDefault="0049588C" w:rsidP="003C0546">
            <w:pPr>
              <w:spacing w:after="120"/>
              <w:ind w:firstLine="0"/>
              <w:jc w:val="center"/>
              <w:rPr>
                <w:lang w:val="nl-NL"/>
              </w:rPr>
            </w:pPr>
            <w:r w:rsidRPr="006234AA">
              <w:rPr>
                <w:lang w:val="nl-NL"/>
              </w:rPr>
              <w:t>KL</w:t>
            </w:r>
          </w:p>
        </w:tc>
        <w:tc>
          <w:tcPr>
            <w:tcW w:w="682" w:type="dxa"/>
            <w:vAlign w:val="center"/>
          </w:tcPr>
          <w:p w:rsidR="0049588C" w:rsidRPr="006234AA" w:rsidRDefault="0049588C" w:rsidP="003C0546">
            <w:pPr>
              <w:spacing w:after="120"/>
              <w:ind w:firstLine="0"/>
              <w:jc w:val="center"/>
              <w:rPr>
                <w:lang w:val="nl-NL"/>
              </w:rPr>
            </w:pPr>
            <w:r w:rsidRPr="006234AA">
              <w:rPr>
                <w:lang w:val="nl-NL"/>
              </w:rPr>
              <w:t>GT</w:t>
            </w:r>
          </w:p>
          <w:p w:rsidR="0049588C" w:rsidRPr="006234AA" w:rsidRDefault="0049588C" w:rsidP="003C0546">
            <w:pPr>
              <w:spacing w:after="120"/>
              <w:ind w:firstLine="0"/>
              <w:jc w:val="center"/>
              <w:rPr>
                <w:lang w:val="nl-NL"/>
              </w:rPr>
            </w:pPr>
            <w:r w:rsidRPr="006234AA">
              <w:rPr>
                <w:sz w:val="18"/>
                <w:lang w:val="nl-NL"/>
              </w:rPr>
              <w:t>(Triệu đồng)</w:t>
            </w:r>
          </w:p>
        </w:tc>
        <w:tc>
          <w:tcPr>
            <w:tcW w:w="584" w:type="dxa"/>
            <w:vAlign w:val="center"/>
          </w:tcPr>
          <w:p w:rsidR="0049588C" w:rsidRPr="006234AA" w:rsidRDefault="0049588C" w:rsidP="003C0546">
            <w:pPr>
              <w:spacing w:after="120"/>
              <w:ind w:firstLine="0"/>
              <w:jc w:val="center"/>
              <w:rPr>
                <w:lang w:val="nl-NL"/>
              </w:rPr>
            </w:pPr>
            <w:r w:rsidRPr="006234AA">
              <w:rPr>
                <w:lang w:val="nl-NL"/>
              </w:rPr>
              <w:t>KL</w:t>
            </w:r>
          </w:p>
        </w:tc>
        <w:tc>
          <w:tcPr>
            <w:tcW w:w="742" w:type="dxa"/>
            <w:vAlign w:val="center"/>
          </w:tcPr>
          <w:p w:rsidR="0049588C" w:rsidRPr="006234AA" w:rsidRDefault="0049588C" w:rsidP="003C0546">
            <w:pPr>
              <w:spacing w:after="120"/>
              <w:ind w:firstLine="0"/>
              <w:jc w:val="center"/>
              <w:rPr>
                <w:lang w:val="nl-NL"/>
              </w:rPr>
            </w:pPr>
            <w:r w:rsidRPr="006234AA">
              <w:rPr>
                <w:lang w:val="nl-NL"/>
              </w:rPr>
              <w:t>GT</w:t>
            </w:r>
          </w:p>
          <w:p w:rsidR="0049588C" w:rsidRPr="006234AA" w:rsidRDefault="0049588C" w:rsidP="003C0546">
            <w:pPr>
              <w:spacing w:after="120"/>
              <w:ind w:firstLine="0"/>
              <w:jc w:val="center"/>
              <w:rPr>
                <w:lang w:val="nl-NL"/>
              </w:rPr>
            </w:pPr>
            <w:r w:rsidRPr="006234AA">
              <w:rPr>
                <w:sz w:val="18"/>
                <w:lang w:val="nl-NL"/>
              </w:rPr>
              <w:t>(Triệu đồng)</w:t>
            </w:r>
          </w:p>
        </w:tc>
        <w:tc>
          <w:tcPr>
            <w:tcW w:w="554" w:type="dxa"/>
            <w:vAlign w:val="center"/>
          </w:tcPr>
          <w:p w:rsidR="0049588C" w:rsidRPr="006234AA" w:rsidRDefault="0049588C" w:rsidP="003C0546">
            <w:pPr>
              <w:spacing w:after="120"/>
              <w:ind w:firstLine="0"/>
              <w:jc w:val="center"/>
              <w:rPr>
                <w:lang w:val="nl-NL"/>
              </w:rPr>
            </w:pPr>
            <w:r w:rsidRPr="006234AA">
              <w:rPr>
                <w:lang w:val="nl-NL"/>
              </w:rPr>
              <w:t>KL</w:t>
            </w:r>
          </w:p>
        </w:tc>
        <w:tc>
          <w:tcPr>
            <w:tcW w:w="700" w:type="dxa"/>
            <w:vAlign w:val="center"/>
          </w:tcPr>
          <w:p w:rsidR="0049588C" w:rsidRPr="006234AA" w:rsidRDefault="0049588C" w:rsidP="003C0546">
            <w:pPr>
              <w:spacing w:after="120"/>
              <w:ind w:firstLine="0"/>
              <w:jc w:val="center"/>
              <w:rPr>
                <w:lang w:val="nl-NL"/>
              </w:rPr>
            </w:pPr>
            <w:r w:rsidRPr="006234AA">
              <w:rPr>
                <w:lang w:val="nl-NL"/>
              </w:rPr>
              <w:t>GT</w:t>
            </w:r>
          </w:p>
          <w:p w:rsidR="0049588C" w:rsidRPr="006234AA" w:rsidRDefault="0049588C" w:rsidP="003C0546">
            <w:pPr>
              <w:spacing w:after="120"/>
              <w:ind w:firstLine="0"/>
              <w:jc w:val="center"/>
              <w:rPr>
                <w:lang w:val="nl-NL"/>
              </w:rPr>
            </w:pPr>
            <w:r w:rsidRPr="006234AA">
              <w:rPr>
                <w:sz w:val="18"/>
                <w:lang w:val="nl-NL"/>
              </w:rPr>
              <w:t>(Triệu đồng)</w:t>
            </w:r>
          </w:p>
        </w:tc>
        <w:tc>
          <w:tcPr>
            <w:tcW w:w="559" w:type="dxa"/>
            <w:vAlign w:val="center"/>
          </w:tcPr>
          <w:p w:rsidR="0049588C" w:rsidRPr="006234AA" w:rsidRDefault="0049588C" w:rsidP="003C0546">
            <w:pPr>
              <w:spacing w:after="120"/>
              <w:ind w:firstLine="0"/>
              <w:jc w:val="center"/>
              <w:rPr>
                <w:lang w:val="nl-NL"/>
              </w:rPr>
            </w:pPr>
            <w:r w:rsidRPr="006234AA">
              <w:rPr>
                <w:lang w:val="nl-NL"/>
              </w:rPr>
              <w:t>KL</w:t>
            </w:r>
          </w:p>
        </w:tc>
        <w:tc>
          <w:tcPr>
            <w:tcW w:w="686" w:type="dxa"/>
            <w:vAlign w:val="center"/>
          </w:tcPr>
          <w:p w:rsidR="0049588C" w:rsidRPr="006234AA" w:rsidRDefault="0049588C" w:rsidP="003C0546">
            <w:pPr>
              <w:spacing w:after="120"/>
              <w:ind w:firstLine="0"/>
              <w:jc w:val="center"/>
              <w:rPr>
                <w:lang w:val="nl-NL"/>
              </w:rPr>
            </w:pPr>
            <w:r w:rsidRPr="006234AA">
              <w:rPr>
                <w:lang w:val="nl-NL"/>
              </w:rPr>
              <w:t>GT</w:t>
            </w:r>
          </w:p>
          <w:p w:rsidR="0049588C" w:rsidRPr="006234AA" w:rsidRDefault="0049588C" w:rsidP="003C0546">
            <w:pPr>
              <w:spacing w:after="120"/>
              <w:ind w:firstLine="0"/>
              <w:jc w:val="center"/>
              <w:rPr>
                <w:lang w:val="nl-NL"/>
              </w:rPr>
            </w:pPr>
            <w:r w:rsidRPr="006234AA">
              <w:rPr>
                <w:sz w:val="18"/>
                <w:lang w:val="nl-NL"/>
              </w:rPr>
              <w:t>(Triệu đồng)</w:t>
            </w:r>
          </w:p>
        </w:tc>
        <w:tc>
          <w:tcPr>
            <w:tcW w:w="543" w:type="dxa"/>
            <w:vAlign w:val="center"/>
          </w:tcPr>
          <w:p w:rsidR="0049588C" w:rsidRPr="006234AA" w:rsidRDefault="0049588C" w:rsidP="003C0546">
            <w:pPr>
              <w:spacing w:after="120"/>
              <w:ind w:firstLine="0"/>
              <w:jc w:val="center"/>
              <w:rPr>
                <w:lang w:val="nl-NL"/>
              </w:rPr>
            </w:pPr>
            <w:r w:rsidRPr="006234AA">
              <w:rPr>
                <w:lang w:val="nl-NL"/>
              </w:rPr>
              <w:t>KL</w:t>
            </w:r>
          </w:p>
        </w:tc>
        <w:tc>
          <w:tcPr>
            <w:tcW w:w="732" w:type="dxa"/>
            <w:vAlign w:val="center"/>
          </w:tcPr>
          <w:p w:rsidR="0049588C" w:rsidRPr="006234AA" w:rsidRDefault="0049588C" w:rsidP="003C0546">
            <w:pPr>
              <w:spacing w:after="120"/>
              <w:ind w:firstLine="0"/>
              <w:jc w:val="center"/>
              <w:rPr>
                <w:lang w:val="nl-NL"/>
              </w:rPr>
            </w:pPr>
            <w:r w:rsidRPr="006234AA">
              <w:rPr>
                <w:lang w:val="nl-NL"/>
              </w:rPr>
              <w:t>GT</w:t>
            </w:r>
          </w:p>
          <w:p w:rsidR="0049588C" w:rsidRPr="006234AA" w:rsidRDefault="0049588C" w:rsidP="003C0546">
            <w:pPr>
              <w:spacing w:after="120"/>
              <w:ind w:firstLine="0"/>
              <w:jc w:val="center"/>
              <w:rPr>
                <w:lang w:val="nl-NL"/>
              </w:rPr>
            </w:pPr>
            <w:r w:rsidRPr="006234AA">
              <w:rPr>
                <w:sz w:val="18"/>
                <w:lang w:val="nl-NL"/>
              </w:rPr>
              <w:t>(Triệu đồng)</w:t>
            </w:r>
          </w:p>
        </w:tc>
        <w:tc>
          <w:tcPr>
            <w:tcW w:w="556" w:type="dxa"/>
            <w:vAlign w:val="center"/>
          </w:tcPr>
          <w:p w:rsidR="0049588C" w:rsidRPr="006234AA" w:rsidRDefault="0049588C" w:rsidP="003C0546">
            <w:pPr>
              <w:spacing w:after="120"/>
              <w:ind w:firstLine="0"/>
              <w:jc w:val="center"/>
              <w:rPr>
                <w:lang w:val="nl-NL"/>
              </w:rPr>
            </w:pPr>
            <w:r w:rsidRPr="006234AA">
              <w:rPr>
                <w:lang w:val="nl-NL"/>
              </w:rPr>
              <w:t>KL</w:t>
            </w:r>
          </w:p>
        </w:tc>
        <w:tc>
          <w:tcPr>
            <w:tcW w:w="666" w:type="dxa"/>
            <w:vAlign w:val="center"/>
          </w:tcPr>
          <w:p w:rsidR="0049588C" w:rsidRPr="006234AA" w:rsidRDefault="0049588C" w:rsidP="003C0546">
            <w:pPr>
              <w:spacing w:after="120"/>
              <w:ind w:firstLine="0"/>
              <w:jc w:val="center"/>
              <w:rPr>
                <w:lang w:val="nl-NL"/>
              </w:rPr>
            </w:pPr>
            <w:r w:rsidRPr="006234AA">
              <w:rPr>
                <w:lang w:val="nl-NL"/>
              </w:rPr>
              <w:t>GT</w:t>
            </w:r>
          </w:p>
          <w:p w:rsidR="0049588C" w:rsidRPr="006234AA" w:rsidRDefault="0049588C" w:rsidP="003C0546">
            <w:pPr>
              <w:spacing w:after="120"/>
              <w:ind w:firstLine="0"/>
              <w:jc w:val="center"/>
              <w:rPr>
                <w:lang w:val="nl-NL"/>
              </w:rPr>
            </w:pPr>
            <w:r w:rsidRPr="006234AA">
              <w:rPr>
                <w:sz w:val="18"/>
                <w:lang w:val="nl-NL"/>
              </w:rPr>
              <w:t>(Triệu đồng)</w:t>
            </w:r>
          </w:p>
        </w:tc>
      </w:tr>
      <w:tr w:rsidR="0049588C" w:rsidRPr="006234AA" w:rsidTr="00A15B69">
        <w:tc>
          <w:tcPr>
            <w:tcW w:w="568" w:type="dxa"/>
          </w:tcPr>
          <w:p w:rsidR="0049588C" w:rsidRPr="006234AA" w:rsidRDefault="0049588C" w:rsidP="003C0546">
            <w:pPr>
              <w:spacing w:after="120"/>
              <w:ind w:firstLine="0"/>
              <w:rPr>
                <w:b/>
                <w:szCs w:val="26"/>
                <w:lang w:val="nl-NL"/>
              </w:rPr>
            </w:pPr>
            <w:r w:rsidRPr="006234AA">
              <w:rPr>
                <w:b/>
                <w:szCs w:val="26"/>
                <w:lang w:val="nl-NL"/>
              </w:rPr>
              <w:t>I</w:t>
            </w:r>
          </w:p>
        </w:tc>
        <w:tc>
          <w:tcPr>
            <w:tcW w:w="1667" w:type="dxa"/>
          </w:tcPr>
          <w:p w:rsidR="0049588C" w:rsidRPr="006234AA" w:rsidRDefault="0049588C" w:rsidP="003C0546">
            <w:pPr>
              <w:spacing w:after="120"/>
              <w:ind w:firstLine="0"/>
              <w:rPr>
                <w:b/>
                <w:szCs w:val="26"/>
                <w:lang w:val="nl-NL"/>
              </w:rPr>
            </w:pPr>
            <w:r w:rsidRPr="006234AA">
              <w:rPr>
                <w:b/>
                <w:szCs w:val="26"/>
                <w:lang w:val="nl-NL"/>
              </w:rPr>
              <w:t xml:space="preserve">Tổng cổ phiếu </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szCs w:val="26"/>
                <w:lang w:val="nl-NL"/>
              </w:rPr>
            </w:pPr>
            <w:r w:rsidRPr="006234AA">
              <w:rPr>
                <w:szCs w:val="26"/>
                <w:lang w:val="nl-NL"/>
              </w:rPr>
              <w:t>Trong nước</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szCs w:val="26"/>
                <w:lang w:val="nl-NL"/>
              </w:rPr>
            </w:pPr>
            <w:r w:rsidRPr="006234AA">
              <w:rPr>
                <w:szCs w:val="26"/>
                <w:lang w:val="nl-NL"/>
              </w:rPr>
              <w:t>Nước ngoài</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ind w:firstLine="0"/>
              <w:rPr>
                <w:b/>
                <w:szCs w:val="26"/>
                <w:lang w:val="nl-NL"/>
              </w:rPr>
            </w:pPr>
            <w:r w:rsidRPr="006234AA">
              <w:rPr>
                <w:b/>
                <w:szCs w:val="26"/>
                <w:lang w:val="nl-NL"/>
              </w:rPr>
              <w:t>II</w:t>
            </w:r>
          </w:p>
        </w:tc>
        <w:tc>
          <w:tcPr>
            <w:tcW w:w="1667" w:type="dxa"/>
          </w:tcPr>
          <w:p w:rsidR="0049588C" w:rsidRPr="006234AA" w:rsidRDefault="0049588C" w:rsidP="003C0546">
            <w:pPr>
              <w:spacing w:after="120"/>
              <w:ind w:firstLine="0"/>
              <w:rPr>
                <w:b/>
                <w:szCs w:val="26"/>
                <w:lang w:val="nl-NL"/>
              </w:rPr>
            </w:pPr>
            <w:r w:rsidRPr="006234AA">
              <w:rPr>
                <w:b/>
                <w:szCs w:val="26"/>
                <w:lang w:val="nl-NL"/>
              </w:rPr>
              <w:t>Tổng trái phiếu</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szCs w:val="26"/>
                <w:lang w:val="nl-NL"/>
              </w:rPr>
            </w:pPr>
            <w:r w:rsidRPr="006234AA">
              <w:rPr>
                <w:szCs w:val="26"/>
                <w:lang w:val="nl-NL"/>
              </w:rPr>
              <w:t>Trong nước</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szCs w:val="26"/>
                <w:lang w:val="nl-NL"/>
              </w:rPr>
            </w:pPr>
            <w:r w:rsidRPr="006234AA">
              <w:rPr>
                <w:szCs w:val="26"/>
                <w:lang w:val="nl-NL"/>
              </w:rPr>
              <w:t>Nước ngoài</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ind w:firstLine="0"/>
              <w:rPr>
                <w:b/>
                <w:szCs w:val="26"/>
                <w:lang w:val="nl-NL"/>
              </w:rPr>
            </w:pPr>
            <w:r w:rsidRPr="006234AA">
              <w:rPr>
                <w:b/>
                <w:szCs w:val="26"/>
                <w:lang w:val="nl-NL"/>
              </w:rPr>
              <w:t>III</w:t>
            </w:r>
          </w:p>
        </w:tc>
        <w:tc>
          <w:tcPr>
            <w:tcW w:w="1667" w:type="dxa"/>
          </w:tcPr>
          <w:p w:rsidR="0049588C" w:rsidRPr="006234AA" w:rsidRDefault="0049588C" w:rsidP="003C0546">
            <w:pPr>
              <w:spacing w:after="120"/>
              <w:ind w:firstLine="0"/>
              <w:rPr>
                <w:b/>
                <w:szCs w:val="26"/>
                <w:lang w:val="nl-NL"/>
              </w:rPr>
            </w:pPr>
            <w:r w:rsidRPr="006234AA">
              <w:rPr>
                <w:b/>
                <w:szCs w:val="26"/>
                <w:lang w:val="nl-NL"/>
              </w:rPr>
              <w:t>Tổng chứng chỉ quỹ</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szCs w:val="26"/>
                <w:lang w:val="nl-NL"/>
              </w:rPr>
            </w:pPr>
            <w:r w:rsidRPr="006234AA">
              <w:rPr>
                <w:szCs w:val="26"/>
                <w:lang w:val="nl-NL"/>
              </w:rPr>
              <w:t>Trong nước</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szCs w:val="26"/>
                <w:lang w:val="nl-NL"/>
              </w:rPr>
            </w:pPr>
            <w:r w:rsidRPr="006234AA">
              <w:rPr>
                <w:szCs w:val="26"/>
                <w:lang w:val="nl-NL"/>
              </w:rPr>
              <w:t>Nước ngoài</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ind w:firstLine="0"/>
              <w:rPr>
                <w:b/>
                <w:szCs w:val="26"/>
                <w:lang w:val="nl-NL"/>
              </w:rPr>
            </w:pPr>
            <w:r w:rsidRPr="006234AA">
              <w:rPr>
                <w:b/>
                <w:szCs w:val="26"/>
                <w:lang w:val="nl-NL"/>
              </w:rPr>
              <w:t>IV</w:t>
            </w:r>
          </w:p>
        </w:tc>
        <w:tc>
          <w:tcPr>
            <w:tcW w:w="1667" w:type="dxa"/>
          </w:tcPr>
          <w:p w:rsidR="0049588C" w:rsidRPr="006234AA" w:rsidRDefault="0049588C" w:rsidP="003C0546">
            <w:pPr>
              <w:spacing w:after="120"/>
              <w:ind w:firstLine="0"/>
              <w:rPr>
                <w:b/>
                <w:szCs w:val="26"/>
                <w:lang w:val="nl-NL"/>
              </w:rPr>
            </w:pPr>
            <w:r w:rsidRPr="006234AA">
              <w:rPr>
                <w:b/>
                <w:szCs w:val="26"/>
                <w:lang w:val="nl-NL"/>
              </w:rPr>
              <w:t>Tổng chứng khoán phái sinh</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szCs w:val="26"/>
                <w:lang w:val="nl-NL"/>
              </w:rPr>
            </w:pPr>
            <w:r w:rsidRPr="006234AA">
              <w:rPr>
                <w:szCs w:val="26"/>
                <w:lang w:val="nl-NL"/>
              </w:rPr>
              <w:t>Trong nước</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szCs w:val="26"/>
                <w:lang w:val="nl-NL"/>
              </w:rPr>
            </w:pPr>
            <w:r w:rsidRPr="006234AA">
              <w:rPr>
                <w:szCs w:val="26"/>
                <w:lang w:val="nl-NL"/>
              </w:rPr>
              <w:t>Nước ngoài</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ind w:firstLine="0"/>
              <w:rPr>
                <w:b/>
                <w:szCs w:val="26"/>
                <w:lang w:val="nl-NL"/>
              </w:rPr>
            </w:pPr>
            <w:r w:rsidRPr="006234AA">
              <w:rPr>
                <w:b/>
                <w:szCs w:val="26"/>
                <w:lang w:val="nl-NL"/>
              </w:rPr>
              <w:t>V</w:t>
            </w:r>
          </w:p>
        </w:tc>
        <w:tc>
          <w:tcPr>
            <w:tcW w:w="1667" w:type="dxa"/>
          </w:tcPr>
          <w:p w:rsidR="0049588C" w:rsidRPr="006234AA" w:rsidRDefault="0049588C" w:rsidP="003C0546">
            <w:pPr>
              <w:spacing w:after="120"/>
              <w:ind w:firstLine="0"/>
              <w:rPr>
                <w:b/>
                <w:szCs w:val="26"/>
                <w:lang w:val="nl-NL"/>
              </w:rPr>
            </w:pPr>
            <w:r w:rsidRPr="006234AA">
              <w:rPr>
                <w:b/>
                <w:szCs w:val="26"/>
                <w:lang w:val="nl-NL"/>
              </w:rPr>
              <w:t>Tổng chứng khoán khác</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szCs w:val="26"/>
                <w:lang w:val="nl-NL"/>
              </w:rPr>
            </w:pPr>
            <w:r w:rsidRPr="006234AA">
              <w:rPr>
                <w:szCs w:val="26"/>
                <w:lang w:val="nl-NL"/>
              </w:rPr>
              <w:t>Trong nước</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szCs w:val="26"/>
                <w:lang w:val="nl-NL"/>
              </w:rPr>
            </w:pPr>
            <w:r w:rsidRPr="006234AA">
              <w:rPr>
                <w:szCs w:val="26"/>
                <w:lang w:val="nl-NL"/>
              </w:rPr>
              <w:t>Nước ngoài</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r w:rsidR="0049588C" w:rsidRPr="006234AA" w:rsidTr="00A15B69">
        <w:tc>
          <w:tcPr>
            <w:tcW w:w="568" w:type="dxa"/>
          </w:tcPr>
          <w:p w:rsidR="0049588C" w:rsidRPr="006234AA" w:rsidRDefault="0049588C" w:rsidP="003C0546">
            <w:pPr>
              <w:spacing w:after="120"/>
              <w:rPr>
                <w:szCs w:val="26"/>
                <w:lang w:val="nl-NL"/>
              </w:rPr>
            </w:pPr>
          </w:p>
        </w:tc>
        <w:tc>
          <w:tcPr>
            <w:tcW w:w="1667" w:type="dxa"/>
          </w:tcPr>
          <w:p w:rsidR="0049588C" w:rsidRPr="006234AA" w:rsidRDefault="0049588C" w:rsidP="003C0546">
            <w:pPr>
              <w:spacing w:after="120"/>
              <w:ind w:firstLine="0"/>
              <w:rPr>
                <w:b/>
                <w:szCs w:val="26"/>
                <w:lang w:val="nl-NL"/>
              </w:rPr>
            </w:pPr>
            <w:r w:rsidRPr="006234AA">
              <w:rPr>
                <w:b/>
                <w:szCs w:val="26"/>
                <w:lang w:val="nl-NL"/>
              </w:rPr>
              <w:t>Tổng cộng (I+II+III+IV+V)</w:t>
            </w:r>
          </w:p>
        </w:tc>
        <w:tc>
          <w:tcPr>
            <w:tcW w:w="543" w:type="dxa"/>
          </w:tcPr>
          <w:p w:rsidR="0049588C" w:rsidRPr="006234AA" w:rsidRDefault="0049588C" w:rsidP="003C0546">
            <w:pPr>
              <w:spacing w:after="120"/>
              <w:rPr>
                <w:szCs w:val="26"/>
                <w:lang w:val="nl-NL"/>
              </w:rPr>
            </w:pPr>
          </w:p>
        </w:tc>
        <w:tc>
          <w:tcPr>
            <w:tcW w:w="682" w:type="dxa"/>
          </w:tcPr>
          <w:p w:rsidR="0049588C" w:rsidRPr="006234AA" w:rsidRDefault="0049588C" w:rsidP="003C0546">
            <w:pPr>
              <w:spacing w:after="120"/>
              <w:rPr>
                <w:szCs w:val="26"/>
                <w:lang w:val="nl-NL"/>
              </w:rPr>
            </w:pPr>
          </w:p>
        </w:tc>
        <w:tc>
          <w:tcPr>
            <w:tcW w:w="584" w:type="dxa"/>
          </w:tcPr>
          <w:p w:rsidR="0049588C" w:rsidRPr="006234AA" w:rsidRDefault="0049588C" w:rsidP="003C0546">
            <w:pPr>
              <w:spacing w:after="120"/>
              <w:rPr>
                <w:szCs w:val="26"/>
                <w:lang w:val="nl-NL"/>
              </w:rPr>
            </w:pPr>
          </w:p>
        </w:tc>
        <w:tc>
          <w:tcPr>
            <w:tcW w:w="742" w:type="dxa"/>
          </w:tcPr>
          <w:p w:rsidR="0049588C" w:rsidRPr="006234AA" w:rsidRDefault="0049588C" w:rsidP="003C0546">
            <w:pPr>
              <w:spacing w:after="120"/>
              <w:rPr>
                <w:szCs w:val="26"/>
                <w:lang w:val="nl-NL"/>
              </w:rPr>
            </w:pPr>
          </w:p>
        </w:tc>
        <w:tc>
          <w:tcPr>
            <w:tcW w:w="554" w:type="dxa"/>
          </w:tcPr>
          <w:p w:rsidR="0049588C" w:rsidRPr="006234AA" w:rsidRDefault="0049588C" w:rsidP="003C0546">
            <w:pPr>
              <w:spacing w:after="120"/>
              <w:rPr>
                <w:szCs w:val="26"/>
                <w:lang w:val="nl-NL"/>
              </w:rPr>
            </w:pPr>
          </w:p>
        </w:tc>
        <w:tc>
          <w:tcPr>
            <w:tcW w:w="700" w:type="dxa"/>
          </w:tcPr>
          <w:p w:rsidR="0049588C" w:rsidRPr="006234AA" w:rsidRDefault="0049588C" w:rsidP="003C0546">
            <w:pPr>
              <w:spacing w:after="120"/>
              <w:rPr>
                <w:szCs w:val="26"/>
                <w:lang w:val="nl-NL"/>
              </w:rPr>
            </w:pPr>
          </w:p>
        </w:tc>
        <w:tc>
          <w:tcPr>
            <w:tcW w:w="559" w:type="dxa"/>
          </w:tcPr>
          <w:p w:rsidR="0049588C" w:rsidRPr="006234AA" w:rsidRDefault="0049588C" w:rsidP="003C0546">
            <w:pPr>
              <w:spacing w:after="120"/>
              <w:rPr>
                <w:szCs w:val="26"/>
                <w:lang w:val="nl-NL"/>
              </w:rPr>
            </w:pPr>
          </w:p>
        </w:tc>
        <w:tc>
          <w:tcPr>
            <w:tcW w:w="686" w:type="dxa"/>
          </w:tcPr>
          <w:p w:rsidR="0049588C" w:rsidRPr="006234AA" w:rsidRDefault="0049588C" w:rsidP="003C0546">
            <w:pPr>
              <w:spacing w:after="120"/>
              <w:rPr>
                <w:szCs w:val="26"/>
                <w:lang w:val="nl-NL"/>
              </w:rPr>
            </w:pPr>
          </w:p>
        </w:tc>
        <w:tc>
          <w:tcPr>
            <w:tcW w:w="543" w:type="dxa"/>
          </w:tcPr>
          <w:p w:rsidR="0049588C" w:rsidRPr="006234AA" w:rsidRDefault="0049588C" w:rsidP="003C0546">
            <w:pPr>
              <w:spacing w:after="120"/>
              <w:rPr>
                <w:szCs w:val="26"/>
                <w:lang w:val="nl-NL"/>
              </w:rPr>
            </w:pPr>
          </w:p>
        </w:tc>
        <w:tc>
          <w:tcPr>
            <w:tcW w:w="732" w:type="dxa"/>
          </w:tcPr>
          <w:p w:rsidR="0049588C" w:rsidRPr="006234AA" w:rsidRDefault="0049588C" w:rsidP="003C0546">
            <w:pPr>
              <w:spacing w:after="120"/>
              <w:rPr>
                <w:szCs w:val="26"/>
                <w:lang w:val="nl-NL"/>
              </w:rPr>
            </w:pPr>
          </w:p>
        </w:tc>
        <w:tc>
          <w:tcPr>
            <w:tcW w:w="556" w:type="dxa"/>
          </w:tcPr>
          <w:p w:rsidR="0049588C" w:rsidRPr="006234AA" w:rsidRDefault="0049588C" w:rsidP="003C0546">
            <w:pPr>
              <w:spacing w:after="120"/>
              <w:rPr>
                <w:szCs w:val="26"/>
                <w:lang w:val="nl-NL"/>
              </w:rPr>
            </w:pPr>
          </w:p>
        </w:tc>
        <w:tc>
          <w:tcPr>
            <w:tcW w:w="666" w:type="dxa"/>
          </w:tcPr>
          <w:p w:rsidR="0049588C" w:rsidRPr="006234AA" w:rsidRDefault="0049588C" w:rsidP="003C0546">
            <w:pPr>
              <w:spacing w:after="120"/>
              <w:rPr>
                <w:szCs w:val="26"/>
                <w:lang w:val="nl-NL"/>
              </w:rPr>
            </w:pPr>
          </w:p>
        </w:tc>
      </w:tr>
    </w:tbl>
    <w:p w:rsidR="0049588C" w:rsidRPr="006234AA" w:rsidRDefault="0049588C" w:rsidP="003C0546">
      <w:pPr>
        <w:spacing w:after="120"/>
        <w:rPr>
          <w:lang w:val="nl-NL"/>
        </w:rPr>
      </w:pPr>
    </w:p>
    <w:p w:rsidR="0049588C" w:rsidRPr="006234AA" w:rsidRDefault="0049588C" w:rsidP="00D36937">
      <w:pPr>
        <w:numPr>
          <w:ilvl w:val="1"/>
          <w:numId w:val="25"/>
        </w:numPr>
        <w:tabs>
          <w:tab w:val="clear" w:pos="420"/>
          <w:tab w:val="num" w:pos="600"/>
        </w:tabs>
        <w:spacing w:after="120"/>
        <w:ind w:left="601"/>
        <w:jc w:val="left"/>
        <w:rPr>
          <w:b/>
          <w:i/>
          <w:lang w:val="nl-NL"/>
        </w:rPr>
      </w:pPr>
      <w:r w:rsidRPr="006234AA">
        <w:rPr>
          <w:b/>
          <w:i/>
          <w:lang w:val="nl-NL"/>
        </w:rPr>
        <w:t>Môi giới chứng khoán chưa niêm yết, đăng ký giao dịch</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0"/>
        <w:gridCol w:w="1840"/>
        <w:gridCol w:w="1701"/>
        <w:gridCol w:w="1754"/>
      </w:tblGrid>
      <w:tr w:rsidR="0049588C" w:rsidRPr="006234AA" w:rsidTr="00A15B69">
        <w:trPr>
          <w:jc w:val="center"/>
        </w:trPr>
        <w:tc>
          <w:tcPr>
            <w:tcW w:w="3880" w:type="dxa"/>
            <w:vAlign w:val="center"/>
          </w:tcPr>
          <w:p w:rsidR="0049588C" w:rsidRPr="006234AA" w:rsidRDefault="0049588C" w:rsidP="003C0546">
            <w:pPr>
              <w:spacing w:after="120"/>
              <w:ind w:firstLine="0"/>
              <w:jc w:val="center"/>
              <w:rPr>
                <w:b/>
                <w:lang w:val="nl-NL"/>
              </w:rPr>
            </w:pPr>
            <w:r w:rsidRPr="006234AA">
              <w:rPr>
                <w:b/>
                <w:lang w:val="nl-NL"/>
              </w:rPr>
              <w:t>Chứng khoán</w:t>
            </w:r>
          </w:p>
        </w:tc>
        <w:tc>
          <w:tcPr>
            <w:tcW w:w="1840" w:type="dxa"/>
            <w:vAlign w:val="center"/>
          </w:tcPr>
          <w:p w:rsidR="0049588C" w:rsidRPr="006234AA" w:rsidRDefault="0049588C" w:rsidP="003C0546">
            <w:pPr>
              <w:spacing w:after="120"/>
              <w:ind w:firstLine="0"/>
              <w:jc w:val="center"/>
              <w:rPr>
                <w:b/>
                <w:lang w:val="nl-NL"/>
              </w:rPr>
            </w:pPr>
            <w:r w:rsidRPr="006234AA">
              <w:rPr>
                <w:b/>
                <w:lang w:val="nl-NL"/>
              </w:rPr>
              <w:t>Thời gian thực hiện</w:t>
            </w:r>
          </w:p>
        </w:tc>
        <w:tc>
          <w:tcPr>
            <w:tcW w:w="1701" w:type="dxa"/>
            <w:vAlign w:val="center"/>
          </w:tcPr>
          <w:p w:rsidR="0049588C" w:rsidRPr="006234AA" w:rsidRDefault="0049588C" w:rsidP="003C0546">
            <w:pPr>
              <w:spacing w:after="120"/>
              <w:ind w:firstLine="0"/>
              <w:jc w:val="center"/>
              <w:rPr>
                <w:b/>
                <w:lang w:val="nl-NL"/>
              </w:rPr>
            </w:pPr>
            <w:r w:rsidRPr="006234AA">
              <w:rPr>
                <w:b/>
                <w:lang w:val="nl-NL"/>
              </w:rPr>
              <w:t>Khối lượng</w:t>
            </w:r>
          </w:p>
        </w:tc>
        <w:tc>
          <w:tcPr>
            <w:tcW w:w="1754" w:type="dxa"/>
            <w:vAlign w:val="center"/>
          </w:tcPr>
          <w:p w:rsidR="0049588C" w:rsidRPr="006234AA" w:rsidRDefault="0049588C" w:rsidP="003C0546">
            <w:pPr>
              <w:spacing w:after="120"/>
              <w:ind w:firstLine="0"/>
              <w:jc w:val="center"/>
              <w:rPr>
                <w:b/>
                <w:lang w:val="nl-NL"/>
              </w:rPr>
            </w:pPr>
            <w:r w:rsidRPr="006234AA">
              <w:rPr>
                <w:b/>
                <w:lang w:val="nl-NL"/>
              </w:rPr>
              <w:t>Giá trị</w:t>
            </w:r>
          </w:p>
        </w:tc>
      </w:tr>
      <w:tr w:rsidR="0049588C" w:rsidRPr="006234AA" w:rsidTr="00A15B69">
        <w:trPr>
          <w:jc w:val="center"/>
        </w:trPr>
        <w:tc>
          <w:tcPr>
            <w:tcW w:w="3880" w:type="dxa"/>
          </w:tcPr>
          <w:p w:rsidR="0049588C" w:rsidRPr="006234AA" w:rsidRDefault="0049588C" w:rsidP="003C0546">
            <w:pPr>
              <w:spacing w:after="120"/>
              <w:ind w:firstLine="0"/>
              <w:rPr>
                <w:lang w:val="nl-NL"/>
              </w:rPr>
            </w:pPr>
            <w:r w:rsidRPr="006234AA">
              <w:rPr>
                <w:lang w:val="nl-NL"/>
              </w:rPr>
              <w:t>1. Tổng cổ phiếu</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r w:rsidR="0049588C" w:rsidRPr="006234AA" w:rsidTr="00A15B69">
        <w:trPr>
          <w:jc w:val="center"/>
        </w:trPr>
        <w:tc>
          <w:tcPr>
            <w:tcW w:w="3880" w:type="dxa"/>
          </w:tcPr>
          <w:p w:rsidR="0049588C" w:rsidRPr="006234AA" w:rsidRDefault="0049588C" w:rsidP="003C0546">
            <w:pPr>
              <w:spacing w:after="120"/>
              <w:ind w:firstLine="0"/>
              <w:rPr>
                <w:lang w:val="nl-NL"/>
              </w:rPr>
            </w:pPr>
            <w:r w:rsidRPr="006234AA">
              <w:rPr>
                <w:lang w:val="nl-NL"/>
              </w:rPr>
              <w:t>Công ty...</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r w:rsidR="0049588C" w:rsidRPr="006234AA" w:rsidTr="00A15B69">
        <w:trPr>
          <w:jc w:val="center"/>
        </w:trPr>
        <w:tc>
          <w:tcPr>
            <w:tcW w:w="3880" w:type="dxa"/>
          </w:tcPr>
          <w:p w:rsidR="0049588C" w:rsidRPr="006234AA" w:rsidRDefault="0049588C" w:rsidP="003C0546">
            <w:pPr>
              <w:spacing w:after="120"/>
              <w:ind w:firstLine="0"/>
              <w:rPr>
                <w:lang w:val="nl-NL"/>
              </w:rPr>
            </w:pPr>
            <w:r w:rsidRPr="006234AA">
              <w:rPr>
                <w:lang w:val="nl-NL"/>
              </w:rPr>
              <w:t>2. Tổng trái phiếu</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r w:rsidR="0049588C" w:rsidRPr="006234AA" w:rsidTr="00A15B69">
        <w:trPr>
          <w:jc w:val="center"/>
        </w:trPr>
        <w:tc>
          <w:tcPr>
            <w:tcW w:w="3880" w:type="dxa"/>
          </w:tcPr>
          <w:p w:rsidR="0049588C" w:rsidRPr="006234AA" w:rsidRDefault="0049588C" w:rsidP="003C0546">
            <w:pPr>
              <w:spacing w:after="120"/>
              <w:ind w:firstLine="0"/>
              <w:rPr>
                <w:lang w:val="nl-NL"/>
              </w:rPr>
            </w:pPr>
            <w:r w:rsidRPr="006234AA">
              <w:rPr>
                <w:lang w:val="nl-NL"/>
              </w:rPr>
              <w:t>............</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r w:rsidR="0049588C" w:rsidRPr="006234AA" w:rsidTr="00A15B69">
        <w:trPr>
          <w:jc w:val="center"/>
        </w:trPr>
        <w:tc>
          <w:tcPr>
            <w:tcW w:w="3880" w:type="dxa"/>
          </w:tcPr>
          <w:p w:rsidR="0049588C" w:rsidRPr="006234AA" w:rsidRDefault="0049588C" w:rsidP="003C0546">
            <w:pPr>
              <w:spacing w:after="120"/>
              <w:ind w:firstLine="0"/>
              <w:rPr>
                <w:lang w:val="nl-NL"/>
              </w:rPr>
            </w:pPr>
            <w:r w:rsidRPr="006234AA">
              <w:rPr>
                <w:lang w:val="nl-NL"/>
              </w:rPr>
              <w:t>3. Tổng chứng chỉ quỹ</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r w:rsidR="0049588C" w:rsidRPr="006234AA" w:rsidTr="00A15B69">
        <w:trPr>
          <w:jc w:val="center"/>
        </w:trPr>
        <w:tc>
          <w:tcPr>
            <w:tcW w:w="3880" w:type="dxa"/>
          </w:tcPr>
          <w:p w:rsidR="0049588C" w:rsidRPr="006234AA" w:rsidRDefault="0049588C" w:rsidP="003C0546">
            <w:pPr>
              <w:spacing w:after="120"/>
              <w:ind w:firstLine="0"/>
              <w:rPr>
                <w:lang w:val="nl-NL"/>
              </w:rPr>
            </w:pPr>
            <w:r w:rsidRPr="006234AA">
              <w:rPr>
                <w:lang w:val="nl-NL"/>
              </w:rPr>
              <w:t>..........</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r w:rsidR="0049588C" w:rsidRPr="006234AA" w:rsidTr="00A15B69">
        <w:trPr>
          <w:jc w:val="center"/>
        </w:trPr>
        <w:tc>
          <w:tcPr>
            <w:tcW w:w="3880" w:type="dxa"/>
          </w:tcPr>
          <w:p w:rsidR="0049588C" w:rsidRPr="006234AA" w:rsidRDefault="0049588C" w:rsidP="003C0546">
            <w:pPr>
              <w:spacing w:after="120"/>
              <w:ind w:firstLine="0"/>
              <w:rPr>
                <w:lang w:val="nl-NL"/>
              </w:rPr>
            </w:pPr>
            <w:r w:rsidRPr="006234AA">
              <w:rPr>
                <w:lang w:val="nl-NL"/>
              </w:rPr>
              <w:t>4. Tổng chứng khoán phái sinh</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r w:rsidR="0049588C" w:rsidRPr="006234AA" w:rsidTr="00A15B69">
        <w:trPr>
          <w:jc w:val="center"/>
        </w:trPr>
        <w:tc>
          <w:tcPr>
            <w:tcW w:w="3880" w:type="dxa"/>
          </w:tcPr>
          <w:p w:rsidR="0049588C" w:rsidRPr="006234AA" w:rsidRDefault="0049588C" w:rsidP="003C0546">
            <w:pPr>
              <w:spacing w:after="120"/>
              <w:ind w:firstLine="0"/>
              <w:rPr>
                <w:lang w:val="nl-NL"/>
              </w:rPr>
            </w:pPr>
            <w:r w:rsidRPr="006234AA">
              <w:rPr>
                <w:lang w:val="nl-NL"/>
              </w:rPr>
              <w:t>..........</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r w:rsidR="0049588C" w:rsidRPr="006234AA" w:rsidTr="00A15B69">
        <w:trPr>
          <w:jc w:val="center"/>
        </w:trPr>
        <w:tc>
          <w:tcPr>
            <w:tcW w:w="3880" w:type="dxa"/>
          </w:tcPr>
          <w:p w:rsidR="0049588C" w:rsidRPr="006234AA" w:rsidRDefault="0049588C" w:rsidP="003C0546">
            <w:pPr>
              <w:spacing w:after="120"/>
              <w:ind w:firstLine="0"/>
              <w:rPr>
                <w:lang w:val="nl-NL"/>
              </w:rPr>
            </w:pPr>
            <w:r w:rsidRPr="006234AA">
              <w:rPr>
                <w:lang w:val="nl-NL"/>
              </w:rPr>
              <w:t>5. Chứng khoán khác</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r w:rsidR="0049588C" w:rsidRPr="006234AA" w:rsidTr="00A15B69">
        <w:trPr>
          <w:jc w:val="center"/>
        </w:trPr>
        <w:tc>
          <w:tcPr>
            <w:tcW w:w="3880" w:type="dxa"/>
          </w:tcPr>
          <w:p w:rsidR="0049588C" w:rsidRPr="006234AA" w:rsidRDefault="0049588C" w:rsidP="003C0546">
            <w:pPr>
              <w:spacing w:after="120"/>
              <w:ind w:firstLine="0"/>
              <w:rPr>
                <w:lang w:val="nl-NL"/>
              </w:rPr>
            </w:pPr>
            <w:r w:rsidRPr="006234AA">
              <w:rPr>
                <w:lang w:val="nl-NL"/>
              </w:rPr>
              <w:t>.......</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r w:rsidR="0049588C" w:rsidRPr="006234AA" w:rsidTr="00A15B69">
        <w:trPr>
          <w:jc w:val="center"/>
        </w:trPr>
        <w:tc>
          <w:tcPr>
            <w:tcW w:w="3880" w:type="dxa"/>
          </w:tcPr>
          <w:p w:rsidR="0049588C" w:rsidRPr="006234AA" w:rsidRDefault="0049588C" w:rsidP="003C0546">
            <w:pPr>
              <w:spacing w:after="120"/>
              <w:ind w:firstLine="0"/>
              <w:rPr>
                <w:b/>
                <w:lang w:val="nl-NL"/>
              </w:rPr>
            </w:pPr>
            <w:r w:rsidRPr="006234AA">
              <w:rPr>
                <w:b/>
                <w:lang w:val="nl-NL"/>
              </w:rPr>
              <w:lastRenderedPageBreak/>
              <w:t>Tổng cộng:</w:t>
            </w:r>
          </w:p>
        </w:tc>
        <w:tc>
          <w:tcPr>
            <w:tcW w:w="1840"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754" w:type="dxa"/>
          </w:tcPr>
          <w:p w:rsidR="0049588C" w:rsidRPr="006234AA" w:rsidRDefault="0049588C" w:rsidP="003C0546">
            <w:pPr>
              <w:spacing w:after="120"/>
              <w:rPr>
                <w:lang w:val="nl-NL"/>
              </w:rPr>
            </w:pPr>
          </w:p>
        </w:tc>
      </w:tr>
    </w:tbl>
    <w:p w:rsidR="0049588C" w:rsidRPr="006234AA" w:rsidRDefault="0049588C" w:rsidP="003C0546">
      <w:pPr>
        <w:spacing w:after="120"/>
        <w:rPr>
          <w:i/>
          <w:lang w:val="nl-NL"/>
        </w:rPr>
      </w:pPr>
      <w:r w:rsidRPr="006234AA">
        <w:rPr>
          <w:i/>
          <w:lang w:val="nl-NL"/>
        </w:rPr>
        <w:t>Ghi chú: báo cáo chi tiết theo từng tổ chức phát hành.</w:t>
      </w:r>
    </w:p>
    <w:p w:rsidR="0049588C" w:rsidRPr="006234AA" w:rsidRDefault="0049588C" w:rsidP="003C0546">
      <w:pPr>
        <w:spacing w:after="120"/>
        <w:rPr>
          <w:lang w:val="nl-NL"/>
        </w:rPr>
      </w:pPr>
    </w:p>
    <w:p w:rsidR="0049588C" w:rsidRPr="006234AA" w:rsidRDefault="0049588C" w:rsidP="00D36937">
      <w:pPr>
        <w:pStyle w:val="ListParagraph"/>
        <w:numPr>
          <w:ilvl w:val="1"/>
          <w:numId w:val="25"/>
        </w:numPr>
        <w:spacing w:after="120"/>
        <w:contextualSpacing/>
        <w:jc w:val="left"/>
        <w:rPr>
          <w:b/>
          <w:i/>
        </w:rPr>
      </w:pPr>
      <w:r w:rsidRPr="006234AA">
        <w:rPr>
          <w:b/>
          <w:i/>
        </w:rPr>
        <w:t>Tình hình giao dịch ký quỹ chứng khoán</w:t>
      </w:r>
    </w:p>
    <w:p w:rsidR="0049588C" w:rsidRPr="006234AA" w:rsidRDefault="0049588C" w:rsidP="003C0546">
      <w:pPr>
        <w:spacing w:after="120"/>
        <w:rPr>
          <w:b/>
          <w:i/>
          <w:sz w:val="12"/>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1"/>
        <w:gridCol w:w="5149"/>
        <w:gridCol w:w="1510"/>
        <w:gridCol w:w="1681"/>
      </w:tblGrid>
      <w:tr w:rsidR="0049588C" w:rsidRPr="006234AA" w:rsidTr="00A15B69">
        <w:tc>
          <w:tcPr>
            <w:tcW w:w="771" w:type="dxa"/>
          </w:tcPr>
          <w:p w:rsidR="0049588C" w:rsidRPr="006234AA" w:rsidRDefault="0049588C" w:rsidP="003C0546">
            <w:pPr>
              <w:spacing w:after="120"/>
              <w:ind w:firstLine="0"/>
              <w:rPr>
                <w:b/>
              </w:rPr>
            </w:pPr>
            <w:r w:rsidRPr="006234AA">
              <w:rPr>
                <w:b/>
              </w:rPr>
              <w:t>TT</w:t>
            </w:r>
          </w:p>
        </w:tc>
        <w:tc>
          <w:tcPr>
            <w:tcW w:w="5149" w:type="dxa"/>
          </w:tcPr>
          <w:p w:rsidR="0049588C" w:rsidRPr="006234AA" w:rsidRDefault="0049588C" w:rsidP="003C0546">
            <w:pPr>
              <w:spacing w:after="120"/>
              <w:ind w:firstLine="0"/>
              <w:jc w:val="center"/>
              <w:rPr>
                <w:b/>
              </w:rPr>
            </w:pPr>
            <w:r w:rsidRPr="006234AA">
              <w:rPr>
                <w:b/>
              </w:rPr>
              <w:t>Nội dung</w:t>
            </w:r>
          </w:p>
        </w:tc>
        <w:tc>
          <w:tcPr>
            <w:tcW w:w="1510" w:type="dxa"/>
          </w:tcPr>
          <w:p w:rsidR="0049588C" w:rsidRPr="006234AA" w:rsidRDefault="0049588C" w:rsidP="003C0546">
            <w:pPr>
              <w:spacing w:after="120"/>
              <w:ind w:firstLine="0"/>
              <w:jc w:val="center"/>
              <w:rPr>
                <w:b/>
              </w:rPr>
            </w:pPr>
            <w:r w:rsidRPr="006234AA">
              <w:rPr>
                <w:b/>
              </w:rPr>
              <w:t>Đầu tháng</w:t>
            </w:r>
          </w:p>
        </w:tc>
        <w:tc>
          <w:tcPr>
            <w:tcW w:w="1681" w:type="dxa"/>
          </w:tcPr>
          <w:p w:rsidR="0049588C" w:rsidRPr="006234AA" w:rsidRDefault="0049588C" w:rsidP="003C0546">
            <w:pPr>
              <w:spacing w:after="120"/>
              <w:ind w:firstLine="0"/>
              <w:jc w:val="center"/>
              <w:rPr>
                <w:b/>
              </w:rPr>
            </w:pPr>
            <w:r w:rsidRPr="006234AA">
              <w:rPr>
                <w:b/>
              </w:rPr>
              <w:t>Cuối tháng</w:t>
            </w:r>
          </w:p>
        </w:tc>
      </w:tr>
      <w:tr w:rsidR="0049588C" w:rsidRPr="006234AA" w:rsidTr="00A15B69">
        <w:tc>
          <w:tcPr>
            <w:tcW w:w="771" w:type="dxa"/>
          </w:tcPr>
          <w:p w:rsidR="0049588C" w:rsidRPr="006234AA" w:rsidRDefault="0049588C" w:rsidP="003C0546">
            <w:pPr>
              <w:spacing w:after="120"/>
              <w:ind w:firstLine="0"/>
            </w:pPr>
            <w:r w:rsidRPr="006234AA">
              <w:t>1</w:t>
            </w:r>
          </w:p>
        </w:tc>
        <w:tc>
          <w:tcPr>
            <w:tcW w:w="5149" w:type="dxa"/>
            <w:vAlign w:val="center"/>
          </w:tcPr>
          <w:p w:rsidR="0049588C" w:rsidRPr="006234AA" w:rsidRDefault="0049588C" w:rsidP="003C0546">
            <w:pPr>
              <w:spacing w:after="120"/>
              <w:ind w:firstLine="0"/>
            </w:pPr>
            <w:r w:rsidRPr="006234AA">
              <w:t>Số lượng tài khoản giao dịch ký quỹ</w:t>
            </w:r>
          </w:p>
        </w:tc>
        <w:tc>
          <w:tcPr>
            <w:tcW w:w="1510" w:type="dxa"/>
          </w:tcPr>
          <w:p w:rsidR="0049588C" w:rsidRPr="006234AA" w:rsidRDefault="0049588C" w:rsidP="003C0546">
            <w:pPr>
              <w:spacing w:after="120"/>
              <w:ind w:firstLine="0"/>
            </w:pPr>
          </w:p>
        </w:tc>
        <w:tc>
          <w:tcPr>
            <w:tcW w:w="1681" w:type="dxa"/>
          </w:tcPr>
          <w:p w:rsidR="0049588C" w:rsidRPr="006234AA" w:rsidRDefault="0049588C" w:rsidP="003C0546">
            <w:pPr>
              <w:spacing w:after="120"/>
              <w:ind w:firstLine="0"/>
            </w:pPr>
          </w:p>
        </w:tc>
      </w:tr>
      <w:tr w:rsidR="0049588C" w:rsidRPr="006234AA" w:rsidTr="00A15B69">
        <w:tc>
          <w:tcPr>
            <w:tcW w:w="771" w:type="dxa"/>
          </w:tcPr>
          <w:p w:rsidR="0049588C" w:rsidRPr="006234AA" w:rsidRDefault="0049588C" w:rsidP="003C0546">
            <w:pPr>
              <w:spacing w:after="120"/>
              <w:ind w:firstLine="0"/>
            </w:pPr>
            <w:r w:rsidRPr="006234AA">
              <w:t>2</w:t>
            </w:r>
          </w:p>
        </w:tc>
        <w:tc>
          <w:tcPr>
            <w:tcW w:w="5149" w:type="dxa"/>
            <w:vAlign w:val="center"/>
          </w:tcPr>
          <w:p w:rsidR="0049588C" w:rsidRPr="006234AA" w:rsidRDefault="0049588C" w:rsidP="003C0546">
            <w:pPr>
              <w:spacing w:after="120"/>
              <w:ind w:firstLine="0"/>
            </w:pPr>
            <w:r w:rsidRPr="006234AA">
              <w:t>Hạn mức tín dụng cho giao dịch ký quỹ</w:t>
            </w:r>
          </w:p>
        </w:tc>
        <w:tc>
          <w:tcPr>
            <w:tcW w:w="1510" w:type="dxa"/>
          </w:tcPr>
          <w:p w:rsidR="0049588C" w:rsidRPr="006234AA" w:rsidRDefault="0049588C" w:rsidP="003C0546">
            <w:pPr>
              <w:spacing w:after="120"/>
              <w:ind w:firstLine="0"/>
            </w:pPr>
          </w:p>
        </w:tc>
        <w:tc>
          <w:tcPr>
            <w:tcW w:w="1681" w:type="dxa"/>
          </w:tcPr>
          <w:p w:rsidR="0049588C" w:rsidRPr="006234AA" w:rsidRDefault="0049588C" w:rsidP="003C0546">
            <w:pPr>
              <w:spacing w:after="120"/>
              <w:ind w:firstLine="0"/>
            </w:pPr>
          </w:p>
        </w:tc>
      </w:tr>
      <w:tr w:rsidR="0049588C" w:rsidRPr="006234AA" w:rsidTr="00A15B69">
        <w:tc>
          <w:tcPr>
            <w:tcW w:w="771" w:type="dxa"/>
          </w:tcPr>
          <w:p w:rsidR="0049588C" w:rsidRPr="006234AA" w:rsidRDefault="0049588C" w:rsidP="003C0546">
            <w:pPr>
              <w:spacing w:after="120"/>
              <w:ind w:firstLine="0"/>
            </w:pPr>
            <w:r w:rsidRPr="006234AA">
              <w:t>3</w:t>
            </w:r>
          </w:p>
        </w:tc>
        <w:tc>
          <w:tcPr>
            <w:tcW w:w="5149" w:type="dxa"/>
            <w:vAlign w:val="center"/>
          </w:tcPr>
          <w:p w:rsidR="0049588C" w:rsidRPr="006234AA" w:rsidRDefault="0049588C" w:rsidP="003C0546">
            <w:pPr>
              <w:spacing w:after="120"/>
              <w:ind w:firstLine="0"/>
            </w:pPr>
            <w:r w:rsidRPr="006234AA">
              <w:t>Dư nợ cho vay giao dịch ký quỹ</w:t>
            </w:r>
          </w:p>
        </w:tc>
        <w:tc>
          <w:tcPr>
            <w:tcW w:w="1510" w:type="dxa"/>
          </w:tcPr>
          <w:p w:rsidR="0049588C" w:rsidRPr="006234AA" w:rsidRDefault="0049588C" w:rsidP="003C0546">
            <w:pPr>
              <w:spacing w:after="120"/>
              <w:ind w:firstLine="0"/>
            </w:pPr>
          </w:p>
        </w:tc>
        <w:tc>
          <w:tcPr>
            <w:tcW w:w="1681" w:type="dxa"/>
          </w:tcPr>
          <w:p w:rsidR="0049588C" w:rsidRPr="006234AA" w:rsidRDefault="0049588C" w:rsidP="003C0546">
            <w:pPr>
              <w:spacing w:after="120"/>
              <w:ind w:firstLine="0"/>
            </w:pPr>
          </w:p>
        </w:tc>
      </w:tr>
      <w:tr w:rsidR="0049588C" w:rsidRPr="006234AA" w:rsidTr="00A15B69">
        <w:tc>
          <w:tcPr>
            <w:tcW w:w="771" w:type="dxa"/>
          </w:tcPr>
          <w:p w:rsidR="0049588C" w:rsidRPr="006234AA" w:rsidRDefault="0049588C" w:rsidP="003C0546">
            <w:pPr>
              <w:spacing w:after="120"/>
              <w:ind w:firstLine="0"/>
            </w:pPr>
            <w:r w:rsidRPr="006234AA">
              <w:t>4</w:t>
            </w:r>
          </w:p>
        </w:tc>
        <w:tc>
          <w:tcPr>
            <w:tcW w:w="5149" w:type="dxa"/>
            <w:vAlign w:val="center"/>
          </w:tcPr>
          <w:p w:rsidR="0049588C" w:rsidRPr="006234AA" w:rsidRDefault="0049588C" w:rsidP="003C0546">
            <w:pPr>
              <w:spacing w:after="120"/>
              <w:ind w:firstLine="0"/>
            </w:pPr>
            <w:r w:rsidRPr="006234AA">
              <w:t>Giá trị chứng khoán ký quỹ</w:t>
            </w:r>
          </w:p>
        </w:tc>
        <w:tc>
          <w:tcPr>
            <w:tcW w:w="1510" w:type="dxa"/>
          </w:tcPr>
          <w:p w:rsidR="0049588C" w:rsidRPr="006234AA" w:rsidRDefault="0049588C" w:rsidP="003C0546">
            <w:pPr>
              <w:spacing w:after="120"/>
              <w:ind w:firstLine="0"/>
            </w:pPr>
          </w:p>
        </w:tc>
        <w:tc>
          <w:tcPr>
            <w:tcW w:w="1681" w:type="dxa"/>
          </w:tcPr>
          <w:p w:rsidR="0049588C" w:rsidRPr="006234AA" w:rsidRDefault="0049588C" w:rsidP="003C0546">
            <w:pPr>
              <w:spacing w:after="120"/>
              <w:ind w:firstLine="0"/>
            </w:pPr>
          </w:p>
        </w:tc>
      </w:tr>
      <w:tr w:rsidR="0049588C" w:rsidRPr="006234AA" w:rsidTr="00A15B69">
        <w:tc>
          <w:tcPr>
            <w:tcW w:w="771" w:type="dxa"/>
          </w:tcPr>
          <w:p w:rsidR="0049588C" w:rsidRPr="006234AA" w:rsidRDefault="0049588C" w:rsidP="003C0546">
            <w:pPr>
              <w:spacing w:after="120"/>
              <w:ind w:firstLine="0"/>
            </w:pPr>
            <w:r w:rsidRPr="006234AA">
              <w:t>5</w:t>
            </w:r>
          </w:p>
        </w:tc>
        <w:tc>
          <w:tcPr>
            <w:tcW w:w="5149" w:type="dxa"/>
            <w:vAlign w:val="center"/>
          </w:tcPr>
          <w:p w:rsidR="0049588C" w:rsidRPr="006234AA" w:rsidRDefault="0049588C" w:rsidP="003C0546">
            <w:pPr>
              <w:spacing w:after="120"/>
              <w:ind w:firstLine="0"/>
            </w:pPr>
            <w:r w:rsidRPr="006234AA">
              <w:t xml:space="preserve">5 (năm) mã chứng khoán có số dư nợ lớn nhất </w:t>
            </w:r>
          </w:p>
        </w:tc>
        <w:tc>
          <w:tcPr>
            <w:tcW w:w="1510" w:type="dxa"/>
          </w:tcPr>
          <w:p w:rsidR="0049588C" w:rsidRPr="006234AA" w:rsidRDefault="0049588C" w:rsidP="003C0546">
            <w:pPr>
              <w:spacing w:after="120"/>
              <w:ind w:firstLine="0"/>
            </w:pPr>
          </w:p>
        </w:tc>
        <w:tc>
          <w:tcPr>
            <w:tcW w:w="1681" w:type="dxa"/>
          </w:tcPr>
          <w:p w:rsidR="0049588C" w:rsidRPr="006234AA" w:rsidRDefault="0049588C" w:rsidP="003C0546">
            <w:pPr>
              <w:spacing w:after="120"/>
              <w:ind w:firstLine="0"/>
            </w:pPr>
          </w:p>
        </w:tc>
      </w:tr>
      <w:tr w:rsidR="0049588C" w:rsidRPr="006234AA" w:rsidTr="00A15B69">
        <w:tc>
          <w:tcPr>
            <w:tcW w:w="771" w:type="dxa"/>
          </w:tcPr>
          <w:p w:rsidR="0049588C" w:rsidRPr="006234AA" w:rsidRDefault="0049588C" w:rsidP="003C0546">
            <w:pPr>
              <w:spacing w:after="120"/>
              <w:jc w:val="center"/>
            </w:pPr>
          </w:p>
          <w:p w:rsidR="0049588C" w:rsidRPr="006234AA" w:rsidRDefault="0049588C" w:rsidP="003C0546">
            <w:pPr>
              <w:spacing w:after="120"/>
              <w:ind w:firstLine="0"/>
            </w:pPr>
            <w:r w:rsidRPr="006234AA">
              <w:t>6</w:t>
            </w:r>
          </w:p>
        </w:tc>
        <w:tc>
          <w:tcPr>
            <w:tcW w:w="5149" w:type="dxa"/>
            <w:vAlign w:val="center"/>
          </w:tcPr>
          <w:p w:rsidR="0049588C" w:rsidRPr="006234AA" w:rsidRDefault="0049588C" w:rsidP="003C0546">
            <w:pPr>
              <w:spacing w:after="120"/>
              <w:ind w:firstLine="0"/>
            </w:pPr>
            <w:r w:rsidRPr="006234AA">
              <w:t>Nguồn vốn tài trợ giao dịch ký quỹ:</w:t>
            </w:r>
          </w:p>
          <w:p w:rsidR="0049588C" w:rsidRPr="006234AA" w:rsidRDefault="0049588C" w:rsidP="003C0546">
            <w:pPr>
              <w:spacing w:after="120"/>
              <w:ind w:firstLine="0"/>
            </w:pPr>
            <w:r w:rsidRPr="006234AA">
              <w:t xml:space="preserve">- Vốn chủ sở hữu </w:t>
            </w:r>
          </w:p>
          <w:p w:rsidR="0049588C" w:rsidRPr="006234AA" w:rsidRDefault="0049588C" w:rsidP="003C0546">
            <w:pPr>
              <w:spacing w:after="120"/>
              <w:ind w:firstLine="0"/>
            </w:pPr>
            <w:r w:rsidRPr="006234AA">
              <w:t xml:space="preserve">- Vốn vay </w:t>
            </w:r>
          </w:p>
        </w:tc>
        <w:tc>
          <w:tcPr>
            <w:tcW w:w="1510" w:type="dxa"/>
          </w:tcPr>
          <w:p w:rsidR="0049588C" w:rsidRPr="006234AA" w:rsidRDefault="0049588C" w:rsidP="003C0546">
            <w:pPr>
              <w:spacing w:after="120"/>
              <w:ind w:firstLine="0"/>
            </w:pPr>
          </w:p>
        </w:tc>
        <w:tc>
          <w:tcPr>
            <w:tcW w:w="1681" w:type="dxa"/>
          </w:tcPr>
          <w:p w:rsidR="0049588C" w:rsidRPr="006234AA" w:rsidRDefault="0049588C" w:rsidP="003C0546">
            <w:pPr>
              <w:spacing w:after="120"/>
              <w:ind w:firstLine="0"/>
            </w:pPr>
          </w:p>
        </w:tc>
      </w:tr>
      <w:tr w:rsidR="0049588C" w:rsidRPr="006234AA" w:rsidTr="00A15B69">
        <w:tc>
          <w:tcPr>
            <w:tcW w:w="771" w:type="dxa"/>
          </w:tcPr>
          <w:p w:rsidR="0049588C" w:rsidRPr="006234AA" w:rsidRDefault="0049588C" w:rsidP="003C0546">
            <w:pPr>
              <w:spacing w:after="120"/>
              <w:jc w:val="center"/>
            </w:pPr>
          </w:p>
          <w:p w:rsidR="0049588C" w:rsidRPr="006234AA" w:rsidRDefault="0049588C" w:rsidP="003C0546">
            <w:pPr>
              <w:spacing w:after="120"/>
              <w:ind w:firstLine="0"/>
            </w:pPr>
            <w:r w:rsidRPr="006234AA">
              <w:t>7</w:t>
            </w:r>
          </w:p>
        </w:tc>
        <w:tc>
          <w:tcPr>
            <w:tcW w:w="5149" w:type="dxa"/>
            <w:vAlign w:val="center"/>
          </w:tcPr>
          <w:p w:rsidR="0049588C" w:rsidRPr="006234AA" w:rsidRDefault="0049588C" w:rsidP="003C0546">
            <w:pPr>
              <w:spacing w:after="120"/>
              <w:ind w:firstLine="0"/>
            </w:pPr>
            <w:r w:rsidRPr="006234AA">
              <w:t>Doanh thu từ hoạt động giao dịch ký quỹ:</w:t>
            </w:r>
          </w:p>
          <w:p w:rsidR="0049588C" w:rsidRPr="006234AA" w:rsidRDefault="0049588C" w:rsidP="003C0546">
            <w:pPr>
              <w:spacing w:after="120"/>
              <w:ind w:firstLine="0"/>
            </w:pPr>
            <w:r w:rsidRPr="006234AA">
              <w:t>- Tiền lãi</w:t>
            </w:r>
          </w:p>
          <w:p w:rsidR="0049588C" w:rsidRPr="006234AA" w:rsidRDefault="0049588C" w:rsidP="003C0546">
            <w:pPr>
              <w:spacing w:after="120"/>
              <w:ind w:firstLine="0"/>
            </w:pPr>
            <w:r w:rsidRPr="006234AA">
              <w:t>- Phí giao dịch</w:t>
            </w:r>
          </w:p>
          <w:p w:rsidR="0049588C" w:rsidRPr="006234AA" w:rsidRDefault="0049588C" w:rsidP="003C0546">
            <w:pPr>
              <w:spacing w:after="120"/>
              <w:ind w:firstLine="0"/>
            </w:pPr>
            <w:r w:rsidRPr="006234AA">
              <w:t>- Các khoản thu khác</w:t>
            </w:r>
          </w:p>
        </w:tc>
        <w:tc>
          <w:tcPr>
            <w:tcW w:w="1510" w:type="dxa"/>
          </w:tcPr>
          <w:p w:rsidR="0049588C" w:rsidRPr="006234AA" w:rsidRDefault="0049588C" w:rsidP="003C0546">
            <w:pPr>
              <w:spacing w:after="120"/>
              <w:ind w:firstLine="0"/>
            </w:pPr>
          </w:p>
        </w:tc>
        <w:tc>
          <w:tcPr>
            <w:tcW w:w="1681" w:type="dxa"/>
          </w:tcPr>
          <w:p w:rsidR="0049588C" w:rsidRPr="006234AA" w:rsidRDefault="0049588C" w:rsidP="003C0546">
            <w:pPr>
              <w:spacing w:after="120"/>
              <w:ind w:firstLine="0"/>
            </w:pPr>
          </w:p>
        </w:tc>
      </w:tr>
    </w:tbl>
    <w:p w:rsidR="0049588C" w:rsidRPr="006234AA" w:rsidRDefault="0049588C" w:rsidP="00D36937">
      <w:pPr>
        <w:pStyle w:val="ListParagraph"/>
        <w:numPr>
          <w:ilvl w:val="1"/>
          <w:numId w:val="25"/>
        </w:numPr>
        <w:spacing w:after="120"/>
        <w:contextualSpacing/>
        <w:jc w:val="left"/>
        <w:rPr>
          <w:b/>
          <w:i/>
        </w:rPr>
      </w:pPr>
      <w:r w:rsidRPr="006234AA">
        <w:rPr>
          <w:b/>
          <w:i/>
        </w:rPr>
        <w:t xml:space="preserve">Tổng phí môi giới thu được: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6389"/>
        <w:gridCol w:w="2041"/>
      </w:tblGrid>
      <w:tr w:rsidR="0049588C" w:rsidRPr="006234AA" w:rsidTr="00A15B69">
        <w:tc>
          <w:tcPr>
            <w:tcW w:w="642" w:type="dxa"/>
          </w:tcPr>
          <w:p w:rsidR="0049588C" w:rsidRPr="006234AA" w:rsidRDefault="0049588C" w:rsidP="003C0546">
            <w:pPr>
              <w:spacing w:after="120"/>
              <w:ind w:firstLine="0"/>
              <w:rPr>
                <w:b/>
                <w:lang w:val="nl-NL"/>
              </w:rPr>
            </w:pPr>
            <w:r w:rsidRPr="006234AA">
              <w:rPr>
                <w:b/>
                <w:lang w:val="nl-NL"/>
              </w:rPr>
              <w:t>TT</w:t>
            </w:r>
          </w:p>
        </w:tc>
        <w:tc>
          <w:tcPr>
            <w:tcW w:w="6389" w:type="dxa"/>
          </w:tcPr>
          <w:p w:rsidR="0049588C" w:rsidRPr="006234AA" w:rsidRDefault="0049588C" w:rsidP="003C0546">
            <w:pPr>
              <w:spacing w:after="120"/>
              <w:ind w:firstLine="0"/>
              <w:jc w:val="center"/>
              <w:rPr>
                <w:b/>
                <w:lang w:val="nl-NL"/>
              </w:rPr>
            </w:pPr>
            <w:r w:rsidRPr="006234AA">
              <w:rPr>
                <w:b/>
                <w:lang w:val="nl-NL"/>
              </w:rPr>
              <w:t>Phí môi giới</w:t>
            </w:r>
          </w:p>
        </w:tc>
        <w:tc>
          <w:tcPr>
            <w:tcW w:w="2041" w:type="dxa"/>
          </w:tcPr>
          <w:p w:rsidR="0049588C" w:rsidRPr="006234AA" w:rsidRDefault="0049588C" w:rsidP="003C0546">
            <w:pPr>
              <w:spacing w:after="120"/>
              <w:ind w:firstLine="0"/>
              <w:jc w:val="center"/>
              <w:rPr>
                <w:b/>
                <w:lang w:val="nl-NL"/>
              </w:rPr>
            </w:pPr>
            <w:r w:rsidRPr="006234AA">
              <w:rPr>
                <w:b/>
                <w:lang w:val="nl-NL"/>
              </w:rPr>
              <w:t xml:space="preserve">Đơn vị tính </w:t>
            </w:r>
            <w:r w:rsidRPr="006234AA">
              <w:rPr>
                <w:lang w:val="nl-NL"/>
              </w:rPr>
              <w:t>(đồng)</w:t>
            </w:r>
          </w:p>
        </w:tc>
      </w:tr>
      <w:tr w:rsidR="0049588C" w:rsidRPr="006234AA" w:rsidTr="00A15B69">
        <w:tc>
          <w:tcPr>
            <w:tcW w:w="642" w:type="dxa"/>
          </w:tcPr>
          <w:p w:rsidR="0049588C" w:rsidRPr="006234AA" w:rsidRDefault="0049588C" w:rsidP="003C0546">
            <w:pPr>
              <w:spacing w:after="120"/>
              <w:ind w:firstLine="0"/>
              <w:rPr>
                <w:lang w:val="nl-NL"/>
              </w:rPr>
            </w:pPr>
            <w:r w:rsidRPr="006234AA">
              <w:rPr>
                <w:lang w:val="nl-NL"/>
              </w:rPr>
              <w:t>1</w:t>
            </w:r>
          </w:p>
        </w:tc>
        <w:tc>
          <w:tcPr>
            <w:tcW w:w="6389" w:type="dxa"/>
          </w:tcPr>
          <w:p w:rsidR="0049588C" w:rsidRPr="006234AA" w:rsidRDefault="0049588C" w:rsidP="003C0546">
            <w:pPr>
              <w:spacing w:after="120"/>
              <w:ind w:firstLine="0"/>
              <w:rPr>
                <w:lang w:val="nl-NL"/>
              </w:rPr>
            </w:pPr>
            <w:r w:rsidRPr="006234AA">
              <w:rPr>
                <w:lang w:val="nl-NL"/>
              </w:rPr>
              <w:t>Từ giao dịch chứng khoán tại Sở GDCK Tp. HCM</w:t>
            </w:r>
          </w:p>
        </w:tc>
        <w:tc>
          <w:tcPr>
            <w:tcW w:w="2041" w:type="dxa"/>
          </w:tcPr>
          <w:p w:rsidR="0049588C" w:rsidRPr="006234AA" w:rsidRDefault="0049588C" w:rsidP="003C0546">
            <w:pPr>
              <w:spacing w:after="120"/>
              <w:ind w:firstLine="0"/>
              <w:rPr>
                <w:lang w:val="nl-NL"/>
              </w:rPr>
            </w:pPr>
          </w:p>
        </w:tc>
      </w:tr>
      <w:tr w:rsidR="0049588C" w:rsidRPr="006234AA" w:rsidTr="00A15B69">
        <w:tc>
          <w:tcPr>
            <w:tcW w:w="642" w:type="dxa"/>
          </w:tcPr>
          <w:p w:rsidR="0049588C" w:rsidRPr="006234AA" w:rsidRDefault="0049588C" w:rsidP="003C0546">
            <w:pPr>
              <w:spacing w:after="120"/>
              <w:ind w:firstLine="0"/>
              <w:rPr>
                <w:lang w:val="nl-NL"/>
              </w:rPr>
            </w:pPr>
            <w:r w:rsidRPr="006234AA">
              <w:rPr>
                <w:lang w:val="nl-NL"/>
              </w:rPr>
              <w:t>2</w:t>
            </w:r>
          </w:p>
        </w:tc>
        <w:tc>
          <w:tcPr>
            <w:tcW w:w="6389" w:type="dxa"/>
          </w:tcPr>
          <w:p w:rsidR="0049588C" w:rsidRPr="006234AA" w:rsidRDefault="0049588C" w:rsidP="003C0546">
            <w:pPr>
              <w:spacing w:after="120"/>
              <w:ind w:firstLine="0"/>
              <w:rPr>
                <w:lang w:val="nl-NL"/>
              </w:rPr>
            </w:pPr>
            <w:r w:rsidRPr="006234AA">
              <w:rPr>
                <w:lang w:val="nl-NL"/>
              </w:rPr>
              <w:t>Từ giao dịch chứng khoán tại Sở GDCK Tp. Hà Nội</w:t>
            </w:r>
          </w:p>
        </w:tc>
        <w:tc>
          <w:tcPr>
            <w:tcW w:w="2041" w:type="dxa"/>
          </w:tcPr>
          <w:p w:rsidR="0049588C" w:rsidRPr="006234AA" w:rsidRDefault="0049588C" w:rsidP="003C0546">
            <w:pPr>
              <w:spacing w:after="120"/>
              <w:ind w:firstLine="0"/>
              <w:rPr>
                <w:lang w:val="nl-NL"/>
              </w:rPr>
            </w:pPr>
          </w:p>
        </w:tc>
      </w:tr>
      <w:tr w:rsidR="0049588C" w:rsidRPr="006234AA" w:rsidTr="00A15B69">
        <w:tc>
          <w:tcPr>
            <w:tcW w:w="642" w:type="dxa"/>
          </w:tcPr>
          <w:p w:rsidR="0049588C" w:rsidRPr="006234AA" w:rsidRDefault="0049588C" w:rsidP="003C0546">
            <w:pPr>
              <w:spacing w:after="120"/>
              <w:ind w:firstLine="0"/>
              <w:rPr>
                <w:lang w:val="nl-NL"/>
              </w:rPr>
            </w:pPr>
            <w:r w:rsidRPr="006234AA">
              <w:rPr>
                <w:lang w:val="nl-NL"/>
              </w:rPr>
              <w:t>3</w:t>
            </w:r>
          </w:p>
        </w:tc>
        <w:tc>
          <w:tcPr>
            <w:tcW w:w="6389" w:type="dxa"/>
          </w:tcPr>
          <w:p w:rsidR="0049588C" w:rsidRPr="006234AA" w:rsidRDefault="0049588C" w:rsidP="003C0546">
            <w:pPr>
              <w:spacing w:after="120"/>
              <w:ind w:firstLine="0"/>
              <w:rPr>
                <w:lang w:val="nl-NL"/>
              </w:rPr>
            </w:pPr>
            <w:r w:rsidRPr="006234AA">
              <w:rPr>
                <w:lang w:val="nl-NL"/>
              </w:rPr>
              <w:t xml:space="preserve">Từ giao dịch chứng khoán khác: </w:t>
            </w:r>
          </w:p>
        </w:tc>
        <w:tc>
          <w:tcPr>
            <w:tcW w:w="2041" w:type="dxa"/>
          </w:tcPr>
          <w:p w:rsidR="0049588C" w:rsidRPr="006234AA" w:rsidRDefault="0049588C" w:rsidP="003C0546">
            <w:pPr>
              <w:spacing w:after="120"/>
              <w:ind w:firstLine="0"/>
              <w:rPr>
                <w:lang w:val="nl-NL"/>
              </w:rPr>
            </w:pPr>
          </w:p>
        </w:tc>
      </w:tr>
      <w:tr w:rsidR="0049588C" w:rsidRPr="006234AA" w:rsidTr="00A15B69">
        <w:tc>
          <w:tcPr>
            <w:tcW w:w="642" w:type="dxa"/>
          </w:tcPr>
          <w:p w:rsidR="0049588C" w:rsidRPr="006234AA" w:rsidRDefault="0049588C" w:rsidP="003C0546">
            <w:pPr>
              <w:spacing w:after="120"/>
              <w:ind w:firstLine="0"/>
              <w:rPr>
                <w:b/>
                <w:lang w:val="nl-NL"/>
              </w:rPr>
            </w:pPr>
          </w:p>
        </w:tc>
        <w:tc>
          <w:tcPr>
            <w:tcW w:w="6389" w:type="dxa"/>
          </w:tcPr>
          <w:p w:rsidR="0049588C" w:rsidRPr="006234AA" w:rsidRDefault="0049588C" w:rsidP="003C0546">
            <w:pPr>
              <w:spacing w:after="120"/>
              <w:ind w:firstLine="0"/>
              <w:rPr>
                <w:b/>
                <w:lang w:val="nl-NL"/>
              </w:rPr>
            </w:pPr>
            <w:r w:rsidRPr="006234AA">
              <w:rPr>
                <w:b/>
                <w:lang w:val="nl-NL"/>
              </w:rPr>
              <w:t>Cộng</w:t>
            </w:r>
          </w:p>
        </w:tc>
        <w:tc>
          <w:tcPr>
            <w:tcW w:w="2041" w:type="dxa"/>
          </w:tcPr>
          <w:p w:rsidR="0049588C" w:rsidRPr="006234AA" w:rsidRDefault="0049588C" w:rsidP="003C0546">
            <w:pPr>
              <w:spacing w:after="120"/>
              <w:rPr>
                <w:b/>
                <w:lang w:val="nl-NL"/>
              </w:rPr>
            </w:pPr>
          </w:p>
        </w:tc>
      </w:tr>
    </w:tbl>
    <w:p w:rsidR="0049588C" w:rsidRPr="006234AA" w:rsidRDefault="0049588C" w:rsidP="003C0546">
      <w:pPr>
        <w:spacing w:after="120"/>
        <w:rPr>
          <w:lang w:val="nl-NL"/>
        </w:rPr>
      </w:pPr>
    </w:p>
    <w:p w:rsidR="0049588C" w:rsidRPr="006234AA" w:rsidRDefault="0049588C" w:rsidP="00D36937">
      <w:pPr>
        <w:numPr>
          <w:ilvl w:val="0"/>
          <w:numId w:val="25"/>
        </w:numPr>
        <w:spacing w:after="120"/>
        <w:jc w:val="left"/>
        <w:rPr>
          <w:b/>
          <w:lang w:val="nl-NL"/>
        </w:rPr>
      </w:pPr>
      <w:r w:rsidRPr="006234AA">
        <w:rPr>
          <w:b/>
          <w:lang w:val="nl-NL"/>
        </w:rPr>
        <w:t>Hoạt động tự doanh chứng khoán, đầu tư tài chính</w:t>
      </w:r>
    </w:p>
    <w:p w:rsidR="0049588C" w:rsidRPr="006234AA" w:rsidRDefault="0049588C" w:rsidP="00D36937">
      <w:pPr>
        <w:pStyle w:val="BodyText2"/>
        <w:numPr>
          <w:ilvl w:val="1"/>
          <w:numId w:val="25"/>
        </w:numPr>
        <w:tabs>
          <w:tab w:val="clear" w:pos="420"/>
          <w:tab w:val="num" w:pos="600"/>
        </w:tabs>
        <w:spacing w:line="240" w:lineRule="auto"/>
        <w:ind w:left="601" w:hanging="601"/>
        <w:rPr>
          <w:rFonts w:ascii="Times New Roman" w:hAnsi="Times New Roman" w:cs="Times New Roman"/>
          <w:b/>
          <w:i/>
          <w:color w:val="auto"/>
          <w:lang w:val="nl-NL"/>
        </w:rPr>
      </w:pPr>
      <w:r w:rsidRPr="006234AA">
        <w:rPr>
          <w:rFonts w:ascii="Times New Roman" w:hAnsi="Times New Roman" w:cs="Times New Roman"/>
          <w:b/>
          <w:i/>
          <w:color w:val="auto"/>
          <w:lang w:val="nl-NL"/>
        </w:rPr>
        <w:lastRenderedPageBreak/>
        <w:t>Tình hình giao dịch chứng khoán niêm yết, chứng khoán đăng ký giao dịch trên tài khoản tự doanh</w:t>
      </w:r>
    </w:p>
    <w:tbl>
      <w:tblPr>
        <w:tblW w:w="9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567"/>
        <w:gridCol w:w="838"/>
        <w:gridCol w:w="580"/>
        <w:gridCol w:w="900"/>
        <w:gridCol w:w="615"/>
        <w:gridCol w:w="840"/>
        <w:gridCol w:w="597"/>
        <w:gridCol w:w="826"/>
        <w:gridCol w:w="598"/>
        <w:gridCol w:w="816"/>
        <w:gridCol w:w="574"/>
        <w:gridCol w:w="840"/>
      </w:tblGrid>
      <w:tr w:rsidR="0049588C" w:rsidRPr="006234AA" w:rsidTr="00A15B69">
        <w:trPr>
          <w:cantSplit/>
        </w:trPr>
        <w:tc>
          <w:tcPr>
            <w:tcW w:w="1230" w:type="dxa"/>
            <w:vMerge w:val="restart"/>
            <w:vAlign w:val="center"/>
          </w:tcPr>
          <w:p w:rsidR="0049588C" w:rsidRPr="006234AA" w:rsidRDefault="0049588C" w:rsidP="003C0546">
            <w:pPr>
              <w:pStyle w:val="BodyText2"/>
              <w:spacing w:line="240" w:lineRule="auto"/>
              <w:ind w:firstLine="34"/>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Loại CK</w:t>
            </w:r>
          </w:p>
        </w:tc>
        <w:tc>
          <w:tcPr>
            <w:tcW w:w="1405" w:type="dxa"/>
            <w:gridSpan w:val="2"/>
            <w:vAlign w:val="center"/>
          </w:tcPr>
          <w:p w:rsidR="0049588C" w:rsidRPr="006234AA" w:rsidRDefault="0049588C" w:rsidP="003C0546">
            <w:pPr>
              <w:pStyle w:val="BodyText2"/>
              <w:spacing w:line="240" w:lineRule="auto"/>
              <w:ind w:firstLine="80"/>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Tổng mua từ đầu năm</w:t>
            </w:r>
          </w:p>
        </w:tc>
        <w:tc>
          <w:tcPr>
            <w:tcW w:w="1480" w:type="dxa"/>
            <w:gridSpan w:val="2"/>
            <w:vAlign w:val="center"/>
          </w:tcPr>
          <w:p w:rsidR="0049588C" w:rsidRPr="006234AA" w:rsidRDefault="0049588C" w:rsidP="003C0546">
            <w:pPr>
              <w:pStyle w:val="BodyText2"/>
              <w:spacing w:line="240" w:lineRule="auto"/>
              <w:ind w:firstLine="80"/>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Tổng bán từ đầu năm</w:t>
            </w:r>
          </w:p>
        </w:tc>
        <w:tc>
          <w:tcPr>
            <w:tcW w:w="1455" w:type="dxa"/>
            <w:gridSpan w:val="2"/>
            <w:vAlign w:val="center"/>
          </w:tcPr>
          <w:p w:rsidR="0049588C" w:rsidRPr="006234AA" w:rsidRDefault="0049588C" w:rsidP="003C0546">
            <w:pPr>
              <w:pStyle w:val="BodyText2"/>
              <w:spacing w:line="240" w:lineRule="auto"/>
              <w:ind w:firstLine="80"/>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Mua trong tháng</w:t>
            </w:r>
          </w:p>
        </w:tc>
        <w:tc>
          <w:tcPr>
            <w:tcW w:w="1423" w:type="dxa"/>
            <w:gridSpan w:val="2"/>
            <w:vAlign w:val="center"/>
          </w:tcPr>
          <w:p w:rsidR="0049588C" w:rsidRPr="006234AA" w:rsidRDefault="0049588C" w:rsidP="003C0546">
            <w:pPr>
              <w:pStyle w:val="BodyText2"/>
              <w:spacing w:line="240" w:lineRule="auto"/>
              <w:ind w:firstLine="80"/>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Bán trong tháng</w:t>
            </w:r>
          </w:p>
        </w:tc>
        <w:tc>
          <w:tcPr>
            <w:tcW w:w="1414" w:type="dxa"/>
            <w:gridSpan w:val="2"/>
          </w:tcPr>
          <w:p w:rsidR="0049588C" w:rsidRPr="006234AA" w:rsidRDefault="0049588C" w:rsidP="003C0546">
            <w:pPr>
              <w:pStyle w:val="BodyText2"/>
              <w:spacing w:line="240" w:lineRule="auto"/>
              <w:ind w:firstLine="80"/>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Tổng mua cuối kỳ</w:t>
            </w:r>
          </w:p>
        </w:tc>
        <w:tc>
          <w:tcPr>
            <w:tcW w:w="1414" w:type="dxa"/>
            <w:gridSpan w:val="2"/>
          </w:tcPr>
          <w:p w:rsidR="0049588C" w:rsidRPr="006234AA" w:rsidRDefault="0049588C" w:rsidP="003C0546">
            <w:pPr>
              <w:pStyle w:val="BodyText2"/>
              <w:spacing w:line="240" w:lineRule="auto"/>
              <w:ind w:firstLine="80"/>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Tổng bán cuối kỳ</w:t>
            </w:r>
          </w:p>
        </w:tc>
      </w:tr>
      <w:tr w:rsidR="0049588C" w:rsidRPr="006234AA" w:rsidTr="00A15B69">
        <w:tc>
          <w:tcPr>
            <w:tcW w:w="1230" w:type="dxa"/>
            <w:vMerge/>
            <w:vAlign w:val="center"/>
          </w:tcPr>
          <w:p w:rsidR="0049588C" w:rsidRPr="006234AA" w:rsidRDefault="0049588C" w:rsidP="003C0546">
            <w:pPr>
              <w:pStyle w:val="BodyText2"/>
              <w:spacing w:line="240" w:lineRule="auto"/>
              <w:ind w:firstLine="34"/>
              <w:jc w:val="center"/>
              <w:rPr>
                <w:rFonts w:ascii="Times New Roman" w:hAnsi="Times New Roman" w:cs="Times New Roman"/>
                <w:color w:val="auto"/>
                <w:sz w:val="24"/>
                <w:szCs w:val="24"/>
                <w:lang w:val="nl-NL"/>
              </w:rPr>
            </w:pPr>
          </w:p>
        </w:tc>
        <w:tc>
          <w:tcPr>
            <w:tcW w:w="567"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KL</w:t>
            </w:r>
          </w:p>
        </w:tc>
        <w:tc>
          <w:tcPr>
            <w:tcW w:w="838"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GT</w:t>
            </w:r>
          </w:p>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(Triệu đồng)</w:t>
            </w:r>
          </w:p>
        </w:tc>
        <w:tc>
          <w:tcPr>
            <w:tcW w:w="580"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KL</w:t>
            </w:r>
          </w:p>
        </w:tc>
        <w:tc>
          <w:tcPr>
            <w:tcW w:w="900"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GT</w:t>
            </w:r>
          </w:p>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(Triệu đồng)</w:t>
            </w:r>
          </w:p>
        </w:tc>
        <w:tc>
          <w:tcPr>
            <w:tcW w:w="615"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KL</w:t>
            </w:r>
          </w:p>
        </w:tc>
        <w:tc>
          <w:tcPr>
            <w:tcW w:w="840"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GT</w:t>
            </w:r>
          </w:p>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(Triệu đồng)</w:t>
            </w:r>
          </w:p>
        </w:tc>
        <w:tc>
          <w:tcPr>
            <w:tcW w:w="597"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KL</w:t>
            </w:r>
          </w:p>
        </w:tc>
        <w:tc>
          <w:tcPr>
            <w:tcW w:w="826"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GT</w:t>
            </w:r>
          </w:p>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(Triệu đồng)</w:t>
            </w:r>
          </w:p>
        </w:tc>
        <w:tc>
          <w:tcPr>
            <w:tcW w:w="598"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KL</w:t>
            </w:r>
          </w:p>
        </w:tc>
        <w:tc>
          <w:tcPr>
            <w:tcW w:w="816"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GT</w:t>
            </w:r>
          </w:p>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(Triệu đồng)</w:t>
            </w:r>
          </w:p>
        </w:tc>
        <w:tc>
          <w:tcPr>
            <w:tcW w:w="574"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KL</w:t>
            </w:r>
          </w:p>
        </w:tc>
        <w:tc>
          <w:tcPr>
            <w:tcW w:w="840"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GT</w:t>
            </w:r>
          </w:p>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(Triệu đồng)</w:t>
            </w:r>
          </w:p>
        </w:tc>
      </w:tr>
      <w:tr w:rsidR="0049588C" w:rsidRPr="006234AA" w:rsidTr="00A15B69">
        <w:tc>
          <w:tcPr>
            <w:tcW w:w="1230" w:type="dxa"/>
          </w:tcPr>
          <w:p w:rsidR="0049588C" w:rsidRPr="006234AA" w:rsidRDefault="0049588C" w:rsidP="003C0546">
            <w:pPr>
              <w:pStyle w:val="BodyText2"/>
              <w:spacing w:line="240" w:lineRule="auto"/>
              <w:ind w:firstLine="34"/>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Cổ phiếu</w:t>
            </w:r>
          </w:p>
        </w:tc>
        <w:tc>
          <w:tcPr>
            <w:tcW w:w="567"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38"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8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90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615"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4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97"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2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98"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74"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4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1230" w:type="dxa"/>
          </w:tcPr>
          <w:p w:rsidR="0049588C" w:rsidRPr="006234AA" w:rsidRDefault="0049588C" w:rsidP="003C0546">
            <w:pPr>
              <w:pStyle w:val="BodyText2"/>
              <w:spacing w:line="240" w:lineRule="auto"/>
              <w:ind w:firstLine="34"/>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Trái phiếu</w:t>
            </w:r>
          </w:p>
        </w:tc>
        <w:tc>
          <w:tcPr>
            <w:tcW w:w="567"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38"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8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90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615"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4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97"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2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98"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74"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4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1230" w:type="dxa"/>
          </w:tcPr>
          <w:p w:rsidR="0049588C" w:rsidRPr="006234AA" w:rsidRDefault="0049588C" w:rsidP="003C0546">
            <w:pPr>
              <w:pStyle w:val="BodyText2"/>
              <w:spacing w:line="240" w:lineRule="auto"/>
              <w:ind w:firstLine="34"/>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CC quỹ</w:t>
            </w:r>
          </w:p>
        </w:tc>
        <w:tc>
          <w:tcPr>
            <w:tcW w:w="567"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38"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8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90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615"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4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97"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2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98"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74"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4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1230" w:type="dxa"/>
          </w:tcPr>
          <w:p w:rsidR="0049588C" w:rsidRPr="006234AA" w:rsidRDefault="0049588C" w:rsidP="003C0546">
            <w:pPr>
              <w:pStyle w:val="BodyText2"/>
              <w:spacing w:line="240" w:lineRule="auto"/>
              <w:ind w:firstLine="34"/>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Chứng khoán phái sinh</w:t>
            </w:r>
          </w:p>
        </w:tc>
        <w:tc>
          <w:tcPr>
            <w:tcW w:w="567"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38"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8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90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615"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4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97"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2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98"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74"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4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1230" w:type="dxa"/>
          </w:tcPr>
          <w:p w:rsidR="0049588C" w:rsidRPr="006234AA" w:rsidRDefault="0049588C" w:rsidP="003C0546">
            <w:pPr>
              <w:pStyle w:val="BodyText2"/>
              <w:spacing w:line="240" w:lineRule="auto"/>
              <w:ind w:firstLine="34"/>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Tổng</w:t>
            </w:r>
          </w:p>
        </w:tc>
        <w:tc>
          <w:tcPr>
            <w:tcW w:w="567"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38"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8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90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615"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4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97"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2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98"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574"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84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bl>
    <w:p w:rsidR="0049588C" w:rsidRPr="006234AA" w:rsidRDefault="0049588C" w:rsidP="003C0546">
      <w:pPr>
        <w:pStyle w:val="BodyText2"/>
        <w:spacing w:line="240" w:lineRule="auto"/>
        <w:rPr>
          <w:rFonts w:ascii="Times New Roman" w:hAnsi="Times New Roman" w:cs="Times New Roman"/>
          <w:b/>
          <w:i/>
          <w:color w:val="auto"/>
          <w:lang w:val="nl-NL"/>
        </w:rPr>
      </w:pPr>
    </w:p>
    <w:p w:rsidR="0049588C" w:rsidRPr="006234AA" w:rsidRDefault="0049588C" w:rsidP="00D36937">
      <w:pPr>
        <w:pStyle w:val="BodyText2"/>
        <w:numPr>
          <w:ilvl w:val="1"/>
          <w:numId w:val="25"/>
        </w:numPr>
        <w:spacing w:line="240" w:lineRule="auto"/>
        <w:rPr>
          <w:rFonts w:ascii="Times New Roman" w:hAnsi="Times New Roman" w:cs="Times New Roman"/>
          <w:b/>
          <w:i/>
          <w:color w:val="auto"/>
          <w:lang w:val="nl-NL"/>
        </w:rPr>
      </w:pPr>
      <w:r w:rsidRPr="006234AA">
        <w:rPr>
          <w:rFonts w:ascii="Times New Roman" w:hAnsi="Times New Roman" w:cs="Times New Roman"/>
          <w:b/>
          <w:i/>
          <w:color w:val="auto"/>
          <w:lang w:val="nl-NL"/>
        </w:rPr>
        <w:t>Tình hình đầu tư</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4"/>
        <w:gridCol w:w="1640"/>
        <w:gridCol w:w="1710"/>
        <w:gridCol w:w="1754"/>
        <w:gridCol w:w="1846"/>
      </w:tblGrid>
      <w:tr w:rsidR="0049588C" w:rsidRPr="006234AA" w:rsidTr="00A15B69">
        <w:tc>
          <w:tcPr>
            <w:tcW w:w="675"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24"/>
                <w:lang w:val="nl-NL"/>
              </w:rPr>
            </w:pPr>
            <w:r w:rsidRPr="006234AA">
              <w:rPr>
                <w:rFonts w:ascii="Times New Roman" w:hAnsi="Times New Roman" w:cs="Times New Roman"/>
                <w:b/>
                <w:color w:val="auto"/>
                <w:sz w:val="24"/>
                <w:lang w:val="nl-NL"/>
              </w:rPr>
              <w:t>TT</w:t>
            </w:r>
          </w:p>
        </w:tc>
        <w:tc>
          <w:tcPr>
            <w:tcW w:w="1984" w:type="dxa"/>
            <w:vAlign w:val="center"/>
          </w:tcPr>
          <w:p w:rsidR="0049588C" w:rsidRPr="006234AA" w:rsidRDefault="0049588C" w:rsidP="003C0546">
            <w:pPr>
              <w:pStyle w:val="BodyText2"/>
              <w:spacing w:line="240" w:lineRule="auto"/>
              <w:ind w:firstLine="0"/>
              <w:jc w:val="center"/>
              <w:rPr>
                <w:rFonts w:ascii="Times New Roman" w:hAnsi="Times New Roman" w:cs="Times New Roman"/>
                <w:b/>
                <w:color w:val="auto"/>
                <w:sz w:val="24"/>
                <w:lang w:val="nl-NL"/>
              </w:rPr>
            </w:pPr>
            <w:r w:rsidRPr="006234AA">
              <w:rPr>
                <w:rFonts w:ascii="Times New Roman" w:hAnsi="Times New Roman" w:cs="Times New Roman"/>
                <w:b/>
                <w:color w:val="auto"/>
                <w:sz w:val="24"/>
                <w:lang w:val="nl-NL"/>
              </w:rPr>
              <w:t>Tên tổ chức nhận đầu tư từ công ty chứng khoán</w:t>
            </w:r>
          </w:p>
        </w:tc>
        <w:tc>
          <w:tcPr>
            <w:tcW w:w="1640" w:type="dxa"/>
            <w:vAlign w:val="center"/>
          </w:tcPr>
          <w:p w:rsidR="0049588C" w:rsidRPr="006234AA" w:rsidRDefault="0049588C" w:rsidP="003C0546">
            <w:pPr>
              <w:pStyle w:val="BodyText2"/>
              <w:spacing w:line="240" w:lineRule="auto"/>
              <w:ind w:firstLine="35"/>
              <w:jc w:val="center"/>
              <w:rPr>
                <w:rFonts w:ascii="Times New Roman" w:hAnsi="Times New Roman" w:cs="Times New Roman"/>
                <w:b/>
                <w:color w:val="auto"/>
                <w:sz w:val="24"/>
                <w:lang w:val="nl-NL"/>
              </w:rPr>
            </w:pPr>
            <w:r w:rsidRPr="006234AA">
              <w:rPr>
                <w:rFonts w:ascii="Times New Roman" w:hAnsi="Times New Roman" w:cs="Times New Roman"/>
                <w:b/>
                <w:color w:val="auto"/>
                <w:sz w:val="24"/>
                <w:lang w:val="nl-NL"/>
              </w:rPr>
              <w:t>Giá trị đầu tư đầu kỳ</w:t>
            </w:r>
          </w:p>
          <w:p w:rsidR="0049588C" w:rsidRPr="006234AA" w:rsidRDefault="0049588C" w:rsidP="003C0546">
            <w:pPr>
              <w:pStyle w:val="BodyText2"/>
              <w:spacing w:line="240" w:lineRule="auto"/>
              <w:ind w:firstLine="35"/>
              <w:jc w:val="center"/>
              <w:rPr>
                <w:rFonts w:ascii="Times New Roman" w:hAnsi="Times New Roman" w:cs="Times New Roman"/>
                <w:b/>
                <w:color w:val="auto"/>
                <w:sz w:val="24"/>
                <w:lang w:val="nl-NL"/>
              </w:rPr>
            </w:pPr>
            <w:r w:rsidRPr="006234AA">
              <w:rPr>
                <w:rFonts w:ascii="Times New Roman" w:hAnsi="Times New Roman" w:cs="Times New Roman"/>
                <w:b/>
                <w:color w:val="auto"/>
                <w:sz w:val="24"/>
                <w:lang w:val="nl-NL"/>
              </w:rPr>
              <w:t>( triệu đồng)</w:t>
            </w:r>
          </w:p>
        </w:tc>
        <w:tc>
          <w:tcPr>
            <w:tcW w:w="1710" w:type="dxa"/>
            <w:vAlign w:val="center"/>
          </w:tcPr>
          <w:p w:rsidR="0049588C" w:rsidRPr="006234AA" w:rsidRDefault="0049588C" w:rsidP="003C0546">
            <w:pPr>
              <w:pStyle w:val="BodyText2"/>
              <w:spacing w:line="240" w:lineRule="auto"/>
              <w:ind w:firstLine="35"/>
              <w:jc w:val="center"/>
              <w:rPr>
                <w:rFonts w:ascii="Times New Roman" w:hAnsi="Times New Roman" w:cs="Times New Roman"/>
                <w:b/>
                <w:color w:val="auto"/>
                <w:sz w:val="24"/>
                <w:lang w:val="nl-NL"/>
              </w:rPr>
            </w:pPr>
            <w:r w:rsidRPr="006234AA">
              <w:rPr>
                <w:rFonts w:ascii="Times New Roman" w:hAnsi="Times New Roman" w:cs="Times New Roman"/>
                <w:b/>
                <w:color w:val="auto"/>
                <w:sz w:val="24"/>
                <w:lang w:val="nl-NL"/>
              </w:rPr>
              <w:t>Giá trị đầu tư tăng trong kỳ</w:t>
            </w:r>
          </w:p>
          <w:p w:rsidR="0049588C" w:rsidRPr="006234AA" w:rsidRDefault="0049588C" w:rsidP="003C0546">
            <w:pPr>
              <w:pStyle w:val="BodyText2"/>
              <w:spacing w:line="240" w:lineRule="auto"/>
              <w:ind w:firstLine="35"/>
              <w:jc w:val="center"/>
              <w:rPr>
                <w:rFonts w:ascii="Times New Roman" w:hAnsi="Times New Roman" w:cs="Times New Roman"/>
                <w:b/>
                <w:color w:val="auto"/>
                <w:sz w:val="24"/>
                <w:lang w:val="nl-NL"/>
              </w:rPr>
            </w:pPr>
            <w:r w:rsidRPr="006234AA">
              <w:rPr>
                <w:rFonts w:ascii="Times New Roman" w:hAnsi="Times New Roman" w:cs="Times New Roman"/>
                <w:b/>
                <w:color w:val="auto"/>
                <w:sz w:val="24"/>
                <w:lang w:val="nl-NL"/>
              </w:rPr>
              <w:t>( triệu đồng)</w:t>
            </w:r>
          </w:p>
        </w:tc>
        <w:tc>
          <w:tcPr>
            <w:tcW w:w="1754" w:type="dxa"/>
            <w:vAlign w:val="center"/>
          </w:tcPr>
          <w:p w:rsidR="0049588C" w:rsidRPr="006234AA" w:rsidRDefault="0049588C" w:rsidP="003C0546">
            <w:pPr>
              <w:pStyle w:val="BodyText2"/>
              <w:spacing w:line="240" w:lineRule="auto"/>
              <w:ind w:firstLine="35"/>
              <w:jc w:val="center"/>
              <w:rPr>
                <w:rFonts w:ascii="Times New Roman" w:hAnsi="Times New Roman" w:cs="Times New Roman"/>
                <w:b/>
                <w:color w:val="auto"/>
                <w:sz w:val="24"/>
                <w:lang w:val="nl-NL"/>
              </w:rPr>
            </w:pPr>
            <w:r w:rsidRPr="006234AA">
              <w:rPr>
                <w:rFonts w:ascii="Times New Roman" w:hAnsi="Times New Roman" w:cs="Times New Roman"/>
                <w:b/>
                <w:color w:val="auto"/>
                <w:sz w:val="24"/>
                <w:lang w:val="nl-NL"/>
              </w:rPr>
              <w:t>Giá trị đầu tư giảm trong kỳ</w:t>
            </w:r>
          </w:p>
        </w:tc>
        <w:tc>
          <w:tcPr>
            <w:tcW w:w="1846" w:type="dxa"/>
            <w:vAlign w:val="center"/>
          </w:tcPr>
          <w:p w:rsidR="0049588C" w:rsidRPr="006234AA" w:rsidRDefault="0049588C" w:rsidP="003C0546">
            <w:pPr>
              <w:pStyle w:val="BodyText2"/>
              <w:spacing w:line="240" w:lineRule="auto"/>
              <w:ind w:firstLine="35"/>
              <w:jc w:val="center"/>
              <w:rPr>
                <w:rFonts w:ascii="Times New Roman" w:hAnsi="Times New Roman" w:cs="Times New Roman"/>
                <w:b/>
                <w:color w:val="auto"/>
                <w:sz w:val="24"/>
                <w:lang w:val="nl-NL"/>
              </w:rPr>
            </w:pPr>
            <w:r w:rsidRPr="006234AA">
              <w:rPr>
                <w:rFonts w:ascii="Times New Roman" w:hAnsi="Times New Roman" w:cs="Times New Roman"/>
                <w:b/>
                <w:color w:val="auto"/>
                <w:sz w:val="24"/>
                <w:lang w:val="nl-NL"/>
              </w:rPr>
              <w:t>Tông giá trị cuối kỳ</w:t>
            </w:r>
          </w:p>
          <w:p w:rsidR="0049588C" w:rsidRPr="006234AA" w:rsidRDefault="0049588C" w:rsidP="003C0546">
            <w:pPr>
              <w:pStyle w:val="BodyText2"/>
              <w:spacing w:line="240" w:lineRule="auto"/>
              <w:ind w:firstLine="35"/>
              <w:jc w:val="center"/>
              <w:rPr>
                <w:rFonts w:ascii="Times New Roman" w:hAnsi="Times New Roman" w:cs="Times New Roman"/>
                <w:b/>
                <w:color w:val="auto"/>
                <w:sz w:val="24"/>
                <w:lang w:val="nl-NL"/>
              </w:rPr>
            </w:pPr>
            <w:r w:rsidRPr="006234AA">
              <w:rPr>
                <w:rFonts w:ascii="Times New Roman" w:hAnsi="Times New Roman" w:cs="Times New Roman"/>
                <w:b/>
                <w:color w:val="auto"/>
                <w:sz w:val="24"/>
                <w:lang w:val="nl-NL"/>
              </w:rPr>
              <w:t>(triệu đồng)</w:t>
            </w:r>
          </w:p>
        </w:tc>
      </w:tr>
      <w:tr w:rsidR="0049588C" w:rsidRPr="006234AA" w:rsidTr="00A15B69">
        <w:tc>
          <w:tcPr>
            <w:tcW w:w="675" w:type="dxa"/>
            <w:vAlign w:val="center"/>
          </w:tcPr>
          <w:p w:rsidR="0049588C" w:rsidRPr="006234AA" w:rsidRDefault="0049588C" w:rsidP="003C0546">
            <w:pPr>
              <w:pStyle w:val="BodyText2"/>
              <w:spacing w:line="240" w:lineRule="auto"/>
              <w:ind w:firstLine="0"/>
              <w:jc w:val="center"/>
              <w:rPr>
                <w:rFonts w:ascii="Times New Roman" w:hAnsi="Times New Roman" w:cs="Times New Roman"/>
                <w:b/>
                <w:color w:val="auto"/>
                <w:sz w:val="22"/>
                <w:lang w:val="nl-NL"/>
              </w:rPr>
            </w:pPr>
            <w:r w:rsidRPr="006234AA">
              <w:rPr>
                <w:rFonts w:ascii="Times New Roman" w:hAnsi="Times New Roman" w:cs="Times New Roman"/>
                <w:color w:val="auto"/>
                <w:sz w:val="22"/>
                <w:lang w:val="nl-NL"/>
              </w:rPr>
              <w:t>(1)</w:t>
            </w:r>
          </w:p>
        </w:tc>
        <w:tc>
          <w:tcPr>
            <w:tcW w:w="1984" w:type="dxa"/>
          </w:tcPr>
          <w:p w:rsidR="0049588C" w:rsidRPr="006234AA" w:rsidRDefault="0049588C" w:rsidP="003C0546">
            <w:pPr>
              <w:spacing w:after="120"/>
              <w:ind w:firstLine="0"/>
              <w:jc w:val="center"/>
              <w:rPr>
                <w:sz w:val="22"/>
              </w:rPr>
            </w:pPr>
            <w:r w:rsidRPr="006234AA">
              <w:rPr>
                <w:sz w:val="22"/>
                <w:lang w:val="nl-NL"/>
              </w:rPr>
              <w:t>(2)</w:t>
            </w:r>
          </w:p>
        </w:tc>
        <w:tc>
          <w:tcPr>
            <w:tcW w:w="1640" w:type="dxa"/>
          </w:tcPr>
          <w:p w:rsidR="0049588C" w:rsidRPr="006234AA" w:rsidRDefault="0049588C" w:rsidP="003C0546">
            <w:pPr>
              <w:spacing w:after="120"/>
              <w:ind w:firstLine="0"/>
              <w:jc w:val="center"/>
              <w:rPr>
                <w:sz w:val="22"/>
              </w:rPr>
            </w:pPr>
            <w:r w:rsidRPr="006234AA">
              <w:rPr>
                <w:sz w:val="22"/>
                <w:lang w:val="nl-NL"/>
              </w:rPr>
              <w:t>(3)</w:t>
            </w:r>
          </w:p>
        </w:tc>
        <w:tc>
          <w:tcPr>
            <w:tcW w:w="1710" w:type="dxa"/>
          </w:tcPr>
          <w:p w:rsidR="0049588C" w:rsidRPr="006234AA" w:rsidRDefault="0049588C" w:rsidP="003C0546">
            <w:pPr>
              <w:spacing w:after="120"/>
              <w:ind w:firstLine="0"/>
              <w:jc w:val="center"/>
              <w:rPr>
                <w:sz w:val="22"/>
              </w:rPr>
            </w:pPr>
            <w:r w:rsidRPr="006234AA">
              <w:rPr>
                <w:sz w:val="22"/>
                <w:lang w:val="nl-NL"/>
              </w:rPr>
              <w:t>(4)</w:t>
            </w:r>
          </w:p>
        </w:tc>
        <w:tc>
          <w:tcPr>
            <w:tcW w:w="1754" w:type="dxa"/>
          </w:tcPr>
          <w:p w:rsidR="0049588C" w:rsidRPr="006234AA" w:rsidRDefault="0049588C" w:rsidP="003C0546">
            <w:pPr>
              <w:spacing w:after="120"/>
              <w:ind w:firstLine="0"/>
              <w:jc w:val="center"/>
              <w:rPr>
                <w:sz w:val="22"/>
              </w:rPr>
            </w:pPr>
            <w:r w:rsidRPr="006234AA">
              <w:rPr>
                <w:sz w:val="22"/>
                <w:lang w:val="nl-NL"/>
              </w:rPr>
              <w:t>(5)</w:t>
            </w:r>
          </w:p>
        </w:tc>
        <w:tc>
          <w:tcPr>
            <w:tcW w:w="1846" w:type="dxa"/>
          </w:tcPr>
          <w:p w:rsidR="0049588C" w:rsidRPr="006234AA" w:rsidRDefault="0049588C" w:rsidP="003C0546">
            <w:pPr>
              <w:spacing w:after="120"/>
              <w:ind w:firstLine="0"/>
              <w:jc w:val="center"/>
              <w:rPr>
                <w:sz w:val="22"/>
              </w:rPr>
            </w:pPr>
            <w:r w:rsidRPr="006234AA">
              <w:rPr>
                <w:sz w:val="22"/>
              </w:rPr>
              <w:t>(6)=(3)+(4)-(5)</w:t>
            </w:r>
          </w:p>
        </w:tc>
      </w:tr>
      <w:tr w:rsidR="0049588C" w:rsidRPr="006234AA" w:rsidTr="00A15B69">
        <w:tc>
          <w:tcPr>
            <w:tcW w:w="675" w:type="dxa"/>
          </w:tcPr>
          <w:p w:rsidR="0049588C" w:rsidRPr="006234AA" w:rsidRDefault="0049588C" w:rsidP="003C0546">
            <w:pPr>
              <w:pStyle w:val="BodyText2"/>
              <w:spacing w:line="240" w:lineRule="auto"/>
              <w:rPr>
                <w:rFonts w:ascii="Times New Roman" w:hAnsi="Times New Roman" w:cs="Times New Roman"/>
                <w:b/>
                <w:color w:val="auto"/>
                <w:sz w:val="24"/>
                <w:lang w:val="nl-NL"/>
              </w:rPr>
            </w:pPr>
          </w:p>
        </w:tc>
        <w:tc>
          <w:tcPr>
            <w:tcW w:w="1984" w:type="dxa"/>
          </w:tcPr>
          <w:p w:rsidR="0049588C" w:rsidRPr="006234AA" w:rsidRDefault="0049588C" w:rsidP="003C0546">
            <w:pPr>
              <w:pStyle w:val="BodyText2"/>
              <w:spacing w:line="240" w:lineRule="auto"/>
              <w:ind w:firstLine="0"/>
              <w:rPr>
                <w:rFonts w:ascii="Times New Roman" w:hAnsi="Times New Roman" w:cs="Times New Roman"/>
                <w:b/>
                <w:color w:val="auto"/>
                <w:sz w:val="24"/>
                <w:lang w:val="nl-NL"/>
              </w:rPr>
            </w:pPr>
            <w:r w:rsidRPr="006234AA">
              <w:rPr>
                <w:rFonts w:ascii="Times New Roman" w:hAnsi="Times New Roman" w:cs="Times New Roman"/>
                <w:color w:val="auto"/>
                <w:sz w:val="24"/>
                <w:lang w:val="nl-NL"/>
              </w:rPr>
              <w:t>Công ty....</w:t>
            </w:r>
          </w:p>
        </w:tc>
        <w:tc>
          <w:tcPr>
            <w:tcW w:w="1640" w:type="dxa"/>
          </w:tcPr>
          <w:p w:rsidR="0049588C" w:rsidRPr="006234AA" w:rsidRDefault="0049588C" w:rsidP="003C0546">
            <w:pPr>
              <w:pStyle w:val="BodyText2"/>
              <w:spacing w:line="240" w:lineRule="auto"/>
              <w:rPr>
                <w:rFonts w:ascii="Times New Roman" w:hAnsi="Times New Roman" w:cs="Times New Roman"/>
                <w:b/>
                <w:i/>
                <w:color w:val="auto"/>
                <w:sz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i/>
                <w:color w:val="auto"/>
                <w:sz w:val="24"/>
                <w:lang w:val="nl-NL"/>
              </w:rPr>
            </w:pPr>
          </w:p>
        </w:tc>
        <w:tc>
          <w:tcPr>
            <w:tcW w:w="1754" w:type="dxa"/>
          </w:tcPr>
          <w:p w:rsidR="0049588C" w:rsidRPr="006234AA" w:rsidRDefault="0049588C" w:rsidP="003C0546">
            <w:pPr>
              <w:pStyle w:val="BodyText2"/>
              <w:spacing w:line="240" w:lineRule="auto"/>
              <w:rPr>
                <w:rFonts w:ascii="Times New Roman" w:hAnsi="Times New Roman" w:cs="Times New Roman"/>
                <w:b/>
                <w:i/>
                <w:color w:val="auto"/>
                <w:sz w:val="24"/>
                <w:lang w:val="nl-NL"/>
              </w:rPr>
            </w:pPr>
          </w:p>
        </w:tc>
        <w:tc>
          <w:tcPr>
            <w:tcW w:w="1846" w:type="dxa"/>
          </w:tcPr>
          <w:p w:rsidR="0049588C" w:rsidRPr="006234AA" w:rsidRDefault="0049588C" w:rsidP="003C0546">
            <w:pPr>
              <w:pStyle w:val="BodyText2"/>
              <w:spacing w:line="240" w:lineRule="auto"/>
              <w:rPr>
                <w:rFonts w:ascii="Times New Roman" w:hAnsi="Times New Roman" w:cs="Times New Roman"/>
                <w:b/>
                <w:i/>
                <w:color w:val="auto"/>
                <w:sz w:val="24"/>
                <w:lang w:val="nl-NL"/>
              </w:rPr>
            </w:pPr>
          </w:p>
        </w:tc>
      </w:tr>
    </w:tbl>
    <w:p w:rsidR="0049588C" w:rsidRPr="006234AA" w:rsidRDefault="0049588C" w:rsidP="003C0546">
      <w:pPr>
        <w:pStyle w:val="BodyText2"/>
        <w:spacing w:line="240" w:lineRule="auto"/>
        <w:ind w:left="601" w:firstLine="0"/>
        <w:rPr>
          <w:rFonts w:ascii="Times New Roman" w:hAnsi="Times New Roman" w:cs="Times New Roman"/>
          <w:b/>
          <w:i/>
          <w:color w:val="auto"/>
          <w:sz w:val="24"/>
          <w:lang w:val="nl-NL"/>
        </w:rPr>
      </w:pPr>
      <w:r w:rsidRPr="006234AA">
        <w:rPr>
          <w:rFonts w:ascii="Times New Roman" w:hAnsi="Times New Roman" w:cs="Times New Roman"/>
          <w:i/>
          <w:color w:val="auto"/>
          <w:sz w:val="24"/>
          <w:lang w:val="nl-NL"/>
        </w:rPr>
        <w:t xml:space="preserve">Lưu ý: giá trị đầu tư ghi nhận theo giá hạch toán mà công ty chứng khoán lựa chọn. </w:t>
      </w:r>
    </w:p>
    <w:p w:rsidR="0049588C" w:rsidRPr="006234AA" w:rsidRDefault="0049588C" w:rsidP="003C0546">
      <w:pPr>
        <w:pStyle w:val="BodyText2"/>
        <w:spacing w:line="240" w:lineRule="auto"/>
        <w:ind w:left="600"/>
        <w:rPr>
          <w:rFonts w:ascii="Times New Roman" w:hAnsi="Times New Roman" w:cs="Times New Roman"/>
          <w:b/>
          <w:i/>
          <w:color w:val="auto"/>
          <w:lang w:val="nl-NL"/>
        </w:rPr>
      </w:pPr>
    </w:p>
    <w:p w:rsidR="0049588C" w:rsidRPr="006234AA" w:rsidRDefault="0049588C" w:rsidP="00D36937">
      <w:pPr>
        <w:pStyle w:val="BodyText2"/>
        <w:numPr>
          <w:ilvl w:val="1"/>
          <w:numId w:val="25"/>
        </w:numPr>
        <w:tabs>
          <w:tab w:val="clear" w:pos="420"/>
          <w:tab w:val="num" w:pos="476"/>
        </w:tabs>
        <w:spacing w:line="240" w:lineRule="auto"/>
        <w:ind w:left="601" w:hanging="601"/>
        <w:rPr>
          <w:rFonts w:ascii="Times New Roman" w:hAnsi="Times New Roman" w:cs="Times New Roman"/>
          <w:b/>
          <w:i/>
          <w:color w:val="auto"/>
          <w:lang w:val="nl-NL"/>
        </w:rPr>
      </w:pPr>
      <w:r w:rsidRPr="006234AA">
        <w:rPr>
          <w:rFonts w:ascii="Times New Roman" w:hAnsi="Times New Roman" w:cs="Times New Roman"/>
          <w:b/>
          <w:i/>
          <w:color w:val="auto"/>
          <w:lang w:val="nl-NL"/>
        </w:rPr>
        <w:t>Tình hình nắm giữ chứng khoán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851"/>
        <w:gridCol w:w="850"/>
        <w:gridCol w:w="1276"/>
        <w:gridCol w:w="1416"/>
        <w:gridCol w:w="1710"/>
        <w:gridCol w:w="1013"/>
      </w:tblGrid>
      <w:tr w:rsidR="0049588C" w:rsidRPr="006234AA" w:rsidTr="00A15B69">
        <w:trPr>
          <w:cantSplit/>
          <w:tblHeader/>
        </w:trPr>
        <w:tc>
          <w:tcPr>
            <w:tcW w:w="534" w:type="dxa"/>
            <w:vMerge w:val="restart"/>
            <w:vAlign w:val="center"/>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T</w:t>
            </w:r>
          </w:p>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T</w:t>
            </w:r>
          </w:p>
        </w:tc>
        <w:tc>
          <w:tcPr>
            <w:tcW w:w="1984" w:type="dxa"/>
            <w:vMerge w:val="restart"/>
            <w:vAlign w:val="center"/>
          </w:tcPr>
          <w:p w:rsidR="0049588C" w:rsidRPr="006234AA" w:rsidRDefault="0049588C" w:rsidP="003C0546">
            <w:pPr>
              <w:pStyle w:val="BodyText2"/>
              <w:spacing w:line="240" w:lineRule="auto"/>
              <w:ind w:firstLine="33"/>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Loại chứng khoán</w:t>
            </w:r>
          </w:p>
        </w:tc>
        <w:tc>
          <w:tcPr>
            <w:tcW w:w="4393" w:type="dxa"/>
            <w:gridSpan w:val="4"/>
            <w:vAlign w:val="center"/>
          </w:tcPr>
          <w:p w:rsidR="0049588C" w:rsidRPr="006234AA" w:rsidRDefault="0049588C" w:rsidP="003C0546">
            <w:pPr>
              <w:pStyle w:val="BodyText2"/>
              <w:spacing w:line="240" w:lineRule="auto"/>
              <w:ind w:firstLine="33"/>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Chứng khoán nắm giữ vào thời điểm báo cáo</w:t>
            </w:r>
          </w:p>
        </w:tc>
        <w:tc>
          <w:tcPr>
            <w:tcW w:w="1710" w:type="dxa"/>
            <w:vMerge w:val="restart"/>
          </w:tcPr>
          <w:p w:rsidR="0049588C" w:rsidRPr="006234AA" w:rsidRDefault="0049588C" w:rsidP="003C0546">
            <w:pPr>
              <w:pStyle w:val="BodyText2"/>
              <w:spacing w:line="240" w:lineRule="auto"/>
              <w:ind w:firstLine="33"/>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Tổng số chứng khoán đang lưu hành của tổ chức phát hành vào thời điểm báo cáo</w:t>
            </w:r>
          </w:p>
        </w:tc>
        <w:tc>
          <w:tcPr>
            <w:tcW w:w="1013" w:type="dxa"/>
            <w:vMerge w:val="restart"/>
            <w:vAlign w:val="center"/>
          </w:tcPr>
          <w:p w:rsidR="0049588C" w:rsidRPr="006234AA" w:rsidRDefault="0049588C" w:rsidP="003C0546">
            <w:pPr>
              <w:pStyle w:val="BodyText2"/>
              <w:spacing w:line="240" w:lineRule="auto"/>
              <w:ind w:firstLine="33"/>
              <w:jc w:val="center"/>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Tỷ lệ đầu tư (%)</w:t>
            </w:r>
          </w:p>
        </w:tc>
      </w:tr>
      <w:tr w:rsidR="0049588C" w:rsidRPr="006234AA" w:rsidTr="00A15B69">
        <w:trPr>
          <w:cantSplit/>
          <w:trHeight w:val="1374"/>
          <w:tblHeader/>
        </w:trPr>
        <w:tc>
          <w:tcPr>
            <w:tcW w:w="534" w:type="dxa"/>
            <w:vMerge/>
          </w:tcPr>
          <w:p w:rsidR="0049588C" w:rsidRPr="006234AA" w:rsidRDefault="0049588C" w:rsidP="003C0546">
            <w:pPr>
              <w:pStyle w:val="BodyText2"/>
              <w:spacing w:line="240" w:lineRule="auto"/>
              <w:jc w:val="center"/>
              <w:rPr>
                <w:rFonts w:ascii="Times New Roman" w:hAnsi="Times New Roman" w:cs="Times New Roman"/>
                <w:b/>
                <w:color w:val="auto"/>
                <w:sz w:val="24"/>
                <w:szCs w:val="24"/>
                <w:lang w:val="nl-NL"/>
              </w:rPr>
            </w:pPr>
          </w:p>
        </w:tc>
        <w:tc>
          <w:tcPr>
            <w:tcW w:w="1984" w:type="dxa"/>
            <w:vMerge/>
            <w:vAlign w:val="center"/>
          </w:tcPr>
          <w:p w:rsidR="0049588C" w:rsidRPr="006234AA" w:rsidRDefault="0049588C" w:rsidP="003C0546">
            <w:pPr>
              <w:pStyle w:val="BodyText2"/>
              <w:spacing w:line="240" w:lineRule="auto"/>
              <w:jc w:val="center"/>
              <w:rPr>
                <w:rFonts w:ascii="Times New Roman" w:hAnsi="Times New Roman" w:cs="Times New Roman"/>
                <w:b/>
                <w:color w:val="auto"/>
                <w:sz w:val="24"/>
                <w:szCs w:val="24"/>
                <w:lang w:val="nl-NL"/>
              </w:rPr>
            </w:pPr>
          </w:p>
        </w:tc>
        <w:tc>
          <w:tcPr>
            <w:tcW w:w="851"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Số lượng</w:t>
            </w:r>
          </w:p>
        </w:tc>
        <w:tc>
          <w:tcPr>
            <w:tcW w:w="850"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Giá mua vào</w:t>
            </w:r>
          </w:p>
        </w:tc>
        <w:tc>
          <w:tcPr>
            <w:tcW w:w="1276"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Giá trị thị trường tại thời điểm báo cáo</w:t>
            </w:r>
          </w:p>
        </w:tc>
        <w:tc>
          <w:tcPr>
            <w:tcW w:w="1416"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b/>
                <w:color w:val="auto"/>
                <w:sz w:val="24"/>
                <w:szCs w:val="24"/>
                <w:lang w:val="nl-NL"/>
              </w:rPr>
              <w:t>Tỷ lệ tăng trưởng tài sản đầu tư (%)</w:t>
            </w:r>
          </w:p>
        </w:tc>
        <w:tc>
          <w:tcPr>
            <w:tcW w:w="1710" w:type="dxa"/>
            <w:vMerge/>
            <w:vAlign w:val="center"/>
          </w:tcPr>
          <w:p w:rsidR="0049588C" w:rsidRPr="006234AA" w:rsidRDefault="0049588C" w:rsidP="003C0546">
            <w:pPr>
              <w:pStyle w:val="BodyText2"/>
              <w:keepNext/>
              <w:tabs>
                <w:tab w:val="num" w:pos="720"/>
              </w:tabs>
              <w:spacing w:line="240" w:lineRule="auto"/>
              <w:ind w:left="720" w:hanging="720"/>
              <w:jc w:val="center"/>
              <w:outlineLvl w:val="0"/>
              <w:rPr>
                <w:rFonts w:ascii="Times New Roman" w:hAnsi="Times New Roman" w:cs="Times New Roman"/>
                <w:b/>
                <w:color w:val="auto"/>
                <w:sz w:val="24"/>
                <w:szCs w:val="24"/>
                <w:lang w:val="nl-NL"/>
              </w:rPr>
            </w:pPr>
          </w:p>
        </w:tc>
        <w:tc>
          <w:tcPr>
            <w:tcW w:w="1013" w:type="dxa"/>
            <w:vMerge/>
            <w:vAlign w:val="center"/>
          </w:tcPr>
          <w:p w:rsidR="0049588C" w:rsidRPr="006234AA" w:rsidRDefault="0049588C" w:rsidP="003C0546">
            <w:pPr>
              <w:pStyle w:val="BodyText2"/>
              <w:keepNext/>
              <w:tabs>
                <w:tab w:val="num" w:pos="720"/>
              </w:tabs>
              <w:spacing w:line="240" w:lineRule="auto"/>
              <w:ind w:left="720" w:hanging="720"/>
              <w:jc w:val="center"/>
              <w:outlineLvl w:val="0"/>
              <w:rPr>
                <w:rFonts w:ascii="Times New Roman" w:hAnsi="Times New Roman" w:cs="Times New Roman"/>
                <w:b/>
                <w:color w:val="auto"/>
                <w:sz w:val="24"/>
                <w:szCs w:val="24"/>
                <w:lang w:val="nl-NL"/>
              </w:rPr>
            </w:pPr>
          </w:p>
        </w:tc>
      </w:tr>
      <w:tr w:rsidR="0049588C" w:rsidRPr="006234AA" w:rsidTr="00A15B69">
        <w:trPr>
          <w:trHeight w:val="399"/>
          <w:tblHeader/>
        </w:trPr>
        <w:tc>
          <w:tcPr>
            <w:tcW w:w="534"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18"/>
                <w:szCs w:val="18"/>
                <w:lang w:val="nl-NL"/>
              </w:rPr>
            </w:pPr>
            <w:r w:rsidRPr="006234AA">
              <w:rPr>
                <w:rFonts w:ascii="Times New Roman" w:hAnsi="Times New Roman" w:cs="Times New Roman"/>
                <w:color w:val="auto"/>
                <w:sz w:val="18"/>
                <w:szCs w:val="18"/>
                <w:lang w:val="nl-NL"/>
              </w:rPr>
              <w:t>(1)</w:t>
            </w:r>
          </w:p>
        </w:tc>
        <w:tc>
          <w:tcPr>
            <w:tcW w:w="1984" w:type="dxa"/>
            <w:vAlign w:val="center"/>
          </w:tcPr>
          <w:p w:rsidR="0049588C" w:rsidRPr="006234AA" w:rsidRDefault="0049588C" w:rsidP="003C0546">
            <w:pPr>
              <w:pStyle w:val="BodyText2"/>
              <w:spacing w:line="240" w:lineRule="auto"/>
              <w:ind w:firstLine="33"/>
              <w:jc w:val="center"/>
              <w:rPr>
                <w:rFonts w:ascii="Times New Roman" w:hAnsi="Times New Roman" w:cs="Times New Roman"/>
                <w:b/>
                <w:color w:val="auto"/>
                <w:sz w:val="18"/>
                <w:szCs w:val="18"/>
                <w:lang w:val="nl-NL"/>
              </w:rPr>
            </w:pPr>
            <w:r w:rsidRPr="006234AA">
              <w:rPr>
                <w:rFonts w:ascii="Times New Roman" w:hAnsi="Times New Roman" w:cs="Times New Roman"/>
                <w:color w:val="auto"/>
                <w:sz w:val="18"/>
                <w:szCs w:val="18"/>
                <w:lang w:val="nl-NL"/>
              </w:rPr>
              <w:t>(2)</w:t>
            </w:r>
          </w:p>
        </w:tc>
        <w:tc>
          <w:tcPr>
            <w:tcW w:w="851" w:type="dxa"/>
            <w:vAlign w:val="center"/>
          </w:tcPr>
          <w:p w:rsidR="0049588C" w:rsidRPr="006234AA" w:rsidRDefault="0049588C" w:rsidP="003C0546">
            <w:pPr>
              <w:pStyle w:val="BodyText2"/>
              <w:spacing w:line="240" w:lineRule="auto"/>
              <w:ind w:firstLine="0"/>
              <w:jc w:val="center"/>
              <w:rPr>
                <w:rFonts w:ascii="Times New Roman" w:hAnsi="Times New Roman" w:cs="Times New Roman"/>
                <w:b/>
                <w:color w:val="auto"/>
                <w:sz w:val="18"/>
                <w:szCs w:val="18"/>
                <w:lang w:val="nl-NL"/>
              </w:rPr>
            </w:pPr>
            <w:r w:rsidRPr="006234AA">
              <w:rPr>
                <w:rFonts w:ascii="Times New Roman" w:hAnsi="Times New Roman" w:cs="Times New Roman"/>
                <w:color w:val="auto"/>
                <w:sz w:val="18"/>
                <w:szCs w:val="18"/>
                <w:lang w:val="nl-NL"/>
              </w:rPr>
              <w:t>(3)</w:t>
            </w:r>
          </w:p>
        </w:tc>
        <w:tc>
          <w:tcPr>
            <w:tcW w:w="850"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18"/>
                <w:szCs w:val="18"/>
                <w:lang w:val="nl-NL"/>
              </w:rPr>
            </w:pPr>
            <w:r w:rsidRPr="006234AA">
              <w:rPr>
                <w:rFonts w:ascii="Times New Roman" w:hAnsi="Times New Roman" w:cs="Times New Roman"/>
                <w:color w:val="auto"/>
                <w:sz w:val="18"/>
                <w:szCs w:val="18"/>
                <w:lang w:val="nl-NL"/>
              </w:rPr>
              <w:t>(4)</w:t>
            </w:r>
          </w:p>
        </w:tc>
        <w:tc>
          <w:tcPr>
            <w:tcW w:w="1276"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18"/>
                <w:szCs w:val="18"/>
                <w:lang w:val="nl-NL"/>
              </w:rPr>
            </w:pPr>
            <w:r w:rsidRPr="006234AA">
              <w:rPr>
                <w:rFonts w:ascii="Times New Roman" w:hAnsi="Times New Roman" w:cs="Times New Roman"/>
                <w:color w:val="auto"/>
                <w:sz w:val="18"/>
                <w:szCs w:val="18"/>
                <w:lang w:val="nl-NL"/>
              </w:rPr>
              <w:t>(5)</w:t>
            </w:r>
          </w:p>
        </w:tc>
        <w:tc>
          <w:tcPr>
            <w:tcW w:w="1416"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18"/>
                <w:szCs w:val="18"/>
                <w:lang w:val="nl-NL"/>
              </w:rPr>
            </w:pPr>
            <w:r w:rsidRPr="006234AA">
              <w:rPr>
                <w:rFonts w:ascii="Times New Roman" w:hAnsi="Times New Roman" w:cs="Times New Roman"/>
                <w:color w:val="auto"/>
                <w:sz w:val="18"/>
                <w:szCs w:val="18"/>
                <w:lang w:val="nl-NL"/>
              </w:rPr>
              <w:t>(6)=(5)/(4)</w:t>
            </w:r>
          </w:p>
          <w:p w:rsidR="0049588C" w:rsidRPr="006234AA" w:rsidRDefault="0049588C" w:rsidP="003C0546">
            <w:pPr>
              <w:pStyle w:val="BodyText2"/>
              <w:spacing w:line="240" w:lineRule="auto"/>
              <w:jc w:val="center"/>
              <w:rPr>
                <w:rFonts w:ascii="Times New Roman" w:hAnsi="Times New Roman" w:cs="Times New Roman"/>
                <w:b/>
                <w:color w:val="auto"/>
                <w:sz w:val="18"/>
                <w:szCs w:val="18"/>
                <w:lang w:val="nl-NL"/>
              </w:rPr>
            </w:pPr>
            <w:r w:rsidRPr="006234AA">
              <w:rPr>
                <w:rFonts w:ascii="Times New Roman" w:hAnsi="Times New Roman" w:cs="Times New Roman"/>
                <w:color w:val="auto"/>
                <w:sz w:val="18"/>
                <w:szCs w:val="18"/>
                <w:lang w:val="nl-NL"/>
              </w:rPr>
              <w:t>*100</w:t>
            </w:r>
          </w:p>
        </w:tc>
        <w:tc>
          <w:tcPr>
            <w:tcW w:w="1710"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18"/>
                <w:szCs w:val="18"/>
                <w:lang w:val="nl-NL"/>
              </w:rPr>
            </w:pPr>
            <w:r w:rsidRPr="006234AA">
              <w:rPr>
                <w:rFonts w:ascii="Times New Roman" w:hAnsi="Times New Roman" w:cs="Times New Roman"/>
                <w:color w:val="auto"/>
                <w:sz w:val="18"/>
                <w:szCs w:val="18"/>
                <w:lang w:val="nl-NL"/>
              </w:rPr>
              <w:t>(7)</w:t>
            </w:r>
          </w:p>
        </w:tc>
        <w:tc>
          <w:tcPr>
            <w:tcW w:w="1013"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18"/>
                <w:szCs w:val="18"/>
                <w:lang w:val="nl-NL"/>
              </w:rPr>
            </w:pPr>
            <w:r w:rsidRPr="006234AA">
              <w:rPr>
                <w:rFonts w:ascii="Times New Roman" w:hAnsi="Times New Roman" w:cs="Times New Roman"/>
                <w:color w:val="auto"/>
                <w:sz w:val="18"/>
                <w:szCs w:val="18"/>
                <w:lang w:val="nl-NL"/>
              </w:rPr>
              <w:t>(8)=(3)/(7)*100</w:t>
            </w: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lastRenderedPageBreak/>
              <w:t>A</w:t>
            </w:r>
          </w:p>
        </w:tc>
        <w:tc>
          <w:tcPr>
            <w:tcW w:w="1984" w:type="dxa"/>
          </w:tcPr>
          <w:p w:rsidR="0049588C" w:rsidRPr="006234AA" w:rsidRDefault="0049588C" w:rsidP="003C0546">
            <w:pPr>
              <w:pStyle w:val="BodyText2"/>
              <w:spacing w:line="240" w:lineRule="auto"/>
              <w:ind w:firstLine="33"/>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Chứng khoán thương mại</w:t>
            </w:r>
          </w:p>
        </w:tc>
        <w:tc>
          <w:tcPr>
            <w:tcW w:w="851" w:type="dxa"/>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i/>
                <w:color w:val="auto"/>
                <w:sz w:val="24"/>
                <w:szCs w:val="24"/>
                <w:lang w:val="nl-NL"/>
              </w:rPr>
            </w:pPr>
            <w:r w:rsidRPr="006234AA">
              <w:rPr>
                <w:rFonts w:ascii="Times New Roman" w:hAnsi="Times New Roman" w:cs="Times New Roman"/>
                <w:i/>
                <w:color w:val="auto"/>
                <w:sz w:val="24"/>
                <w:szCs w:val="24"/>
                <w:lang w:val="nl-NL"/>
              </w:rPr>
              <w:t>I</w:t>
            </w:r>
          </w:p>
        </w:tc>
        <w:tc>
          <w:tcPr>
            <w:tcW w:w="1984" w:type="dxa"/>
          </w:tcPr>
          <w:p w:rsidR="0049588C" w:rsidRPr="006234AA" w:rsidRDefault="0049588C" w:rsidP="003C0546">
            <w:pPr>
              <w:pStyle w:val="BodyText2"/>
              <w:spacing w:line="240" w:lineRule="auto"/>
              <w:ind w:firstLine="33"/>
              <w:rPr>
                <w:rFonts w:ascii="Times New Roman" w:hAnsi="Times New Roman" w:cs="Times New Roman"/>
                <w:b/>
                <w:i/>
                <w:color w:val="auto"/>
                <w:sz w:val="24"/>
                <w:szCs w:val="24"/>
                <w:lang w:val="nl-NL"/>
              </w:rPr>
            </w:pPr>
            <w:r w:rsidRPr="006234AA">
              <w:rPr>
                <w:rFonts w:ascii="Times New Roman" w:hAnsi="Times New Roman" w:cs="Times New Roman"/>
                <w:i/>
                <w:color w:val="auto"/>
                <w:sz w:val="24"/>
                <w:szCs w:val="24"/>
                <w:lang w:val="nl-NL"/>
              </w:rPr>
              <w:t>Chứng khoán niêm yết, đăng ký giao dịch</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1</w:t>
            </w:r>
          </w:p>
        </w:tc>
        <w:tc>
          <w:tcPr>
            <w:tcW w:w="1984" w:type="dxa"/>
          </w:tcPr>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Cổ phiếu</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A</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B</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2</w:t>
            </w:r>
          </w:p>
        </w:tc>
        <w:tc>
          <w:tcPr>
            <w:tcW w:w="1984" w:type="dxa"/>
          </w:tcPr>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Trái phiếu</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A</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B</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3</w:t>
            </w:r>
          </w:p>
        </w:tc>
        <w:tc>
          <w:tcPr>
            <w:tcW w:w="1984" w:type="dxa"/>
          </w:tcPr>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Chứng chỉ quỹ</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A</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B</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4</w:t>
            </w:r>
          </w:p>
        </w:tc>
        <w:tc>
          <w:tcPr>
            <w:tcW w:w="1984" w:type="dxa"/>
          </w:tcPr>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Chứng khoán phái sinh</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A</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B</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i/>
                <w:color w:val="auto"/>
                <w:sz w:val="24"/>
                <w:szCs w:val="24"/>
                <w:lang w:val="nl-NL"/>
              </w:rPr>
            </w:pPr>
            <w:r w:rsidRPr="006234AA">
              <w:rPr>
                <w:rFonts w:ascii="Times New Roman" w:hAnsi="Times New Roman" w:cs="Times New Roman"/>
                <w:i/>
                <w:color w:val="auto"/>
                <w:sz w:val="24"/>
                <w:szCs w:val="24"/>
                <w:lang w:val="nl-NL"/>
              </w:rPr>
              <w:t>II</w:t>
            </w:r>
          </w:p>
        </w:tc>
        <w:tc>
          <w:tcPr>
            <w:tcW w:w="1984" w:type="dxa"/>
          </w:tcPr>
          <w:p w:rsidR="0049588C" w:rsidRPr="006234AA" w:rsidRDefault="0049588C" w:rsidP="003C0546">
            <w:pPr>
              <w:pStyle w:val="BodyText2"/>
              <w:spacing w:line="240" w:lineRule="auto"/>
              <w:ind w:firstLine="33"/>
              <w:rPr>
                <w:rFonts w:ascii="Times New Roman" w:hAnsi="Times New Roman" w:cs="Times New Roman"/>
                <w:b/>
                <w:i/>
                <w:color w:val="auto"/>
                <w:sz w:val="24"/>
                <w:szCs w:val="24"/>
                <w:lang w:val="nl-NL"/>
              </w:rPr>
            </w:pPr>
            <w:r w:rsidRPr="006234AA">
              <w:rPr>
                <w:rFonts w:ascii="Times New Roman" w:hAnsi="Times New Roman" w:cs="Times New Roman"/>
                <w:i/>
                <w:color w:val="auto"/>
                <w:sz w:val="24"/>
                <w:szCs w:val="24"/>
                <w:lang w:val="nl-NL"/>
              </w:rPr>
              <w:t>Chứng khoán chưa niêm yết</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1</w:t>
            </w:r>
          </w:p>
        </w:tc>
        <w:tc>
          <w:tcPr>
            <w:tcW w:w="1984" w:type="dxa"/>
          </w:tcPr>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Cổ phiếu</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A</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lastRenderedPageBreak/>
              <w:t>B</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lastRenderedPageBreak/>
              <w:t>2</w:t>
            </w:r>
          </w:p>
        </w:tc>
        <w:tc>
          <w:tcPr>
            <w:tcW w:w="1984" w:type="dxa"/>
          </w:tcPr>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Trái phiếu</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A</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B</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3</w:t>
            </w:r>
          </w:p>
        </w:tc>
        <w:tc>
          <w:tcPr>
            <w:tcW w:w="1984" w:type="dxa"/>
          </w:tcPr>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CC quỹ</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A</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B</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4</w:t>
            </w:r>
          </w:p>
        </w:tc>
        <w:tc>
          <w:tcPr>
            <w:tcW w:w="1984" w:type="dxa"/>
          </w:tcPr>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Chứng khoán phái sinh</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A</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B</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5</w:t>
            </w:r>
          </w:p>
        </w:tc>
        <w:tc>
          <w:tcPr>
            <w:tcW w:w="1984" w:type="dxa"/>
          </w:tcPr>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Chứng khoán khác</w:t>
            </w:r>
          </w:p>
        </w:tc>
        <w:tc>
          <w:tcPr>
            <w:tcW w:w="851" w:type="dxa"/>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tc>
        <w:tc>
          <w:tcPr>
            <w:tcW w:w="85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27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416"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710"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c>
          <w:tcPr>
            <w:tcW w:w="1013" w:type="dxa"/>
          </w:tcPr>
          <w:p w:rsidR="0049588C" w:rsidRPr="006234AA" w:rsidRDefault="0049588C" w:rsidP="003C0546">
            <w:pPr>
              <w:pStyle w:val="BodyText2"/>
              <w:spacing w:line="240" w:lineRule="auto"/>
              <w:rPr>
                <w:rFonts w:ascii="Times New Roman" w:hAnsi="Times New Roman" w:cs="Times New Roman"/>
                <w:b/>
                <w:color w:val="auto"/>
                <w:sz w:val="24"/>
                <w:szCs w:val="24"/>
                <w:lang w:val="nl-NL"/>
              </w:rPr>
            </w:pPr>
          </w:p>
        </w:tc>
      </w:tr>
      <w:tr w:rsidR="0049588C" w:rsidRPr="006234AA" w:rsidTr="00A15B69">
        <w:tc>
          <w:tcPr>
            <w:tcW w:w="534" w:type="dxa"/>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B</w:t>
            </w:r>
          </w:p>
        </w:tc>
        <w:tc>
          <w:tcPr>
            <w:tcW w:w="1984" w:type="dxa"/>
          </w:tcPr>
          <w:p w:rsidR="0049588C" w:rsidRPr="006234AA" w:rsidRDefault="0049588C" w:rsidP="003C0546">
            <w:pPr>
              <w:pStyle w:val="BodyText2"/>
              <w:spacing w:line="240" w:lineRule="auto"/>
              <w:ind w:firstLine="33"/>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Các khoản đầu tư, góp vốn khác</w:t>
            </w:r>
          </w:p>
          <w:p w:rsidR="0049588C" w:rsidRPr="006234AA" w:rsidRDefault="0049588C" w:rsidP="003C0546">
            <w:pPr>
              <w:pStyle w:val="BodyText2"/>
              <w:spacing w:line="240" w:lineRule="auto"/>
              <w:ind w:firstLine="33"/>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c>
          <w:tcPr>
            <w:tcW w:w="851"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p w:rsidR="0049588C" w:rsidRPr="006234AA" w:rsidRDefault="0049588C" w:rsidP="003C0546">
            <w:pPr>
              <w:pStyle w:val="BodyText2"/>
              <w:spacing w:line="240" w:lineRule="auto"/>
              <w:ind w:firstLine="0"/>
              <w:jc w:val="center"/>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p w:rsidR="0049588C" w:rsidRPr="006234AA" w:rsidRDefault="0049588C" w:rsidP="003C0546">
            <w:pPr>
              <w:pStyle w:val="BodyText2"/>
              <w:spacing w:line="240" w:lineRule="auto"/>
              <w:ind w:firstLine="0"/>
              <w:jc w:val="center"/>
              <w:rPr>
                <w:rFonts w:ascii="Times New Roman" w:hAnsi="Times New Roman" w:cs="Times New Roman"/>
                <w:b/>
                <w:color w:val="auto"/>
                <w:sz w:val="24"/>
                <w:szCs w:val="24"/>
                <w:lang w:val="nl-NL"/>
              </w:rPr>
            </w:pPr>
          </w:p>
        </w:tc>
        <w:tc>
          <w:tcPr>
            <w:tcW w:w="850"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p w:rsidR="0049588C" w:rsidRPr="006234AA" w:rsidRDefault="0049588C" w:rsidP="003C0546">
            <w:pPr>
              <w:pStyle w:val="BodyText2"/>
              <w:spacing w:line="240" w:lineRule="auto"/>
              <w:jc w:val="center"/>
              <w:rPr>
                <w:rFonts w:ascii="Times New Roman" w:hAnsi="Times New Roman" w:cs="Times New Roman"/>
                <w:b/>
                <w:color w:val="auto"/>
                <w:sz w:val="24"/>
                <w:szCs w:val="24"/>
                <w:lang w:val="nl-NL"/>
              </w:rPr>
            </w:pPr>
          </w:p>
        </w:tc>
        <w:tc>
          <w:tcPr>
            <w:tcW w:w="1276"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p w:rsidR="0049588C" w:rsidRPr="006234AA" w:rsidRDefault="0049588C" w:rsidP="003C0546">
            <w:pPr>
              <w:pStyle w:val="BodyText2"/>
              <w:spacing w:line="240" w:lineRule="auto"/>
              <w:jc w:val="center"/>
              <w:rPr>
                <w:rFonts w:ascii="Times New Roman" w:hAnsi="Times New Roman" w:cs="Times New Roman"/>
                <w:b/>
                <w:color w:val="auto"/>
                <w:sz w:val="24"/>
                <w:szCs w:val="24"/>
                <w:lang w:val="nl-NL"/>
              </w:rPr>
            </w:pPr>
          </w:p>
        </w:tc>
        <w:tc>
          <w:tcPr>
            <w:tcW w:w="1416" w:type="dxa"/>
            <w:vAlign w:val="center"/>
          </w:tcPr>
          <w:p w:rsidR="0049588C" w:rsidRPr="006234AA" w:rsidRDefault="0049588C" w:rsidP="003C0546">
            <w:pPr>
              <w:pStyle w:val="BodyText2"/>
              <w:spacing w:line="240" w:lineRule="auto"/>
              <w:jc w:val="center"/>
              <w:rPr>
                <w:rFonts w:ascii="Times New Roman" w:hAnsi="Times New Roman" w:cs="Times New Roman"/>
                <w:b/>
                <w:color w:val="auto"/>
                <w:sz w:val="24"/>
                <w:szCs w:val="24"/>
                <w:lang w:val="nl-NL"/>
              </w:rPr>
            </w:pPr>
          </w:p>
        </w:tc>
        <w:tc>
          <w:tcPr>
            <w:tcW w:w="1710" w:type="dxa"/>
            <w:vAlign w:val="center"/>
          </w:tcPr>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p>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c>
          <w:tcPr>
            <w:tcW w:w="1013" w:type="dxa"/>
            <w:vAlign w:val="center"/>
          </w:tcPr>
          <w:p w:rsidR="0049588C" w:rsidRPr="006234AA" w:rsidRDefault="0049588C" w:rsidP="003C0546">
            <w:pPr>
              <w:pStyle w:val="BodyText2"/>
              <w:spacing w:line="240" w:lineRule="auto"/>
              <w:jc w:val="center"/>
              <w:rPr>
                <w:rFonts w:ascii="Times New Roman" w:hAnsi="Times New Roman" w:cs="Times New Roman"/>
                <w:b/>
                <w:color w:val="auto"/>
                <w:sz w:val="24"/>
                <w:szCs w:val="24"/>
                <w:lang w:val="nl-NL"/>
              </w:rPr>
            </w:pPr>
          </w:p>
          <w:p w:rsidR="0049588C" w:rsidRPr="006234AA" w:rsidRDefault="0049588C" w:rsidP="003C0546">
            <w:pPr>
              <w:pStyle w:val="BodyText2"/>
              <w:spacing w:line="240" w:lineRule="auto"/>
              <w:ind w:firstLine="0"/>
              <w:rPr>
                <w:rFonts w:ascii="Times New Roman" w:hAnsi="Times New Roman" w:cs="Times New Roman"/>
                <w:b/>
                <w:color w:val="auto"/>
                <w:sz w:val="24"/>
                <w:szCs w:val="24"/>
                <w:lang w:val="nl-NL"/>
              </w:rPr>
            </w:pPr>
            <w:r w:rsidRPr="006234AA">
              <w:rPr>
                <w:rFonts w:ascii="Times New Roman" w:hAnsi="Times New Roman" w:cs="Times New Roman"/>
                <w:color w:val="auto"/>
                <w:sz w:val="24"/>
                <w:szCs w:val="24"/>
                <w:lang w:val="nl-NL"/>
              </w:rPr>
              <w:t>.........</w:t>
            </w:r>
          </w:p>
        </w:tc>
      </w:tr>
      <w:tr w:rsidR="0049588C" w:rsidRPr="006234AA" w:rsidTr="00A15B69">
        <w:trPr>
          <w:trHeight w:val="451"/>
        </w:trPr>
        <w:tc>
          <w:tcPr>
            <w:tcW w:w="534"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p>
        </w:tc>
        <w:tc>
          <w:tcPr>
            <w:tcW w:w="1984" w:type="dxa"/>
            <w:vAlign w:val="center"/>
          </w:tcPr>
          <w:p w:rsidR="0049588C" w:rsidRPr="006234AA" w:rsidRDefault="0049588C" w:rsidP="003C0546">
            <w:pPr>
              <w:pStyle w:val="BodyText2"/>
              <w:spacing w:line="240" w:lineRule="auto"/>
              <w:ind w:firstLine="33"/>
              <w:jc w:val="center"/>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Tổng cộng:</w:t>
            </w:r>
          </w:p>
        </w:tc>
        <w:tc>
          <w:tcPr>
            <w:tcW w:w="851" w:type="dxa"/>
            <w:vAlign w:val="center"/>
          </w:tcPr>
          <w:p w:rsidR="0049588C" w:rsidRPr="006234AA" w:rsidRDefault="0049588C" w:rsidP="003C0546">
            <w:pPr>
              <w:pStyle w:val="BodyText2"/>
              <w:spacing w:line="240" w:lineRule="auto"/>
              <w:ind w:firstLine="0"/>
              <w:jc w:val="center"/>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w:t>
            </w:r>
          </w:p>
        </w:tc>
        <w:tc>
          <w:tcPr>
            <w:tcW w:w="850"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w:t>
            </w:r>
          </w:p>
        </w:tc>
        <w:tc>
          <w:tcPr>
            <w:tcW w:w="1276"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w:t>
            </w:r>
          </w:p>
        </w:tc>
        <w:tc>
          <w:tcPr>
            <w:tcW w:w="1416" w:type="dxa"/>
            <w:vAlign w:val="center"/>
          </w:tcPr>
          <w:p w:rsidR="0049588C" w:rsidRPr="006234AA" w:rsidRDefault="0049588C" w:rsidP="003C0546">
            <w:pPr>
              <w:pStyle w:val="BodyText2"/>
              <w:spacing w:line="240" w:lineRule="auto"/>
              <w:jc w:val="center"/>
              <w:rPr>
                <w:rFonts w:ascii="Times New Roman" w:hAnsi="Times New Roman" w:cs="Times New Roman"/>
                <w:color w:val="auto"/>
                <w:sz w:val="24"/>
                <w:szCs w:val="24"/>
                <w:lang w:val="nl-NL"/>
              </w:rPr>
            </w:pPr>
          </w:p>
        </w:tc>
        <w:tc>
          <w:tcPr>
            <w:tcW w:w="1710"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w:t>
            </w:r>
          </w:p>
        </w:tc>
        <w:tc>
          <w:tcPr>
            <w:tcW w:w="1013" w:type="dxa"/>
            <w:vAlign w:val="center"/>
          </w:tcPr>
          <w:p w:rsidR="0049588C" w:rsidRPr="006234AA" w:rsidRDefault="0049588C" w:rsidP="003C0546">
            <w:pPr>
              <w:pStyle w:val="BodyText2"/>
              <w:spacing w:line="240" w:lineRule="auto"/>
              <w:ind w:firstLine="0"/>
              <w:rPr>
                <w:rFonts w:ascii="Times New Roman" w:hAnsi="Times New Roman" w:cs="Times New Roman"/>
                <w:color w:val="auto"/>
                <w:sz w:val="24"/>
                <w:szCs w:val="24"/>
                <w:lang w:val="nl-NL"/>
              </w:rPr>
            </w:pPr>
            <w:r w:rsidRPr="006234AA">
              <w:rPr>
                <w:rFonts w:ascii="Times New Roman" w:hAnsi="Times New Roman" w:cs="Times New Roman"/>
                <w:color w:val="auto"/>
                <w:sz w:val="24"/>
                <w:szCs w:val="24"/>
                <w:lang w:val="nl-NL"/>
              </w:rPr>
              <w:t>..........</w:t>
            </w:r>
          </w:p>
        </w:tc>
      </w:tr>
    </w:tbl>
    <w:p w:rsidR="0049588C" w:rsidRPr="006234AA" w:rsidRDefault="0049588C" w:rsidP="003C0546">
      <w:pPr>
        <w:pStyle w:val="BodyText2"/>
        <w:spacing w:line="240" w:lineRule="auto"/>
        <w:rPr>
          <w:rFonts w:ascii="Times New Roman" w:hAnsi="Times New Roman" w:cs="Times New Roman"/>
          <w:b/>
          <w:i/>
          <w:color w:val="auto"/>
          <w:sz w:val="24"/>
          <w:lang w:val="nl-NL"/>
        </w:rPr>
      </w:pPr>
      <w:r w:rsidRPr="006234AA">
        <w:rPr>
          <w:rFonts w:ascii="Times New Roman" w:hAnsi="Times New Roman" w:cs="Times New Roman"/>
          <w:i/>
          <w:color w:val="auto"/>
          <w:sz w:val="24"/>
          <w:u w:val="single"/>
          <w:lang w:val="nl-NL"/>
        </w:rPr>
        <w:t>* Ghi chú</w:t>
      </w:r>
      <w:r w:rsidRPr="006234AA">
        <w:rPr>
          <w:rFonts w:ascii="Times New Roman" w:hAnsi="Times New Roman" w:cs="Times New Roman"/>
          <w:i/>
          <w:color w:val="auto"/>
          <w:sz w:val="24"/>
          <w:lang w:val="nl-NL"/>
        </w:rPr>
        <w:t xml:space="preserve">: </w:t>
      </w:r>
    </w:p>
    <w:p w:rsidR="0049588C" w:rsidRPr="006234AA" w:rsidRDefault="0049588C" w:rsidP="003C0546">
      <w:pPr>
        <w:pStyle w:val="BodyText2"/>
        <w:spacing w:line="240" w:lineRule="auto"/>
        <w:rPr>
          <w:rFonts w:ascii="Times New Roman" w:hAnsi="Times New Roman" w:cs="Times New Roman"/>
          <w:b/>
          <w:i/>
          <w:color w:val="auto"/>
          <w:sz w:val="24"/>
          <w:lang w:val="nl-NL"/>
        </w:rPr>
      </w:pPr>
      <w:r w:rsidRPr="006234AA">
        <w:rPr>
          <w:rFonts w:ascii="Times New Roman" w:hAnsi="Times New Roman" w:cs="Times New Roman"/>
          <w:i/>
          <w:color w:val="auto"/>
          <w:sz w:val="24"/>
          <w:lang w:val="nl-NL"/>
        </w:rPr>
        <w:t xml:space="preserve">Cột (2) loại chứng khoán được ghi cụ thể theo mã chứng khoán (đối với chứng khoán niêm yết và đăng ký giao dịch) và được phân loại theo chứng khoán đầu tư ngắn hạn, chứng khoán đầu tư dài hạn của công ty chứng khoán thực hiện theo chế độ kế toán công ty chứng khoán. </w:t>
      </w:r>
    </w:p>
    <w:p w:rsidR="0049588C" w:rsidRPr="006234AA" w:rsidRDefault="0049588C" w:rsidP="003C0546">
      <w:pPr>
        <w:pStyle w:val="BodyText2"/>
        <w:spacing w:line="240" w:lineRule="auto"/>
        <w:rPr>
          <w:rFonts w:ascii="Times New Roman" w:hAnsi="Times New Roman" w:cs="Times New Roman"/>
          <w:b/>
          <w:i/>
          <w:color w:val="auto"/>
          <w:sz w:val="24"/>
          <w:lang w:val="nl-NL"/>
        </w:rPr>
      </w:pPr>
      <w:r w:rsidRPr="006234AA">
        <w:rPr>
          <w:rFonts w:ascii="Times New Roman" w:hAnsi="Times New Roman" w:cs="Times New Roman"/>
          <w:i/>
          <w:color w:val="auto"/>
          <w:sz w:val="24"/>
          <w:lang w:val="nl-NL"/>
        </w:rPr>
        <w:lastRenderedPageBreak/>
        <w:t>Cột (3) là các chứng khoán hiện CTCK đang nắm giữ, không bao gồm chứng khoán đang về tài khoản.</w:t>
      </w:r>
    </w:p>
    <w:p w:rsidR="0049588C" w:rsidRPr="006234AA" w:rsidRDefault="0049588C" w:rsidP="003C0546">
      <w:pPr>
        <w:pStyle w:val="BodyText2"/>
        <w:spacing w:line="240" w:lineRule="auto"/>
        <w:rPr>
          <w:rFonts w:ascii="Times New Roman" w:hAnsi="Times New Roman" w:cs="Times New Roman"/>
          <w:b/>
          <w:i/>
          <w:color w:val="auto"/>
          <w:sz w:val="24"/>
          <w:lang w:val="nl-NL"/>
        </w:rPr>
      </w:pPr>
      <w:r w:rsidRPr="006234AA">
        <w:rPr>
          <w:rFonts w:ascii="Times New Roman" w:hAnsi="Times New Roman" w:cs="Times New Roman"/>
          <w:i/>
          <w:color w:val="auto"/>
          <w:sz w:val="24"/>
          <w:lang w:val="nl-NL"/>
        </w:rPr>
        <w:t xml:space="preserve">Cột (4) tính theo giá mua vào/giá góp vốn theo hợp đồng; </w:t>
      </w:r>
    </w:p>
    <w:p w:rsidR="0049588C" w:rsidRPr="006234AA" w:rsidRDefault="0049588C" w:rsidP="003C0546">
      <w:pPr>
        <w:pStyle w:val="BodyText2"/>
        <w:spacing w:line="240" w:lineRule="auto"/>
        <w:rPr>
          <w:rFonts w:ascii="Times New Roman" w:hAnsi="Times New Roman" w:cs="Times New Roman"/>
          <w:b/>
          <w:i/>
          <w:color w:val="auto"/>
          <w:sz w:val="24"/>
          <w:lang w:val="nl-NL"/>
        </w:rPr>
      </w:pPr>
      <w:r w:rsidRPr="006234AA">
        <w:rPr>
          <w:rFonts w:ascii="Times New Roman" w:hAnsi="Times New Roman" w:cs="Times New Roman"/>
          <w:i/>
          <w:color w:val="auto"/>
          <w:sz w:val="24"/>
          <w:lang w:val="nl-NL"/>
        </w:rPr>
        <w:t xml:space="preserve">Cột (5) tính theo giá đóng cửa hoặc giá giao dịch bình quân tại thời điểm báo cáo hoặc giá trị hợp lý đối với chứng khoán chưa niêm yết, đăng ký giao dịch. </w:t>
      </w:r>
    </w:p>
    <w:p w:rsidR="0049588C" w:rsidRPr="006234AA" w:rsidRDefault="0049588C" w:rsidP="003C0546">
      <w:pPr>
        <w:pStyle w:val="BodyText2"/>
        <w:spacing w:line="240" w:lineRule="auto"/>
        <w:rPr>
          <w:rFonts w:ascii="Times New Roman" w:hAnsi="Times New Roman" w:cs="Times New Roman"/>
          <w:b/>
          <w:i/>
          <w:color w:val="auto"/>
          <w:sz w:val="24"/>
          <w:lang w:val="nl-NL"/>
        </w:rPr>
      </w:pPr>
      <w:r w:rsidRPr="006234AA">
        <w:rPr>
          <w:rFonts w:ascii="Times New Roman" w:hAnsi="Times New Roman" w:cs="Times New Roman"/>
          <w:i/>
          <w:color w:val="auto"/>
          <w:sz w:val="24"/>
          <w:lang w:val="nl-NL"/>
        </w:rPr>
        <w:t>Đối với trái phiếu, không phải tính cột (7), (8).</w:t>
      </w:r>
    </w:p>
    <w:p w:rsidR="0049588C" w:rsidRPr="006234AA" w:rsidRDefault="0049588C" w:rsidP="003C0546">
      <w:pPr>
        <w:pStyle w:val="BodyText2"/>
        <w:spacing w:line="240" w:lineRule="auto"/>
        <w:rPr>
          <w:rFonts w:ascii="Times New Roman" w:hAnsi="Times New Roman" w:cs="Times New Roman"/>
          <w:b/>
          <w:i/>
          <w:color w:val="auto"/>
          <w:sz w:val="24"/>
          <w:lang w:val="nl-NL"/>
        </w:rPr>
      </w:pPr>
      <w:r w:rsidRPr="006234AA">
        <w:rPr>
          <w:rFonts w:ascii="Times New Roman" w:hAnsi="Times New Roman" w:cs="Times New Roman"/>
          <w:i/>
          <w:color w:val="auto"/>
          <w:sz w:val="24"/>
          <w:lang w:val="nl-NL"/>
        </w:rPr>
        <w:t>Phải loại trừ chứng khoán nắm giữ thuộc các giao dịch kỳ hạn chứng khoán khỏi mục này.</w:t>
      </w:r>
    </w:p>
    <w:p w:rsidR="0049588C" w:rsidRPr="006234AA" w:rsidRDefault="0049588C" w:rsidP="003C0546">
      <w:pPr>
        <w:pStyle w:val="BodyText2"/>
        <w:spacing w:line="240" w:lineRule="auto"/>
        <w:rPr>
          <w:rFonts w:ascii="Times New Roman" w:hAnsi="Times New Roman" w:cs="Times New Roman"/>
          <w:b/>
          <w:i/>
          <w:color w:val="auto"/>
          <w:sz w:val="24"/>
          <w:lang w:val="nl-NL"/>
        </w:rPr>
      </w:pPr>
      <w:r w:rsidRPr="006234AA">
        <w:rPr>
          <w:rFonts w:ascii="Times New Roman" w:hAnsi="Times New Roman" w:cs="Times New Roman"/>
          <w:i/>
          <w:color w:val="auto"/>
          <w:sz w:val="24"/>
          <w:lang w:val="nl-NL"/>
        </w:rPr>
        <w:t>Các khoản đầu tư, góp vốn khác được kê chi tiết theo các khoản thành lập công ty con, công ty liên doanh liên kết, các khoản đầu tư khá</w:t>
      </w:r>
    </w:p>
    <w:p w:rsidR="0049588C" w:rsidRPr="006234AA" w:rsidRDefault="0049588C" w:rsidP="003C0546">
      <w:pPr>
        <w:spacing w:after="120"/>
        <w:rPr>
          <w:i/>
          <w:lang w:val="nl-NL"/>
        </w:rPr>
      </w:pPr>
      <w:r w:rsidRPr="006234AA">
        <w:rPr>
          <w:b/>
          <w:i/>
          <w:lang w:val="nl-NL"/>
        </w:rPr>
        <w:br w:type="page"/>
      </w:r>
    </w:p>
    <w:p w:rsidR="0049588C" w:rsidRPr="006234AA" w:rsidRDefault="0049588C" w:rsidP="00D36937">
      <w:pPr>
        <w:pStyle w:val="BodyText2"/>
        <w:numPr>
          <w:ilvl w:val="0"/>
          <w:numId w:val="25"/>
        </w:numPr>
        <w:spacing w:line="240" w:lineRule="auto"/>
        <w:rPr>
          <w:rFonts w:ascii="Times New Roman" w:hAnsi="Times New Roman" w:cs="Times New Roman"/>
          <w:b/>
          <w:color w:val="auto"/>
          <w:lang w:val="nl-NL"/>
        </w:rPr>
      </w:pPr>
      <w:r w:rsidRPr="006234AA">
        <w:rPr>
          <w:rFonts w:ascii="Times New Roman" w:hAnsi="Times New Roman" w:cs="Times New Roman"/>
          <w:b/>
          <w:color w:val="auto"/>
          <w:lang w:val="nl-NL"/>
        </w:rPr>
        <w:lastRenderedPageBreak/>
        <w:t>Hoạt động bảo lãnh phát hành chứng khoán</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882"/>
        <w:gridCol w:w="1302"/>
        <w:gridCol w:w="1010"/>
        <w:gridCol w:w="992"/>
        <w:gridCol w:w="1418"/>
        <w:gridCol w:w="813"/>
        <w:gridCol w:w="1313"/>
        <w:gridCol w:w="1375"/>
      </w:tblGrid>
      <w:tr w:rsidR="0049588C" w:rsidRPr="006234AA" w:rsidTr="00A15B69">
        <w:tc>
          <w:tcPr>
            <w:tcW w:w="458"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ind w:firstLine="0"/>
              <w:jc w:val="center"/>
              <w:rPr>
                <w:b/>
                <w:lang w:val="nl-NL"/>
              </w:rPr>
            </w:pPr>
            <w:r w:rsidRPr="006234AA">
              <w:rPr>
                <w:b/>
                <w:lang w:val="nl-NL"/>
              </w:rPr>
              <w:t>TT</w:t>
            </w:r>
          </w:p>
        </w:tc>
        <w:tc>
          <w:tcPr>
            <w:tcW w:w="88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ind w:firstLine="0"/>
              <w:jc w:val="center"/>
              <w:rPr>
                <w:b/>
                <w:lang w:val="nl-NL"/>
              </w:rPr>
            </w:pPr>
            <w:r w:rsidRPr="006234AA">
              <w:rPr>
                <w:b/>
                <w:lang w:val="nl-NL"/>
              </w:rPr>
              <w:t>Tên tổ chức phát hành</w:t>
            </w:r>
          </w:p>
        </w:tc>
        <w:tc>
          <w:tcPr>
            <w:tcW w:w="130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ind w:firstLine="0"/>
              <w:jc w:val="center"/>
              <w:rPr>
                <w:b/>
                <w:lang w:val="nl-NL"/>
              </w:rPr>
            </w:pPr>
            <w:r w:rsidRPr="006234AA">
              <w:rPr>
                <w:b/>
                <w:lang w:val="nl-NL"/>
              </w:rPr>
              <w:t>Loại chứng khoán bảo lãnh</w:t>
            </w:r>
          </w:p>
        </w:tc>
        <w:tc>
          <w:tcPr>
            <w:tcW w:w="1010"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ind w:firstLine="0"/>
              <w:jc w:val="center"/>
              <w:rPr>
                <w:b/>
                <w:lang w:val="nl-NL"/>
              </w:rPr>
            </w:pPr>
            <w:r w:rsidRPr="006234AA">
              <w:rPr>
                <w:b/>
                <w:lang w:val="nl-NL"/>
              </w:rPr>
              <w:t>Hình thức bảo lãnh</w:t>
            </w:r>
          </w:p>
        </w:tc>
        <w:tc>
          <w:tcPr>
            <w:tcW w:w="992"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ind w:firstLine="0"/>
              <w:jc w:val="center"/>
              <w:rPr>
                <w:b/>
                <w:lang w:val="nl-NL"/>
              </w:rPr>
            </w:pPr>
            <w:r w:rsidRPr="006234AA">
              <w:rPr>
                <w:b/>
                <w:lang w:val="nl-NL"/>
              </w:rPr>
              <w:t>Tổng giá trị bảo lãnh</w:t>
            </w:r>
          </w:p>
        </w:tc>
        <w:tc>
          <w:tcPr>
            <w:tcW w:w="1418"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ind w:firstLine="0"/>
              <w:jc w:val="center"/>
              <w:rPr>
                <w:b/>
                <w:lang w:val="nl-NL"/>
              </w:rPr>
            </w:pPr>
            <w:r w:rsidRPr="006234AA">
              <w:rPr>
                <w:b/>
                <w:lang w:val="nl-NL"/>
              </w:rPr>
              <w:t>Thời gian bảo lãnh (từ .... đến....)</w:t>
            </w:r>
          </w:p>
        </w:tc>
        <w:tc>
          <w:tcPr>
            <w:tcW w:w="813"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ind w:firstLine="0"/>
              <w:jc w:val="center"/>
              <w:rPr>
                <w:b/>
                <w:lang w:val="nl-NL"/>
              </w:rPr>
            </w:pPr>
            <w:r w:rsidRPr="006234AA">
              <w:rPr>
                <w:b/>
                <w:lang w:val="nl-NL"/>
              </w:rPr>
              <w:t>Vốn chủ sở hữu*</w:t>
            </w:r>
          </w:p>
        </w:tc>
        <w:tc>
          <w:tcPr>
            <w:tcW w:w="1313"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ind w:firstLine="0"/>
              <w:jc w:val="center"/>
              <w:rPr>
                <w:b/>
                <w:lang w:val="nl-NL"/>
              </w:rPr>
            </w:pPr>
            <w:r w:rsidRPr="006234AA">
              <w:rPr>
                <w:b/>
                <w:lang w:val="nl-NL"/>
              </w:rPr>
              <w:t>Tổng giá trị vốn hoạt động ròng**</w:t>
            </w:r>
          </w:p>
          <w:p w:rsidR="0049588C" w:rsidRPr="006234AA" w:rsidRDefault="0049588C" w:rsidP="003C0546">
            <w:pPr>
              <w:spacing w:after="120"/>
              <w:jc w:val="center"/>
              <w:rPr>
                <w:b/>
                <w:lang w:val="nl-NL"/>
              </w:rPr>
            </w:pPr>
          </w:p>
        </w:tc>
        <w:tc>
          <w:tcPr>
            <w:tcW w:w="1375" w:type="dxa"/>
            <w:tcBorders>
              <w:top w:val="single" w:sz="4" w:space="0" w:color="auto"/>
              <w:left w:val="single" w:sz="4" w:space="0" w:color="auto"/>
              <w:bottom w:val="single" w:sz="4" w:space="0" w:color="auto"/>
              <w:right w:val="single" w:sz="4" w:space="0" w:color="auto"/>
            </w:tcBorders>
            <w:vAlign w:val="center"/>
          </w:tcPr>
          <w:p w:rsidR="0049588C" w:rsidRPr="006234AA" w:rsidRDefault="0049588C" w:rsidP="003C0546">
            <w:pPr>
              <w:spacing w:after="120"/>
              <w:ind w:firstLine="0"/>
              <w:jc w:val="center"/>
              <w:rPr>
                <w:b/>
                <w:lang w:val="nl-NL"/>
              </w:rPr>
            </w:pPr>
            <w:r w:rsidRPr="006234AA">
              <w:rPr>
                <w:b/>
                <w:lang w:val="nl-NL"/>
              </w:rPr>
              <w:t>Phí bảo lãnh thu được (dự thu)</w:t>
            </w:r>
          </w:p>
        </w:tc>
      </w:tr>
      <w:tr w:rsidR="0049588C" w:rsidRPr="006234AA" w:rsidTr="00A15B69">
        <w:tc>
          <w:tcPr>
            <w:tcW w:w="458"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882"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1302"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1010"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992"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1418"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813"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1313"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1375"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r>
      <w:tr w:rsidR="0049588C" w:rsidRPr="006234AA" w:rsidTr="00A15B69">
        <w:tc>
          <w:tcPr>
            <w:tcW w:w="458"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882"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1302"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1010"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992"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1418"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813"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1313"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c>
          <w:tcPr>
            <w:tcW w:w="1375" w:type="dxa"/>
            <w:tcBorders>
              <w:top w:val="single" w:sz="4" w:space="0" w:color="auto"/>
              <w:left w:val="single" w:sz="4" w:space="0" w:color="auto"/>
              <w:bottom w:val="single" w:sz="4" w:space="0" w:color="auto"/>
              <w:right w:val="single" w:sz="4" w:space="0" w:color="auto"/>
            </w:tcBorders>
          </w:tcPr>
          <w:p w:rsidR="0049588C" w:rsidRPr="006234AA" w:rsidRDefault="0049588C" w:rsidP="003C0546">
            <w:pPr>
              <w:spacing w:after="120"/>
              <w:rPr>
                <w:lang w:val="nl-NL"/>
              </w:rPr>
            </w:pPr>
          </w:p>
        </w:tc>
      </w:tr>
    </w:tbl>
    <w:p w:rsidR="0049588C" w:rsidRPr="006234AA" w:rsidRDefault="0049588C" w:rsidP="003C0546">
      <w:pPr>
        <w:pStyle w:val="Footer"/>
        <w:tabs>
          <w:tab w:val="clear" w:pos="4320"/>
          <w:tab w:val="clear" w:pos="8640"/>
        </w:tabs>
        <w:spacing w:after="120"/>
        <w:rPr>
          <w:i/>
          <w:sz w:val="24"/>
          <w:szCs w:val="24"/>
          <w:lang w:val="nl-NL"/>
        </w:rPr>
      </w:pPr>
      <w:r w:rsidRPr="006234AA">
        <w:rPr>
          <w:i/>
          <w:sz w:val="24"/>
          <w:szCs w:val="24"/>
          <w:lang w:val="nl-NL"/>
        </w:rPr>
        <w:t xml:space="preserve">* Vốn chủ sở hữu, tài sản ngắn hạn, nợ ngắn hạn của công ty chứng khoán theo báo cáo tài chính quý gần nhất với thời điểm ký hợp đồng bảo lãnh </w:t>
      </w:r>
    </w:p>
    <w:p w:rsidR="0049588C" w:rsidRPr="006234AA" w:rsidRDefault="0049588C" w:rsidP="003C0546">
      <w:pPr>
        <w:pStyle w:val="Footer"/>
        <w:tabs>
          <w:tab w:val="clear" w:pos="4320"/>
          <w:tab w:val="clear" w:pos="8640"/>
        </w:tabs>
        <w:spacing w:after="120"/>
        <w:rPr>
          <w:i/>
          <w:sz w:val="24"/>
          <w:szCs w:val="24"/>
          <w:lang w:val="nl-NL"/>
        </w:rPr>
      </w:pPr>
      <w:r w:rsidRPr="006234AA">
        <w:rPr>
          <w:i/>
          <w:sz w:val="24"/>
          <w:szCs w:val="24"/>
          <w:lang w:val="nl-NL"/>
        </w:rPr>
        <w:t>** Tổng giá trị vốn hoạt động ròng=(tài sản ngắn hạn – nợ ngắn hạn)x15</w:t>
      </w:r>
    </w:p>
    <w:p w:rsidR="0049588C" w:rsidRPr="006234AA" w:rsidRDefault="0049588C" w:rsidP="003C0546">
      <w:pPr>
        <w:pStyle w:val="Footer"/>
        <w:tabs>
          <w:tab w:val="clear" w:pos="4320"/>
          <w:tab w:val="clear" w:pos="8640"/>
        </w:tabs>
        <w:spacing w:after="120"/>
        <w:rPr>
          <w:i/>
          <w:sz w:val="24"/>
          <w:szCs w:val="24"/>
          <w:lang w:val="nl-NL"/>
        </w:rPr>
      </w:pPr>
    </w:p>
    <w:p w:rsidR="0049588C" w:rsidRPr="006234AA" w:rsidRDefault="0049588C" w:rsidP="00D36937">
      <w:pPr>
        <w:numPr>
          <w:ilvl w:val="0"/>
          <w:numId w:val="25"/>
        </w:numPr>
        <w:spacing w:after="120"/>
        <w:ind w:left="357" w:hanging="357"/>
        <w:jc w:val="left"/>
        <w:rPr>
          <w:b/>
          <w:lang w:val="nl-NL"/>
        </w:rPr>
      </w:pPr>
      <w:r w:rsidRPr="006234AA">
        <w:rPr>
          <w:b/>
          <w:lang w:val="nl-NL"/>
        </w:rPr>
        <w:t>Hoạt động tư vấn đầu tư chứng khoán và tư vấn tài chính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276"/>
        <w:gridCol w:w="1701"/>
        <w:gridCol w:w="1417"/>
        <w:gridCol w:w="1701"/>
        <w:gridCol w:w="1418"/>
      </w:tblGrid>
      <w:tr w:rsidR="0049588C" w:rsidRPr="006234AA" w:rsidTr="00A15B69">
        <w:trPr>
          <w:tblHeader/>
        </w:trPr>
        <w:tc>
          <w:tcPr>
            <w:tcW w:w="2093" w:type="dxa"/>
            <w:vAlign w:val="center"/>
          </w:tcPr>
          <w:p w:rsidR="0049588C" w:rsidRPr="006234AA" w:rsidRDefault="0049588C" w:rsidP="003C0546">
            <w:pPr>
              <w:spacing w:after="120"/>
              <w:ind w:firstLine="0"/>
              <w:rPr>
                <w:b/>
                <w:lang w:val="nl-NL"/>
              </w:rPr>
            </w:pPr>
            <w:r w:rsidRPr="006234AA">
              <w:rPr>
                <w:b/>
                <w:lang w:val="nl-NL"/>
              </w:rPr>
              <w:t>Loại tư vấn</w:t>
            </w:r>
          </w:p>
        </w:tc>
        <w:tc>
          <w:tcPr>
            <w:tcW w:w="1276" w:type="dxa"/>
            <w:vAlign w:val="center"/>
          </w:tcPr>
          <w:p w:rsidR="0049588C" w:rsidRPr="006234AA" w:rsidRDefault="0049588C" w:rsidP="003C0546">
            <w:pPr>
              <w:spacing w:after="120"/>
              <w:ind w:firstLine="0"/>
              <w:jc w:val="center"/>
              <w:rPr>
                <w:b/>
                <w:lang w:val="nl-NL"/>
              </w:rPr>
            </w:pPr>
            <w:r w:rsidRPr="006234AA">
              <w:rPr>
                <w:b/>
                <w:lang w:val="nl-NL"/>
              </w:rPr>
              <w:t>Số hợp đồng đã ký đầu tháng</w:t>
            </w:r>
          </w:p>
        </w:tc>
        <w:tc>
          <w:tcPr>
            <w:tcW w:w="1701" w:type="dxa"/>
            <w:vAlign w:val="center"/>
          </w:tcPr>
          <w:p w:rsidR="0049588C" w:rsidRPr="006234AA" w:rsidRDefault="0049588C" w:rsidP="003C0546">
            <w:pPr>
              <w:spacing w:after="120"/>
              <w:ind w:firstLine="0"/>
              <w:jc w:val="center"/>
              <w:rPr>
                <w:b/>
                <w:lang w:val="nl-NL"/>
              </w:rPr>
            </w:pPr>
            <w:r w:rsidRPr="006234AA">
              <w:rPr>
                <w:b/>
                <w:lang w:val="nl-NL"/>
              </w:rPr>
              <w:t>Số hợp đồng đã thanh lý trong tháng</w:t>
            </w:r>
          </w:p>
        </w:tc>
        <w:tc>
          <w:tcPr>
            <w:tcW w:w="1417" w:type="dxa"/>
            <w:vAlign w:val="center"/>
          </w:tcPr>
          <w:p w:rsidR="0049588C" w:rsidRPr="006234AA" w:rsidRDefault="0049588C" w:rsidP="003C0546">
            <w:pPr>
              <w:spacing w:after="120"/>
              <w:ind w:firstLine="0"/>
              <w:jc w:val="center"/>
              <w:rPr>
                <w:b/>
                <w:lang w:val="nl-NL"/>
              </w:rPr>
            </w:pPr>
            <w:r w:rsidRPr="006234AA">
              <w:rPr>
                <w:b/>
                <w:lang w:val="nl-NL"/>
              </w:rPr>
              <w:t>Số hợp đồng ký mới trong tháng</w:t>
            </w:r>
          </w:p>
        </w:tc>
        <w:tc>
          <w:tcPr>
            <w:tcW w:w="1701" w:type="dxa"/>
            <w:vAlign w:val="center"/>
          </w:tcPr>
          <w:p w:rsidR="0049588C" w:rsidRPr="006234AA" w:rsidRDefault="0049588C" w:rsidP="003C0546">
            <w:pPr>
              <w:spacing w:after="120"/>
              <w:ind w:firstLine="0"/>
              <w:jc w:val="center"/>
              <w:rPr>
                <w:b/>
                <w:lang w:val="nl-NL"/>
              </w:rPr>
            </w:pPr>
            <w:r w:rsidRPr="006234AA">
              <w:rPr>
                <w:b/>
                <w:lang w:val="nl-NL"/>
              </w:rPr>
              <w:t>Số hợp đồng còn hiệu lực cuối tháng</w:t>
            </w:r>
          </w:p>
        </w:tc>
        <w:tc>
          <w:tcPr>
            <w:tcW w:w="1418" w:type="dxa"/>
            <w:vAlign w:val="center"/>
          </w:tcPr>
          <w:p w:rsidR="0049588C" w:rsidRPr="006234AA" w:rsidRDefault="0049588C" w:rsidP="003C0546">
            <w:pPr>
              <w:spacing w:after="120"/>
              <w:ind w:firstLine="0"/>
              <w:jc w:val="center"/>
              <w:rPr>
                <w:b/>
                <w:lang w:val="nl-NL"/>
              </w:rPr>
            </w:pPr>
            <w:r w:rsidRPr="006234AA">
              <w:rPr>
                <w:b/>
                <w:lang w:val="nl-NL"/>
              </w:rPr>
              <w:t>Phí thu được trong tháng</w:t>
            </w:r>
          </w:p>
        </w:tc>
      </w:tr>
      <w:tr w:rsidR="0049588C" w:rsidRPr="006234AA" w:rsidTr="00A15B69">
        <w:tc>
          <w:tcPr>
            <w:tcW w:w="2093" w:type="dxa"/>
          </w:tcPr>
          <w:p w:rsidR="0049588C" w:rsidRPr="006234AA" w:rsidRDefault="0049588C" w:rsidP="003C0546">
            <w:pPr>
              <w:spacing w:after="120"/>
              <w:ind w:firstLine="0"/>
              <w:rPr>
                <w:b/>
                <w:i/>
                <w:lang w:val="nl-NL"/>
              </w:rPr>
            </w:pPr>
            <w:r w:rsidRPr="006234AA">
              <w:rPr>
                <w:b/>
                <w:i/>
                <w:lang w:val="nl-NL"/>
              </w:rPr>
              <w:t>I. Tư vấn đầu tư chứng khoán</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b/>
                <w:i/>
                <w:lang w:val="nl-NL"/>
              </w:rPr>
            </w:pPr>
            <w:r w:rsidRPr="006234AA">
              <w:rPr>
                <w:b/>
                <w:i/>
                <w:lang w:val="nl-NL"/>
              </w:rPr>
              <w:t>II. Tư vấn đầu tư chứng khoán phái sinh</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b/>
                <w:i/>
                <w:lang w:val="nl-NL"/>
              </w:rPr>
            </w:pPr>
            <w:r w:rsidRPr="006234AA">
              <w:rPr>
                <w:b/>
                <w:i/>
                <w:lang w:val="nl-NL"/>
              </w:rPr>
              <w:t>III. Tư vấn tài chính</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lang w:val="nl-NL"/>
              </w:rPr>
            </w:pPr>
            <w:r w:rsidRPr="006234AA">
              <w:rPr>
                <w:lang w:val="nl-NL"/>
              </w:rPr>
              <w:t>1. Tư vấn ..</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lang w:val="nl-NL"/>
              </w:rPr>
            </w:pPr>
            <w:r w:rsidRPr="006234AA">
              <w:rPr>
                <w:lang w:val="nl-NL"/>
              </w:rPr>
              <w:t>2. Tư vấn ..</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lang w:val="nl-NL"/>
              </w:rPr>
            </w:pPr>
            <w:r w:rsidRPr="006234AA">
              <w:rPr>
                <w:lang w:val="nl-NL"/>
              </w:rPr>
              <w:t>3. Tư vấn ..</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i/>
                <w:lang w:val="nl-NL"/>
              </w:rPr>
            </w:pPr>
            <w:r w:rsidRPr="006234AA">
              <w:rPr>
                <w:i/>
                <w:lang w:val="nl-NL"/>
              </w:rPr>
              <w:t>Cộng</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lang w:val="nl-NL"/>
              </w:rPr>
            </w:pPr>
            <w:r w:rsidRPr="006234AA">
              <w:rPr>
                <w:b/>
                <w:i/>
                <w:lang w:val="nl-NL"/>
              </w:rPr>
              <w:t>IV. Dịch vụ khác:</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lang w:val="nl-NL"/>
              </w:rPr>
            </w:pPr>
            <w:r w:rsidRPr="006234AA">
              <w:rPr>
                <w:lang w:val="nl-NL"/>
              </w:rPr>
              <w:lastRenderedPageBreak/>
              <w:t>1. .....</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lang w:val="nl-NL"/>
              </w:rPr>
            </w:pPr>
            <w:r w:rsidRPr="006234AA">
              <w:rPr>
                <w:lang w:val="nl-NL"/>
              </w:rPr>
              <w:t>2. .....</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i/>
                <w:lang w:val="nl-NL"/>
              </w:rPr>
            </w:pPr>
            <w:r w:rsidRPr="006234AA">
              <w:rPr>
                <w:i/>
                <w:lang w:val="nl-NL"/>
              </w:rPr>
              <w:t>Cộng</w:t>
            </w:r>
          </w:p>
        </w:tc>
        <w:tc>
          <w:tcPr>
            <w:tcW w:w="1276"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7" w:type="dxa"/>
          </w:tcPr>
          <w:p w:rsidR="0049588C" w:rsidRPr="006234AA" w:rsidRDefault="0049588C" w:rsidP="003C0546">
            <w:pPr>
              <w:spacing w:after="120"/>
              <w:rPr>
                <w:lang w:val="nl-NL"/>
              </w:rPr>
            </w:pPr>
          </w:p>
        </w:tc>
        <w:tc>
          <w:tcPr>
            <w:tcW w:w="1701" w:type="dxa"/>
          </w:tcPr>
          <w:p w:rsidR="0049588C" w:rsidRPr="006234AA" w:rsidRDefault="0049588C" w:rsidP="003C0546">
            <w:pPr>
              <w:spacing w:after="120"/>
              <w:rPr>
                <w:lang w:val="nl-NL"/>
              </w:rPr>
            </w:pPr>
          </w:p>
        </w:tc>
        <w:tc>
          <w:tcPr>
            <w:tcW w:w="1418" w:type="dxa"/>
          </w:tcPr>
          <w:p w:rsidR="0049588C" w:rsidRPr="006234AA" w:rsidRDefault="0049588C" w:rsidP="003C0546">
            <w:pPr>
              <w:spacing w:after="120"/>
              <w:rPr>
                <w:lang w:val="nl-NL"/>
              </w:rPr>
            </w:pPr>
          </w:p>
        </w:tc>
      </w:tr>
      <w:tr w:rsidR="0049588C" w:rsidRPr="006234AA" w:rsidTr="00A15B69">
        <w:tc>
          <w:tcPr>
            <w:tcW w:w="2093" w:type="dxa"/>
          </w:tcPr>
          <w:p w:rsidR="0049588C" w:rsidRPr="006234AA" w:rsidRDefault="0049588C" w:rsidP="003C0546">
            <w:pPr>
              <w:spacing w:after="120"/>
              <w:ind w:firstLine="0"/>
              <w:rPr>
                <w:b/>
                <w:lang w:val="nl-NL"/>
              </w:rPr>
            </w:pPr>
            <w:r w:rsidRPr="006234AA">
              <w:rPr>
                <w:b/>
                <w:lang w:val="nl-NL"/>
              </w:rPr>
              <w:t>Tổng cộng</w:t>
            </w:r>
          </w:p>
        </w:tc>
        <w:tc>
          <w:tcPr>
            <w:tcW w:w="1276" w:type="dxa"/>
          </w:tcPr>
          <w:p w:rsidR="0049588C" w:rsidRPr="006234AA" w:rsidRDefault="0049588C" w:rsidP="003C0546">
            <w:pPr>
              <w:spacing w:after="120"/>
              <w:rPr>
                <w:b/>
                <w:lang w:val="nl-NL"/>
              </w:rPr>
            </w:pPr>
          </w:p>
        </w:tc>
        <w:tc>
          <w:tcPr>
            <w:tcW w:w="1701" w:type="dxa"/>
          </w:tcPr>
          <w:p w:rsidR="0049588C" w:rsidRPr="006234AA" w:rsidRDefault="0049588C" w:rsidP="003C0546">
            <w:pPr>
              <w:spacing w:after="120"/>
              <w:rPr>
                <w:b/>
                <w:lang w:val="nl-NL"/>
              </w:rPr>
            </w:pPr>
          </w:p>
        </w:tc>
        <w:tc>
          <w:tcPr>
            <w:tcW w:w="1417" w:type="dxa"/>
          </w:tcPr>
          <w:p w:rsidR="0049588C" w:rsidRPr="006234AA" w:rsidRDefault="0049588C" w:rsidP="003C0546">
            <w:pPr>
              <w:spacing w:after="120"/>
              <w:rPr>
                <w:b/>
                <w:lang w:val="nl-NL"/>
              </w:rPr>
            </w:pPr>
          </w:p>
        </w:tc>
        <w:tc>
          <w:tcPr>
            <w:tcW w:w="1701" w:type="dxa"/>
          </w:tcPr>
          <w:p w:rsidR="0049588C" w:rsidRPr="006234AA" w:rsidRDefault="0049588C" w:rsidP="003C0546">
            <w:pPr>
              <w:spacing w:after="120"/>
              <w:rPr>
                <w:b/>
                <w:lang w:val="nl-NL"/>
              </w:rPr>
            </w:pPr>
          </w:p>
        </w:tc>
        <w:tc>
          <w:tcPr>
            <w:tcW w:w="1418" w:type="dxa"/>
          </w:tcPr>
          <w:p w:rsidR="0049588C" w:rsidRPr="006234AA" w:rsidRDefault="0049588C" w:rsidP="003C0546">
            <w:pPr>
              <w:spacing w:after="120"/>
              <w:rPr>
                <w:b/>
                <w:lang w:val="nl-NL"/>
              </w:rPr>
            </w:pPr>
          </w:p>
        </w:tc>
      </w:tr>
    </w:tbl>
    <w:p w:rsidR="0049588C" w:rsidRPr="006234AA" w:rsidRDefault="0049588C" w:rsidP="003C0546">
      <w:pPr>
        <w:spacing w:after="120"/>
        <w:rPr>
          <w:lang w:val="nl-NL"/>
        </w:rPr>
      </w:pPr>
    </w:p>
    <w:p w:rsidR="0049588C" w:rsidRPr="006234AA" w:rsidRDefault="00027C44" w:rsidP="003C0546">
      <w:pPr>
        <w:spacing w:after="120"/>
        <w:ind w:firstLine="0"/>
        <w:rPr>
          <w:b/>
          <w:lang w:val="nl-NL"/>
        </w:rPr>
      </w:pPr>
      <w:r w:rsidRPr="006234AA">
        <w:rPr>
          <w:b/>
          <w:lang w:val="nl-NL"/>
        </w:rPr>
        <w:t>IV. Tình hình tài chính:</w:t>
      </w:r>
    </w:p>
    <w:p w:rsidR="0049588C" w:rsidRPr="006234AA" w:rsidRDefault="0049588C" w:rsidP="00D36937">
      <w:pPr>
        <w:pStyle w:val="ListParagraph"/>
        <w:numPr>
          <w:ilvl w:val="3"/>
          <w:numId w:val="28"/>
        </w:numPr>
        <w:spacing w:after="120"/>
        <w:ind w:left="0" w:firstLine="0"/>
        <w:jc w:val="left"/>
        <w:rPr>
          <w:b/>
        </w:rPr>
      </w:pPr>
      <w:r w:rsidRPr="006234AA">
        <w:rPr>
          <w:b/>
        </w:rPr>
        <w:t>Tóm tắt trạng thái tài sản</w:t>
      </w:r>
    </w:p>
    <w:tbl>
      <w:tblPr>
        <w:tblStyle w:val="TableGrid"/>
        <w:tblW w:w="9605" w:type="dxa"/>
        <w:tblLayout w:type="fixed"/>
        <w:tblLook w:val="04A0"/>
      </w:tblPr>
      <w:tblGrid>
        <w:gridCol w:w="2802"/>
        <w:gridCol w:w="992"/>
        <w:gridCol w:w="992"/>
        <w:gridCol w:w="2884"/>
        <w:gridCol w:w="971"/>
        <w:gridCol w:w="964"/>
      </w:tblGrid>
      <w:tr w:rsidR="0049588C" w:rsidRPr="006234AA" w:rsidTr="00A15B69">
        <w:trPr>
          <w:tblHeader/>
        </w:trPr>
        <w:tc>
          <w:tcPr>
            <w:tcW w:w="2802" w:type="dxa"/>
            <w:vAlign w:val="center"/>
          </w:tcPr>
          <w:p w:rsidR="0049588C" w:rsidRPr="006234AA" w:rsidRDefault="0049588C" w:rsidP="003C0546">
            <w:pPr>
              <w:spacing w:after="120"/>
              <w:ind w:firstLine="0"/>
              <w:jc w:val="center"/>
              <w:rPr>
                <w:b/>
                <w:sz w:val="26"/>
                <w:szCs w:val="26"/>
                <w:lang w:val="nl-NL"/>
              </w:rPr>
            </w:pPr>
            <w:r w:rsidRPr="006234AA">
              <w:rPr>
                <w:b/>
                <w:sz w:val="26"/>
                <w:szCs w:val="26"/>
                <w:lang w:val="nl-NL"/>
              </w:rPr>
              <w:t>Tài sản</w:t>
            </w:r>
          </w:p>
        </w:tc>
        <w:tc>
          <w:tcPr>
            <w:tcW w:w="992" w:type="dxa"/>
            <w:vAlign w:val="center"/>
          </w:tcPr>
          <w:p w:rsidR="0049588C" w:rsidRPr="006234AA" w:rsidRDefault="0049588C" w:rsidP="003C0546">
            <w:pPr>
              <w:spacing w:after="120"/>
              <w:ind w:firstLine="0"/>
              <w:jc w:val="center"/>
              <w:rPr>
                <w:b/>
                <w:sz w:val="26"/>
                <w:szCs w:val="26"/>
                <w:lang w:val="nl-NL"/>
              </w:rPr>
            </w:pPr>
            <w:r w:rsidRPr="006234AA">
              <w:rPr>
                <w:b/>
                <w:sz w:val="26"/>
                <w:szCs w:val="26"/>
                <w:lang w:val="nl-NL"/>
              </w:rPr>
              <w:t>Đầu tháng</w:t>
            </w:r>
          </w:p>
        </w:tc>
        <w:tc>
          <w:tcPr>
            <w:tcW w:w="992" w:type="dxa"/>
            <w:vAlign w:val="center"/>
          </w:tcPr>
          <w:p w:rsidR="0049588C" w:rsidRPr="006234AA" w:rsidRDefault="0049588C" w:rsidP="003C0546">
            <w:pPr>
              <w:spacing w:after="120"/>
              <w:ind w:firstLine="0"/>
              <w:jc w:val="center"/>
              <w:rPr>
                <w:b/>
                <w:sz w:val="26"/>
                <w:szCs w:val="26"/>
                <w:lang w:val="nl-NL"/>
              </w:rPr>
            </w:pPr>
            <w:r w:rsidRPr="006234AA">
              <w:rPr>
                <w:b/>
                <w:sz w:val="26"/>
                <w:szCs w:val="26"/>
                <w:lang w:val="nl-NL"/>
              </w:rPr>
              <w:t>Cuối tháng</w:t>
            </w:r>
          </w:p>
        </w:tc>
        <w:tc>
          <w:tcPr>
            <w:tcW w:w="2884" w:type="dxa"/>
            <w:vAlign w:val="center"/>
          </w:tcPr>
          <w:p w:rsidR="0049588C" w:rsidRPr="006234AA" w:rsidRDefault="0049588C" w:rsidP="003C0546">
            <w:pPr>
              <w:spacing w:after="120"/>
              <w:ind w:firstLine="0"/>
              <w:jc w:val="center"/>
              <w:rPr>
                <w:b/>
                <w:sz w:val="26"/>
                <w:szCs w:val="26"/>
                <w:lang w:val="nl-NL"/>
              </w:rPr>
            </w:pPr>
            <w:r w:rsidRPr="006234AA">
              <w:rPr>
                <w:b/>
                <w:sz w:val="26"/>
                <w:szCs w:val="26"/>
                <w:lang w:val="nl-NL"/>
              </w:rPr>
              <w:t>Nguồn vốn</w:t>
            </w:r>
          </w:p>
        </w:tc>
        <w:tc>
          <w:tcPr>
            <w:tcW w:w="971" w:type="dxa"/>
            <w:vAlign w:val="center"/>
          </w:tcPr>
          <w:p w:rsidR="0049588C" w:rsidRPr="006234AA" w:rsidRDefault="0049588C" w:rsidP="003C0546">
            <w:pPr>
              <w:spacing w:after="120"/>
              <w:ind w:firstLine="0"/>
              <w:jc w:val="center"/>
              <w:rPr>
                <w:b/>
                <w:sz w:val="26"/>
                <w:szCs w:val="26"/>
                <w:lang w:val="nl-NL"/>
              </w:rPr>
            </w:pPr>
            <w:r w:rsidRPr="006234AA">
              <w:rPr>
                <w:b/>
                <w:sz w:val="26"/>
                <w:szCs w:val="26"/>
                <w:lang w:val="nl-NL"/>
              </w:rPr>
              <w:t>Đầu tháng</w:t>
            </w:r>
          </w:p>
        </w:tc>
        <w:tc>
          <w:tcPr>
            <w:tcW w:w="964" w:type="dxa"/>
            <w:vAlign w:val="center"/>
          </w:tcPr>
          <w:p w:rsidR="0049588C" w:rsidRPr="006234AA" w:rsidRDefault="0049588C" w:rsidP="003C0546">
            <w:pPr>
              <w:spacing w:after="120"/>
              <w:ind w:firstLine="0"/>
              <w:jc w:val="center"/>
              <w:rPr>
                <w:b/>
                <w:sz w:val="26"/>
                <w:szCs w:val="26"/>
                <w:lang w:val="nl-NL"/>
              </w:rPr>
            </w:pPr>
            <w:r w:rsidRPr="006234AA">
              <w:rPr>
                <w:b/>
                <w:sz w:val="26"/>
                <w:szCs w:val="26"/>
                <w:lang w:val="nl-NL"/>
              </w:rPr>
              <w:t>Cuối tháng</w:t>
            </w:r>
          </w:p>
        </w:tc>
      </w:tr>
      <w:tr w:rsidR="0049588C" w:rsidRPr="006234AA" w:rsidTr="00A15B69">
        <w:tc>
          <w:tcPr>
            <w:tcW w:w="2802" w:type="dxa"/>
          </w:tcPr>
          <w:p w:rsidR="0049588C" w:rsidRPr="006234AA" w:rsidRDefault="0049588C" w:rsidP="00D36937">
            <w:pPr>
              <w:pStyle w:val="ListParagraph"/>
              <w:numPr>
                <w:ilvl w:val="0"/>
                <w:numId w:val="32"/>
              </w:numPr>
              <w:tabs>
                <w:tab w:val="left" w:pos="346"/>
              </w:tabs>
              <w:spacing w:after="120"/>
              <w:ind w:left="0" w:firstLine="0"/>
              <w:contextualSpacing/>
              <w:jc w:val="left"/>
              <w:rPr>
                <w:b/>
                <w:sz w:val="26"/>
                <w:szCs w:val="26"/>
              </w:rPr>
            </w:pPr>
            <w:r w:rsidRPr="006234AA">
              <w:rPr>
                <w:b/>
                <w:sz w:val="26"/>
                <w:szCs w:val="26"/>
              </w:rPr>
              <w:t>Tài sản ngắn hạn</w:t>
            </w:r>
          </w:p>
        </w:tc>
        <w:tc>
          <w:tcPr>
            <w:tcW w:w="992" w:type="dxa"/>
          </w:tcPr>
          <w:p w:rsidR="0049588C" w:rsidRPr="006234AA" w:rsidRDefault="0049588C" w:rsidP="003C0546">
            <w:pPr>
              <w:spacing w:after="120"/>
              <w:ind w:firstLine="0"/>
              <w:rPr>
                <w:b/>
                <w:sz w:val="26"/>
                <w:szCs w:val="26"/>
                <w:lang w:val="nl-NL"/>
              </w:rPr>
            </w:pPr>
          </w:p>
        </w:tc>
        <w:tc>
          <w:tcPr>
            <w:tcW w:w="992" w:type="dxa"/>
          </w:tcPr>
          <w:p w:rsidR="0049588C" w:rsidRPr="006234AA" w:rsidRDefault="0049588C" w:rsidP="003C0546">
            <w:pPr>
              <w:spacing w:after="120"/>
              <w:ind w:firstLine="0"/>
              <w:rPr>
                <w:b/>
                <w:sz w:val="26"/>
                <w:szCs w:val="26"/>
                <w:lang w:val="nl-NL"/>
              </w:rPr>
            </w:pPr>
          </w:p>
        </w:tc>
        <w:tc>
          <w:tcPr>
            <w:tcW w:w="2884" w:type="dxa"/>
          </w:tcPr>
          <w:p w:rsidR="0049588C" w:rsidRPr="006234AA" w:rsidRDefault="0049588C" w:rsidP="00D36937">
            <w:pPr>
              <w:pStyle w:val="ListParagraph"/>
              <w:numPr>
                <w:ilvl w:val="0"/>
                <w:numId w:val="35"/>
              </w:numPr>
              <w:spacing w:after="120"/>
              <w:ind w:left="102" w:firstLine="0"/>
              <w:contextualSpacing/>
              <w:jc w:val="left"/>
              <w:rPr>
                <w:b/>
                <w:sz w:val="26"/>
                <w:szCs w:val="26"/>
              </w:rPr>
            </w:pPr>
            <w:r w:rsidRPr="006234AA">
              <w:rPr>
                <w:b/>
                <w:sz w:val="26"/>
                <w:szCs w:val="26"/>
              </w:rPr>
              <w:t>Nợ phải trả</w:t>
            </w:r>
          </w:p>
        </w:tc>
        <w:tc>
          <w:tcPr>
            <w:tcW w:w="971" w:type="dxa"/>
          </w:tcPr>
          <w:p w:rsidR="0049588C" w:rsidRPr="006234AA" w:rsidRDefault="0049588C" w:rsidP="003C0546">
            <w:pPr>
              <w:spacing w:after="120"/>
              <w:ind w:firstLine="0"/>
              <w:rPr>
                <w:b/>
                <w:sz w:val="26"/>
                <w:szCs w:val="26"/>
                <w:lang w:val="nl-NL"/>
              </w:rPr>
            </w:pPr>
          </w:p>
        </w:tc>
        <w:tc>
          <w:tcPr>
            <w:tcW w:w="964" w:type="dxa"/>
          </w:tcPr>
          <w:p w:rsidR="0049588C" w:rsidRPr="006234AA" w:rsidRDefault="0049588C" w:rsidP="003C0546">
            <w:pPr>
              <w:spacing w:after="120"/>
              <w:ind w:firstLine="0"/>
              <w:rPr>
                <w:b/>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3"/>
              </w:numPr>
              <w:spacing w:after="120"/>
              <w:ind w:left="0" w:firstLine="0"/>
              <w:contextualSpacing/>
              <w:jc w:val="left"/>
              <w:rPr>
                <w:sz w:val="26"/>
                <w:szCs w:val="26"/>
              </w:rPr>
            </w:pPr>
            <w:r w:rsidRPr="006234AA">
              <w:rPr>
                <w:sz w:val="26"/>
                <w:szCs w:val="26"/>
              </w:rPr>
              <w:t>Tiền và các khoản tương đương tiền</w:t>
            </w:r>
          </w:p>
        </w:tc>
        <w:tc>
          <w:tcPr>
            <w:tcW w:w="992" w:type="dxa"/>
          </w:tcPr>
          <w:p w:rsidR="0049588C" w:rsidRPr="006234AA" w:rsidRDefault="0049588C" w:rsidP="003C0546">
            <w:pPr>
              <w:spacing w:after="120"/>
              <w:ind w:firstLine="0"/>
              <w:rPr>
                <w:sz w:val="26"/>
                <w:szCs w:val="26"/>
                <w:lang w:val="nl-NL"/>
              </w:rPr>
            </w:pPr>
          </w:p>
        </w:tc>
        <w:tc>
          <w:tcPr>
            <w:tcW w:w="992" w:type="dxa"/>
          </w:tcPr>
          <w:p w:rsidR="0049588C" w:rsidRPr="006234AA" w:rsidRDefault="0049588C" w:rsidP="003C0546">
            <w:pPr>
              <w:spacing w:after="120"/>
              <w:ind w:firstLine="0"/>
              <w:rPr>
                <w:sz w:val="26"/>
                <w:szCs w:val="26"/>
                <w:lang w:val="nl-NL"/>
              </w:rPr>
            </w:pPr>
          </w:p>
        </w:tc>
        <w:tc>
          <w:tcPr>
            <w:tcW w:w="2884" w:type="dxa"/>
          </w:tcPr>
          <w:p w:rsidR="0049588C" w:rsidRPr="006234AA" w:rsidRDefault="0049588C" w:rsidP="00D36937">
            <w:pPr>
              <w:pStyle w:val="ListParagraph"/>
              <w:numPr>
                <w:ilvl w:val="0"/>
                <w:numId w:val="36"/>
              </w:numPr>
              <w:spacing w:after="120"/>
              <w:ind w:left="102" w:firstLine="0"/>
              <w:contextualSpacing/>
              <w:jc w:val="left"/>
              <w:rPr>
                <w:sz w:val="26"/>
                <w:szCs w:val="26"/>
              </w:rPr>
            </w:pPr>
            <w:r w:rsidRPr="006234AA">
              <w:rPr>
                <w:sz w:val="26"/>
                <w:szCs w:val="26"/>
              </w:rPr>
              <w:t>Nợ ngắn hạn</w:t>
            </w:r>
          </w:p>
          <w:p w:rsidR="0049588C" w:rsidRPr="006234AA" w:rsidRDefault="0049588C" w:rsidP="00D36937">
            <w:pPr>
              <w:pStyle w:val="ListParagraph"/>
              <w:numPr>
                <w:ilvl w:val="0"/>
                <w:numId w:val="37"/>
              </w:numPr>
              <w:spacing w:after="120"/>
              <w:ind w:left="102" w:firstLine="0"/>
              <w:contextualSpacing/>
              <w:jc w:val="left"/>
              <w:rPr>
                <w:sz w:val="26"/>
                <w:szCs w:val="26"/>
              </w:rPr>
            </w:pPr>
            <w:r w:rsidRPr="006234AA">
              <w:rPr>
                <w:sz w:val="26"/>
                <w:szCs w:val="26"/>
              </w:rPr>
              <w:t>Vay ngắn hạn</w:t>
            </w:r>
          </w:p>
          <w:p w:rsidR="0049588C" w:rsidRPr="006234AA" w:rsidRDefault="0049588C" w:rsidP="00D36937">
            <w:pPr>
              <w:pStyle w:val="ListParagraph"/>
              <w:numPr>
                <w:ilvl w:val="0"/>
                <w:numId w:val="37"/>
              </w:numPr>
              <w:spacing w:after="120"/>
              <w:ind w:left="102" w:firstLine="0"/>
              <w:contextualSpacing/>
              <w:jc w:val="left"/>
              <w:rPr>
                <w:sz w:val="26"/>
                <w:szCs w:val="26"/>
              </w:rPr>
            </w:pPr>
            <w:r w:rsidRPr="006234AA">
              <w:rPr>
                <w:sz w:val="26"/>
                <w:szCs w:val="26"/>
              </w:rPr>
              <w:t>Phải trả hoạt động giao dịch chứng khoán</w:t>
            </w:r>
          </w:p>
          <w:p w:rsidR="0049588C" w:rsidRPr="006234AA" w:rsidRDefault="0049588C" w:rsidP="00D36937">
            <w:pPr>
              <w:pStyle w:val="ListParagraph"/>
              <w:numPr>
                <w:ilvl w:val="0"/>
                <w:numId w:val="37"/>
              </w:numPr>
              <w:spacing w:after="120"/>
              <w:ind w:left="102" w:firstLine="0"/>
              <w:contextualSpacing/>
              <w:jc w:val="left"/>
              <w:rPr>
                <w:sz w:val="26"/>
                <w:szCs w:val="26"/>
              </w:rPr>
            </w:pPr>
            <w:r w:rsidRPr="006234AA">
              <w:rPr>
                <w:sz w:val="26"/>
                <w:szCs w:val="26"/>
              </w:rPr>
              <w:t>Phải trả ngắn hạn khác</w:t>
            </w:r>
          </w:p>
        </w:tc>
        <w:tc>
          <w:tcPr>
            <w:tcW w:w="971" w:type="dxa"/>
          </w:tcPr>
          <w:p w:rsidR="0049588C" w:rsidRPr="006234AA" w:rsidRDefault="0049588C" w:rsidP="003C0546">
            <w:pPr>
              <w:spacing w:after="120"/>
              <w:ind w:firstLine="0"/>
              <w:rPr>
                <w:sz w:val="26"/>
                <w:szCs w:val="26"/>
                <w:lang w:val="nl-NL"/>
              </w:rPr>
            </w:pPr>
          </w:p>
        </w:tc>
        <w:tc>
          <w:tcPr>
            <w:tcW w:w="964" w:type="dxa"/>
          </w:tcPr>
          <w:p w:rsidR="0049588C" w:rsidRPr="006234AA" w:rsidRDefault="0049588C" w:rsidP="003C0546">
            <w:pPr>
              <w:spacing w:after="120"/>
              <w:ind w:firstLine="0"/>
              <w:rPr>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3"/>
              </w:numPr>
              <w:spacing w:after="120"/>
              <w:ind w:left="0" w:firstLine="0"/>
              <w:contextualSpacing/>
              <w:jc w:val="left"/>
              <w:rPr>
                <w:sz w:val="26"/>
                <w:szCs w:val="26"/>
              </w:rPr>
            </w:pPr>
            <w:r w:rsidRPr="006234AA">
              <w:rPr>
                <w:sz w:val="26"/>
                <w:szCs w:val="26"/>
              </w:rPr>
              <w:t>Các khoản đầu tư tài chính ngắn hạn</w:t>
            </w:r>
          </w:p>
          <w:p w:rsidR="0049588C" w:rsidRPr="006234AA" w:rsidRDefault="0049588C" w:rsidP="003C0546">
            <w:pPr>
              <w:spacing w:after="120"/>
              <w:ind w:firstLine="0"/>
              <w:rPr>
                <w:sz w:val="26"/>
                <w:szCs w:val="26"/>
                <w:lang w:val="nl-NL"/>
              </w:rPr>
            </w:pPr>
            <w:r w:rsidRPr="006234AA">
              <w:rPr>
                <w:sz w:val="26"/>
                <w:szCs w:val="26"/>
                <w:lang w:val="nl-NL"/>
              </w:rPr>
              <w:t>- Đầu tư ngắn hạn:</w:t>
            </w:r>
          </w:p>
          <w:p w:rsidR="0049588C" w:rsidRPr="006234AA" w:rsidRDefault="0049588C" w:rsidP="003C0546">
            <w:pPr>
              <w:spacing w:after="120"/>
              <w:ind w:firstLine="0"/>
              <w:rPr>
                <w:sz w:val="26"/>
                <w:szCs w:val="26"/>
                <w:lang w:val="nl-NL"/>
              </w:rPr>
            </w:pPr>
            <w:r w:rsidRPr="006234AA">
              <w:rPr>
                <w:sz w:val="26"/>
                <w:szCs w:val="26"/>
                <w:lang w:val="nl-NL"/>
              </w:rPr>
              <w:t>- Dự phòng đầu tư ngắn hạn:</w:t>
            </w:r>
          </w:p>
        </w:tc>
        <w:tc>
          <w:tcPr>
            <w:tcW w:w="992" w:type="dxa"/>
          </w:tcPr>
          <w:p w:rsidR="0049588C" w:rsidRPr="006234AA" w:rsidRDefault="0049588C" w:rsidP="003C0546">
            <w:pPr>
              <w:spacing w:after="120"/>
              <w:ind w:firstLine="0"/>
              <w:rPr>
                <w:sz w:val="26"/>
                <w:szCs w:val="26"/>
                <w:lang w:val="nl-NL"/>
              </w:rPr>
            </w:pPr>
          </w:p>
        </w:tc>
        <w:tc>
          <w:tcPr>
            <w:tcW w:w="992" w:type="dxa"/>
          </w:tcPr>
          <w:p w:rsidR="0049588C" w:rsidRPr="006234AA" w:rsidRDefault="0049588C" w:rsidP="003C0546">
            <w:pPr>
              <w:spacing w:after="120"/>
              <w:ind w:firstLine="0"/>
              <w:rPr>
                <w:sz w:val="26"/>
                <w:szCs w:val="26"/>
                <w:lang w:val="nl-NL"/>
              </w:rPr>
            </w:pPr>
          </w:p>
        </w:tc>
        <w:tc>
          <w:tcPr>
            <w:tcW w:w="2884" w:type="dxa"/>
          </w:tcPr>
          <w:p w:rsidR="0049588C" w:rsidRPr="006234AA" w:rsidRDefault="0049588C" w:rsidP="00D36937">
            <w:pPr>
              <w:pStyle w:val="ListParagraph"/>
              <w:numPr>
                <w:ilvl w:val="0"/>
                <w:numId w:val="36"/>
              </w:numPr>
              <w:spacing w:after="120"/>
              <w:ind w:left="102" w:firstLine="0"/>
              <w:contextualSpacing/>
              <w:jc w:val="left"/>
              <w:rPr>
                <w:sz w:val="26"/>
                <w:szCs w:val="26"/>
              </w:rPr>
            </w:pPr>
            <w:r w:rsidRPr="006234AA">
              <w:rPr>
                <w:sz w:val="26"/>
                <w:szCs w:val="26"/>
              </w:rPr>
              <w:t>Nợ dài hạn</w:t>
            </w:r>
          </w:p>
          <w:p w:rsidR="0049588C" w:rsidRPr="006234AA" w:rsidRDefault="0049588C" w:rsidP="00D36937">
            <w:pPr>
              <w:pStyle w:val="ListParagraph"/>
              <w:numPr>
                <w:ilvl w:val="0"/>
                <w:numId w:val="37"/>
              </w:numPr>
              <w:spacing w:after="120"/>
              <w:ind w:left="102" w:firstLine="0"/>
              <w:contextualSpacing/>
              <w:jc w:val="left"/>
              <w:rPr>
                <w:sz w:val="26"/>
                <w:szCs w:val="26"/>
              </w:rPr>
            </w:pPr>
            <w:r w:rsidRPr="006234AA">
              <w:rPr>
                <w:sz w:val="26"/>
                <w:szCs w:val="26"/>
              </w:rPr>
              <w:t>Nợ dài hạn</w:t>
            </w:r>
          </w:p>
          <w:p w:rsidR="0049588C" w:rsidRPr="006234AA" w:rsidRDefault="0049588C" w:rsidP="00D36937">
            <w:pPr>
              <w:pStyle w:val="ListParagraph"/>
              <w:numPr>
                <w:ilvl w:val="0"/>
                <w:numId w:val="37"/>
              </w:numPr>
              <w:spacing w:after="120"/>
              <w:ind w:left="102" w:firstLine="0"/>
              <w:contextualSpacing/>
              <w:jc w:val="left"/>
              <w:rPr>
                <w:sz w:val="26"/>
                <w:szCs w:val="26"/>
              </w:rPr>
            </w:pPr>
            <w:r w:rsidRPr="006234AA">
              <w:rPr>
                <w:sz w:val="26"/>
                <w:szCs w:val="26"/>
              </w:rPr>
              <w:t>Phải trả dài hạn</w:t>
            </w:r>
          </w:p>
        </w:tc>
        <w:tc>
          <w:tcPr>
            <w:tcW w:w="971" w:type="dxa"/>
          </w:tcPr>
          <w:p w:rsidR="0049588C" w:rsidRPr="006234AA" w:rsidRDefault="0049588C" w:rsidP="003C0546">
            <w:pPr>
              <w:spacing w:after="120"/>
              <w:ind w:firstLine="0"/>
              <w:rPr>
                <w:sz w:val="26"/>
                <w:szCs w:val="26"/>
                <w:lang w:val="nl-NL"/>
              </w:rPr>
            </w:pPr>
          </w:p>
        </w:tc>
        <w:tc>
          <w:tcPr>
            <w:tcW w:w="964" w:type="dxa"/>
          </w:tcPr>
          <w:p w:rsidR="0049588C" w:rsidRPr="006234AA" w:rsidRDefault="0049588C" w:rsidP="003C0546">
            <w:pPr>
              <w:spacing w:after="120"/>
              <w:ind w:firstLine="0"/>
              <w:rPr>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6"/>
              </w:numPr>
              <w:spacing w:after="120"/>
              <w:ind w:left="0" w:firstLine="0"/>
              <w:contextualSpacing/>
              <w:jc w:val="left"/>
              <w:rPr>
                <w:sz w:val="26"/>
                <w:szCs w:val="26"/>
              </w:rPr>
            </w:pPr>
            <w:r w:rsidRPr="006234AA">
              <w:rPr>
                <w:sz w:val="26"/>
                <w:szCs w:val="26"/>
              </w:rPr>
              <w:t>Các khoản phải thu ngắn hạn</w:t>
            </w:r>
          </w:p>
          <w:p w:rsidR="0049588C" w:rsidRPr="006234AA" w:rsidRDefault="0049588C" w:rsidP="003C0546">
            <w:pPr>
              <w:spacing w:after="120"/>
              <w:ind w:firstLine="0"/>
              <w:rPr>
                <w:sz w:val="26"/>
                <w:szCs w:val="26"/>
                <w:lang w:val="nl-NL"/>
              </w:rPr>
            </w:pPr>
            <w:r w:rsidRPr="006234AA">
              <w:rPr>
                <w:sz w:val="26"/>
                <w:szCs w:val="26"/>
                <w:lang w:val="nl-NL"/>
              </w:rPr>
              <w:t>- Phải thu ngắn hạn có thời hạn thanh toán còn lại trên 90 ngày</w:t>
            </w:r>
          </w:p>
          <w:p w:rsidR="0049588C" w:rsidRPr="006234AA" w:rsidRDefault="0049588C" w:rsidP="003C0546">
            <w:pPr>
              <w:spacing w:after="120"/>
              <w:ind w:firstLine="0"/>
              <w:rPr>
                <w:sz w:val="26"/>
                <w:szCs w:val="26"/>
                <w:lang w:val="nl-NL"/>
              </w:rPr>
            </w:pPr>
            <w:r w:rsidRPr="006234AA">
              <w:rPr>
                <w:sz w:val="26"/>
                <w:szCs w:val="26"/>
                <w:lang w:val="nl-NL"/>
              </w:rPr>
              <w:t>- Phải thu ngắn hạn có thời hạn thanh toán còn lại từ 90 ngày trở xuống</w:t>
            </w:r>
          </w:p>
          <w:p w:rsidR="0049588C" w:rsidRPr="006234AA" w:rsidRDefault="0049588C" w:rsidP="003C0546">
            <w:pPr>
              <w:spacing w:after="120"/>
              <w:ind w:firstLine="0"/>
              <w:rPr>
                <w:sz w:val="26"/>
                <w:szCs w:val="26"/>
                <w:lang w:val="nl-NL"/>
              </w:rPr>
            </w:pPr>
            <w:r w:rsidRPr="006234AA">
              <w:rPr>
                <w:sz w:val="26"/>
                <w:szCs w:val="26"/>
                <w:lang w:val="nl-NL"/>
              </w:rPr>
              <w:t xml:space="preserve">- Dự phòng các khoản </w:t>
            </w:r>
            <w:r w:rsidRPr="006234AA">
              <w:rPr>
                <w:sz w:val="26"/>
                <w:szCs w:val="26"/>
                <w:lang w:val="nl-NL"/>
              </w:rPr>
              <w:lastRenderedPageBreak/>
              <w:t>phải thu</w:t>
            </w:r>
          </w:p>
        </w:tc>
        <w:tc>
          <w:tcPr>
            <w:tcW w:w="992" w:type="dxa"/>
          </w:tcPr>
          <w:p w:rsidR="0049588C" w:rsidRPr="006234AA" w:rsidRDefault="0049588C" w:rsidP="003C0546">
            <w:pPr>
              <w:spacing w:after="120"/>
              <w:ind w:firstLine="0"/>
              <w:rPr>
                <w:sz w:val="26"/>
                <w:szCs w:val="26"/>
                <w:lang w:val="nl-NL"/>
              </w:rPr>
            </w:pPr>
          </w:p>
        </w:tc>
        <w:tc>
          <w:tcPr>
            <w:tcW w:w="992" w:type="dxa"/>
          </w:tcPr>
          <w:p w:rsidR="0049588C" w:rsidRPr="006234AA" w:rsidRDefault="0049588C" w:rsidP="003C0546">
            <w:pPr>
              <w:spacing w:after="120"/>
              <w:ind w:firstLine="0"/>
              <w:rPr>
                <w:sz w:val="26"/>
                <w:szCs w:val="26"/>
                <w:lang w:val="nl-NL"/>
              </w:rPr>
            </w:pPr>
          </w:p>
        </w:tc>
        <w:tc>
          <w:tcPr>
            <w:tcW w:w="2884" w:type="dxa"/>
          </w:tcPr>
          <w:p w:rsidR="0049588C" w:rsidRPr="006234AA" w:rsidRDefault="0049588C" w:rsidP="00D36937">
            <w:pPr>
              <w:pStyle w:val="ListParagraph"/>
              <w:numPr>
                <w:ilvl w:val="0"/>
                <w:numId w:val="36"/>
              </w:numPr>
              <w:spacing w:after="120"/>
              <w:ind w:left="102" w:firstLine="0"/>
              <w:contextualSpacing/>
              <w:jc w:val="left"/>
              <w:rPr>
                <w:sz w:val="26"/>
                <w:szCs w:val="26"/>
              </w:rPr>
            </w:pPr>
            <w:r w:rsidRPr="006234AA">
              <w:rPr>
                <w:sz w:val="26"/>
                <w:szCs w:val="26"/>
              </w:rPr>
              <w:t>Vốn chủ sở hữu</w:t>
            </w:r>
          </w:p>
          <w:p w:rsidR="0049588C" w:rsidRPr="006234AA" w:rsidRDefault="0049588C" w:rsidP="00D36937">
            <w:pPr>
              <w:pStyle w:val="ListParagraph"/>
              <w:numPr>
                <w:ilvl w:val="0"/>
                <w:numId w:val="37"/>
              </w:numPr>
              <w:spacing w:after="120"/>
              <w:ind w:left="102" w:firstLine="0"/>
              <w:contextualSpacing/>
              <w:jc w:val="left"/>
              <w:rPr>
                <w:sz w:val="26"/>
                <w:szCs w:val="26"/>
              </w:rPr>
            </w:pPr>
            <w:r w:rsidRPr="006234AA">
              <w:rPr>
                <w:sz w:val="26"/>
                <w:szCs w:val="26"/>
              </w:rPr>
              <w:t>Vốn đầu tư của chủ sở hữu</w:t>
            </w:r>
          </w:p>
          <w:p w:rsidR="0049588C" w:rsidRPr="006234AA" w:rsidRDefault="0049588C" w:rsidP="00D36937">
            <w:pPr>
              <w:pStyle w:val="ListParagraph"/>
              <w:numPr>
                <w:ilvl w:val="0"/>
                <w:numId w:val="37"/>
              </w:numPr>
              <w:spacing w:after="120"/>
              <w:ind w:left="102" w:firstLine="0"/>
              <w:contextualSpacing/>
              <w:jc w:val="left"/>
              <w:rPr>
                <w:sz w:val="26"/>
                <w:szCs w:val="26"/>
              </w:rPr>
            </w:pPr>
            <w:r w:rsidRPr="006234AA">
              <w:rPr>
                <w:sz w:val="26"/>
                <w:szCs w:val="26"/>
              </w:rPr>
              <w:t>Thặng dư vốn cổ phần</w:t>
            </w:r>
          </w:p>
          <w:p w:rsidR="0049588C" w:rsidRPr="006234AA" w:rsidRDefault="0049588C" w:rsidP="00D36937">
            <w:pPr>
              <w:pStyle w:val="ListParagraph"/>
              <w:numPr>
                <w:ilvl w:val="0"/>
                <w:numId w:val="37"/>
              </w:numPr>
              <w:spacing w:after="120"/>
              <w:ind w:left="102" w:firstLine="0"/>
              <w:contextualSpacing/>
              <w:jc w:val="left"/>
              <w:rPr>
                <w:sz w:val="26"/>
                <w:szCs w:val="26"/>
              </w:rPr>
            </w:pPr>
            <w:r w:rsidRPr="006234AA">
              <w:rPr>
                <w:sz w:val="26"/>
                <w:szCs w:val="26"/>
              </w:rPr>
              <w:t>Cổ phiếu quỹ</w:t>
            </w:r>
          </w:p>
          <w:p w:rsidR="0049588C" w:rsidRPr="006234AA" w:rsidRDefault="0049588C" w:rsidP="00D36937">
            <w:pPr>
              <w:pStyle w:val="ListParagraph"/>
              <w:numPr>
                <w:ilvl w:val="0"/>
                <w:numId w:val="37"/>
              </w:numPr>
              <w:spacing w:after="120"/>
              <w:ind w:left="102" w:firstLine="0"/>
              <w:contextualSpacing/>
              <w:jc w:val="left"/>
              <w:rPr>
                <w:sz w:val="26"/>
                <w:szCs w:val="26"/>
              </w:rPr>
            </w:pPr>
            <w:r w:rsidRPr="006234AA">
              <w:rPr>
                <w:sz w:val="26"/>
                <w:szCs w:val="26"/>
              </w:rPr>
              <w:t>Quỹ đầu tư phát triển, Quỹ dự phòng tài chính</w:t>
            </w:r>
          </w:p>
          <w:p w:rsidR="0049588C" w:rsidRPr="006234AA" w:rsidRDefault="0049588C" w:rsidP="00D36937">
            <w:pPr>
              <w:pStyle w:val="ListParagraph"/>
              <w:numPr>
                <w:ilvl w:val="0"/>
                <w:numId w:val="37"/>
              </w:numPr>
              <w:spacing w:after="120"/>
              <w:ind w:left="102" w:firstLine="0"/>
              <w:contextualSpacing/>
              <w:jc w:val="left"/>
              <w:rPr>
                <w:sz w:val="26"/>
                <w:szCs w:val="26"/>
              </w:rPr>
            </w:pPr>
            <w:r w:rsidRPr="006234AA">
              <w:rPr>
                <w:sz w:val="26"/>
                <w:szCs w:val="26"/>
              </w:rPr>
              <w:t xml:space="preserve">Lợi nhuận chưa </w:t>
            </w:r>
            <w:r w:rsidRPr="006234AA">
              <w:rPr>
                <w:sz w:val="26"/>
                <w:szCs w:val="26"/>
              </w:rPr>
              <w:lastRenderedPageBreak/>
              <w:t>phân phối</w:t>
            </w:r>
          </w:p>
        </w:tc>
        <w:tc>
          <w:tcPr>
            <w:tcW w:w="971" w:type="dxa"/>
          </w:tcPr>
          <w:p w:rsidR="0049588C" w:rsidRPr="006234AA" w:rsidRDefault="0049588C" w:rsidP="003C0546">
            <w:pPr>
              <w:spacing w:after="120"/>
              <w:ind w:firstLine="0"/>
              <w:rPr>
                <w:sz w:val="26"/>
                <w:szCs w:val="26"/>
                <w:lang w:val="nl-NL"/>
              </w:rPr>
            </w:pPr>
          </w:p>
        </w:tc>
        <w:tc>
          <w:tcPr>
            <w:tcW w:w="964" w:type="dxa"/>
          </w:tcPr>
          <w:p w:rsidR="0049588C" w:rsidRPr="006234AA" w:rsidRDefault="0049588C" w:rsidP="003C0546">
            <w:pPr>
              <w:spacing w:after="120"/>
              <w:ind w:firstLine="0"/>
              <w:rPr>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6"/>
              </w:numPr>
              <w:spacing w:after="120"/>
              <w:ind w:left="0" w:firstLine="0"/>
              <w:contextualSpacing/>
              <w:jc w:val="left"/>
              <w:rPr>
                <w:sz w:val="26"/>
                <w:szCs w:val="26"/>
              </w:rPr>
            </w:pPr>
            <w:r w:rsidRPr="006234AA">
              <w:rPr>
                <w:sz w:val="26"/>
                <w:szCs w:val="26"/>
              </w:rPr>
              <w:lastRenderedPageBreak/>
              <w:t>Hàng tồn kho</w:t>
            </w:r>
          </w:p>
        </w:tc>
        <w:tc>
          <w:tcPr>
            <w:tcW w:w="992" w:type="dxa"/>
          </w:tcPr>
          <w:p w:rsidR="0049588C" w:rsidRPr="006234AA" w:rsidRDefault="0049588C" w:rsidP="003C0546">
            <w:pPr>
              <w:spacing w:after="120"/>
              <w:ind w:firstLine="0"/>
              <w:rPr>
                <w:sz w:val="26"/>
                <w:szCs w:val="26"/>
                <w:lang w:val="nl-NL"/>
              </w:rPr>
            </w:pPr>
          </w:p>
        </w:tc>
        <w:tc>
          <w:tcPr>
            <w:tcW w:w="992" w:type="dxa"/>
          </w:tcPr>
          <w:p w:rsidR="0049588C" w:rsidRPr="006234AA" w:rsidRDefault="0049588C" w:rsidP="003C0546">
            <w:pPr>
              <w:spacing w:after="120"/>
              <w:ind w:firstLine="0"/>
              <w:rPr>
                <w:sz w:val="26"/>
                <w:szCs w:val="26"/>
                <w:lang w:val="nl-NL"/>
              </w:rPr>
            </w:pPr>
          </w:p>
        </w:tc>
        <w:tc>
          <w:tcPr>
            <w:tcW w:w="2884" w:type="dxa"/>
          </w:tcPr>
          <w:p w:rsidR="0049588C" w:rsidRPr="006234AA" w:rsidRDefault="0049588C" w:rsidP="003C0546">
            <w:pPr>
              <w:spacing w:after="120"/>
              <w:ind w:left="102" w:firstLine="0"/>
              <w:rPr>
                <w:sz w:val="26"/>
                <w:szCs w:val="26"/>
                <w:lang w:val="nl-NL"/>
              </w:rPr>
            </w:pPr>
          </w:p>
        </w:tc>
        <w:tc>
          <w:tcPr>
            <w:tcW w:w="971" w:type="dxa"/>
          </w:tcPr>
          <w:p w:rsidR="0049588C" w:rsidRPr="006234AA" w:rsidRDefault="0049588C" w:rsidP="003C0546">
            <w:pPr>
              <w:spacing w:after="120"/>
              <w:ind w:firstLine="0"/>
              <w:rPr>
                <w:sz w:val="26"/>
                <w:szCs w:val="26"/>
                <w:lang w:val="nl-NL"/>
              </w:rPr>
            </w:pPr>
          </w:p>
        </w:tc>
        <w:tc>
          <w:tcPr>
            <w:tcW w:w="964" w:type="dxa"/>
          </w:tcPr>
          <w:p w:rsidR="0049588C" w:rsidRPr="006234AA" w:rsidRDefault="0049588C" w:rsidP="003C0546">
            <w:pPr>
              <w:spacing w:after="120"/>
              <w:ind w:firstLine="0"/>
              <w:rPr>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6"/>
              </w:numPr>
              <w:spacing w:after="120"/>
              <w:ind w:left="0" w:firstLine="0"/>
              <w:contextualSpacing/>
              <w:jc w:val="left"/>
              <w:rPr>
                <w:sz w:val="26"/>
                <w:szCs w:val="26"/>
              </w:rPr>
            </w:pPr>
            <w:r w:rsidRPr="006234AA">
              <w:rPr>
                <w:sz w:val="26"/>
                <w:szCs w:val="26"/>
              </w:rPr>
              <w:t>Tài sản ngắn hạn khác</w:t>
            </w:r>
          </w:p>
        </w:tc>
        <w:tc>
          <w:tcPr>
            <w:tcW w:w="992" w:type="dxa"/>
          </w:tcPr>
          <w:p w:rsidR="0049588C" w:rsidRPr="006234AA" w:rsidRDefault="0049588C" w:rsidP="003C0546">
            <w:pPr>
              <w:spacing w:after="120"/>
              <w:ind w:firstLine="0"/>
              <w:rPr>
                <w:sz w:val="26"/>
                <w:szCs w:val="26"/>
                <w:lang w:val="nl-NL"/>
              </w:rPr>
            </w:pPr>
          </w:p>
        </w:tc>
        <w:tc>
          <w:tcPr>
            <w:tcW w:w="992" w:type="dxa"/>
          </w:tcPr>
          <w:p w:rsidR="0049588C" w:rsidRPr="006234AA" w:rsidRDefault="0049588C" w:rsidP="003C0546">
            <w:pPr>
              <w:spacing w:after="120"/>
              <w:ind w:firstLine="0"/>
              <w:rPr>
                <w:sz w:val="26"/>
                <w:szCs w:val="26"/>
                <w:lang w:val="nl-NL"/>
              </w:rPr>
            </w:pPr>
          </w:p>
        </w:tc>
        <w:tc>
          <w:tcPr>
            <w:tcW w:w="2884" w:type="dxa"/>
          </w:tcPr>
          <w:p w:rsidR="0049588C" w:rsidRPr="006234AA" w:rsidRDefault="0049588C" w:rsidP="003C0546">
            <w:pPr>
              <w:spacing w:after="120"/>
              <w:ind w:left="102" w:firstLine="0"/>
              <w:rPr>
                <w:sz w:val="26"/>
                <w:szCs w:val="26"/>
                <w:lang w:val="nl-NL"/>
              </w:rPr>
            </w:pPr>
          </w:p>
        </w:tc>
        <w:tc>
          <w:tcPr>
            <w:tcW w:w="971" w:type="dxa"/>
          </w:tcPr>
          <w:p w:rsidR="0049588C" w:rsidRPr="006234AA" w:rsidRDefault="0049588C" w:rsidP="003C0546">
            <w:pPr>
              <w:spacing w:after="120"/>
              <w:ind w:firstLine="0"/>
              <w:rPr>
                <w:sz w:val="26"/>
                <w:szCs w:val="26"/>
                <w:lang w:val="nl-NL"/>
              </w:rPr>
            </w:pPr>
          </w:p>
        </w:tc>
        <w:tc>
          <w:tcPr>
            <w:tcW w:w="964" w:type="dxa"/>
          </w:tcPr>
          <w:p w:rsidR="0049588C" w:rsidRPr="006234AA" w:rsidRDefault="0049588C" w:rsidP="003C0546">
            <w:pPr>
              <w:spacing w:after="120"/>
              <w:ind w:firstLine="0"/>
              <w:rPr>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2"/>
              </w:numPr>
              <w:spacing w:after="120"/>
              <w:ind w:left="0" w:firstLine="0"/>
              <w:contextualSpacing/>
              <w:jc w:val="left"/>
              <w:rPr>
                <w:b/>
                <w:sz w:val="26"/>
                <w:szCs w:val="26"/>
              </w:rPr>
            </w:pPr>
            <w:r w:rsidRPr="006234AA">
              <w:rPr>
                <w:b/>
                <w:sz w:val="26"/>
                <w:szCs w:val="26"/>
              </w:rPr>
              <w:t>Tài sản dài hạn</w:t>
            </w:r>
          </w:p>
        </w:tc>
        <w:tc>
          <w:tcPr>
            <w:tcW w:w="992" w:type="dxa"/>
          </w:tcPr>
          <w:p w:rsidR="0049588C" w:rsidRPr="006234AA" w:rsidRDefault="0049588C" w:rsidP="003C0546">
            <w:pPr>
              <w:spacing w:after="120"/>
              <w:ind w:firstLine="0"/>
              <w:rPr>
                <w:b/>
                <w:sz w:val="26"/>
                <w:szCs w:val="26"/>
                <w:lang w:val="nl-NL"/>
              </w:rPr>
            </w:pPr>
          </w:p>
        </w:tc>
        <w:tc>
          <w:tcPr>
            <w:tcW w:w="992" w:type="dxa"/>
          </w:tcPr>
          <w:p w:rsidR="0049588C" w:rsidRPr="006234AA" w:rsidRDefault="0049588C" w:rsidP="003C0546">
            <w:pPr>
              <w:spacing w:after="120"/>
              <w:ind w:firstLine="0"/>
              <w:rPr>
                <w:b/>
                <w:sz w:val="26"/>
                <w:szCs w:val="26"/>
                <w:lang w:val="nl-NL"/>
              </w:rPr>
            </w:pPr>
          </w:p>
        </w:tc>
        <w:tc>
          <w:tcPr>
            <w:tcW w:w="2884" w:type="dxa"/>
          </w:tcPr>
          <w:p w:rsidR="0049588C" w:rsidRPr="006234AA" w:rsidRDefault="0049588C" w:rsidP="003C0546">
            <w:pPr>
              <w:spacing w:after="120"/>
              <w:ind w:left="102" w:firstLine="0"/>
              <w:rPr>
                <w:b/>
                <w:sz w:val="26"/>
                <w:szCs w:val="26"/>
                <w:lang w:val="nl-NL"/>
              </w:rPr>
            </w:pPr>
          </w:p>
        </w:tc>
        <w:tc>
          <w:tcPr>
            <w:tcW w:w="971" w:type="dxa"/>
          </w:tcPr>
          <w:p w:rsidR="0049588C" w:rsidRPr="006234AA" w:rsidRDefault="0049588C" w:rsidP="003C0546">
            <w:pPr>
              <w:spacing w:after="120"/>
              <w:ind w:firstLine="0"/>
              <w:rPr>
                <w:b/>
                <w:sz w:val="26"/>
                <w:szCs w:val="26"/>
                <w:lang w:val="nl-NL"/>
              </w:rPr>
            </w:pPr>
          </w:p>
        </w:tc>
        <w:tc>
          <w:tcPr>
            <w:tcW w:w="964" w:type="dxa"/>
          </w:tcPr>
          <w:p w:rsidR="0049588C" w:rsidRPr="006234AA" w:rsidRDefault="0049588C" w:rsidP="003C0546">
            <w:pPr>
              <w:spacing w:after="120"/>
              <w:ind w:firstLine="0"/>
              <w:rPr>
                <w:b/>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4"/>
              </w:numPr>
              <w:spacing w:after="120"/>
              <w:ind w:left="0" w:firstLine="0"/>
              <w:contextualSpacing/>
              <w:jc w:val="left"/>
              <w:rPr>
                <w:sz w:val="26"/>
                <w:szCs w:val="26"/>
              </w:rPr>
            </w:pPr>
            <w:r w:rsidRPr="006234AA">
              <w:rPr>
                <w:sz w:val="26"/>
                <w:szCs w:val="26"/>
              </w:rPr>
              <w:t>Các khoản phải thu dài hạn</w:t>
            </w:r>
          </w:p>
        </w:tc>
        <w:tc>
          <w:tcPr>
            <w:tcW w:w="992" w:type="dxa"/>
          </w:tcPr>
          <w:p w:rsidR="0049588C" w:rsidRPr="006234AA" w:rsidRDefault="0049588C" w:rsidP="003C0546">
            <w:pPr>
              <w:spacing w:after="120"/>
              <w:ind w:firstLine="0"/>
              <w:rPr>
                <w:sz w:val="26"/>
                <w:szCs w:val="26"/>
                <w:lang w:val="nl-NL"/>
              </w:rPr>
            </w:pPr>
          </w:p>
        </w:tc>
        <w:tc>
          <w:tcPr>
            <w:tcW w:w="992" w:type="dxa"/>
          </w:tcPr>
          <w:p w:rsidR="0049588C" w:rsidRPr="006234AA" w:rsidRDefault="0049588C" w:rsidP="003C0546">
            <w:pPr>
              <w:spacing w:after="120"/>
              <w:ind w:firstLine="0"/>
              <w:rPr>
                <w:sz w:val="26"/>
                <w:szCs w:val="26"/>
                <w:lang w:val="nl-NL"/>
              </w:rPr>
            </w:pPr>
          </w:p>
        </w:tc>
        <w:tc>
          <w:tcPr>
            <w:tcW w:w="2884" w:type="dxa"/>
          </w:tcPr>
          <w:p w:rsidR="0049588C" w:rsidRPr="006234AA" w:rsidRDefault="0049588C" w:rsidP="003C0546">
            <w:pPr>
              <w:spacing w:after="120"/>
              <w:ind w:left="102" w:firstLine="0"/>
              <w:rPr>
                <w:sz w:val="26"/>
                <w:szCs w:val="26"/>
                <w:lang w:val="nl-NL"/>
              </w:rPr>
            </w:pPr>
          </w:p>
        </w:tc>
        <w:tc>
          <w:tcPr>
            <w:tcW w:w="971" w:type="dxa"/>
          </w:tcPr>
          <w:p w:rsidR="0049588C" w:rsidRPr="006234AA" w:rsidRDefault="0049588C" w:rsidP="003C0546">
            <w:pPr>
              <w:spacing w:after="120"/>
              <w:ind w:firstLine="0"/>
              <w:rPr>
                <w:sz w:val="26"/>
                <w:szCs w:val="26"/>
                <w:lang w:val="nl-NL"/>
              </w:rPr>
            </w:pPr>
          </w:p>
        </w:tc>
        <w:tc>
          <w:tcPr>
            <w:tcW w:w="964" w:type="dxa"/>
          </w:tcPr>
          <w:p w:rsidR="0049588C" w:rsidRPr="006234AA" w:rsidRDefault="0049588C" w:rsidP="003C0546">
            <w:pPr>
              <w:spacing w:after="120"/>
              <w:ind w:firstLine="0"/>
              <w:rPr>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4"/>
              </w:numPr>
              <w:spacing w:after="120"/>
              <w:ind w:left="0" w:firstLine="0"/>
              <w:contextualSpacing/>
              <w:jc w:val="left"/>
              <w:rPr>
                <w:sz w:val="26"/>
                <w:szCs w:val="26"/>
              </w:rPr>
            </w:pPr>
            <w:r w:rsidRPr="006234AA">
              <w:rPr>
                <w:sz w:val="26"/>
                <w:szCs w:val="26"/>
              </w:rPr>
              <w:t>Tài sản cố định</w:t>
            </w:r>
          </w:p>
        </w:tc>
        <w:tc>
          <w:tcPr>
            <w:tcW w:w="992" w:type="dxa"/>
          </w:tcPr>
          <w:p w:rsidR="0049588C" w:rsidRPr="006234AA" w:rsidRDefault="0049588C" w:rsidP="003C0546">
            <w:pPr>
              <w:spacing w:after="120"/>
              <w:ind w:firstLine="0"/>
              <w:rPr>
                <w:sz w:val="26"/>
                <w:szCs w:val="26"/>
                <w:lang w:val="nl-NL"/>
              </w:rPr>
            </w:pPr>
          </w:p>
        </w:tc>
        <w:tc>
          <w:tcPr>
            <w:tcW w:w="992" w:type="dxa"/>
          </w:tcPr>
          <w:p w:rsidR="0049588C" w:rsidRPr="006234AA" w:rsidRDefault="0049588C" w:rsidP="003C0546">
            <w:pPr>
              <w:spacing w:after="120"/>
              <w:ind w:firstLine="0"/>
              <w:rPr>
                <w:sz w:val="26"/>
                <w:szCs w:val="26"/>
                <w:lang w:val="nl-NL"/>
              </w:rPr>
            </w:pPr>
          </w:p>
        </w:tc>
        <w:tc>
          <w:tcPr>
            <w:tcW w:w="2884" w:type="dxa"/>
          </w:tcPr>
          <w:p w:rsidR="0049588C" w:rsidRPr="006234AA" w:rsidRDefault="0049588C" w:rsidP="003C0546">
            <w:pPr>
              <w:spacing w:after="120"/>
              <w:ind w:left="102" w:firstLine="0"/>
              <w:rPr>
                <w:sz w:val="26"/>
                <w:szCs w:val="26"/>
                <w:lang w:val="nl-NL"/>
              </w:rPr>
            </w:pPr>
          </w:p>
        </w:tc>
        <w:tc>
          <w:tcPr>
            <w:tcW w:w="971" w:type="dxa"/>
          </w:tcPr>
          <w:p w:rsidR="0049588C" w:rsidRPr="006234AA" w:rsidRDefault="0049588C" w:rsidP="003C0546">
            <w:pPr>
              <w:spacing w:after="120"/>
              <w:ind w:firstLine="0"/>
              <w:rPr>
                <w:sz w:val="26"/>
                <w:szCs w:val="26"/>
                <w:lang w:val="nl-NL"/>
              </w:rPr>
            </w:pPr>
          </w:p>
        </w:tc>
        <w:tc>
          <w:tcPr>
            <w:tcW w:w="964" w:type="dxa"/>
          </w:tcPr>
          <w:p w:rsidR="0049588C" w:rsidRPr="006234AA" w:rsidRDefault="0049588C" w:rsidP="003C0546">
            <w:pPr>
              <w:spacing w:after="120"/>
              <w:ind w:firstLine="0"/>
              <w:rPr>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4"/>
              </w:numPr>
              <w:spacing w:after="120"/>
              <w:ind w:left="0" w:firstLine="0"/>
              <w:contextualSpacing/>
              <w:jc w:val="left"/>
              <w:rPr>
                <w:sz w:val="26"/>
                <w:szCs w:val="26"/>
              </w:rPr>
            </w:pPr>
            <w:r w:rsidRPr="006234AA">
              <w:rPr>
                <w:sz w:val="26"/>
                <w:szCs w:val="26"/>
              </w:rPr>
              <w:t>Bất động sản đầu tư</w:t>
            </w:r>
          </w:p>
        </w:tc>
        <w:tc>
          <w:tcPr>
            <w:tcW w:w="992" w:type="dxa"/>
          </w:tcPr>
          <w:p w:rsidR="0049588C" w:rsidRPr="006234AA" w:rsidRDefault="0049588C" w:rsidP="003C0546">
            <w:pPr>
              <w:spacing w:after="120"/>
              <w:ind w:firstLine="0"/>
              <w:rPr>
                <w:sz w:val="26"/>
                <w:szCs w:val="26"/>
                <w:lang w:val="nl-NL"/>
              </w:rPr>
            </w:pPr>
          </w:p>
        </w:tc>
        <w:tc>
          <w:tcPr>
            <w:tcW w:w="992" w:type="dxa"/>
          </w:tcPr>
          <w:p w:rsidR="0049588C" w:rsidRPr="006234AA" w:rsidRDefault="0049588C" w:rsidP="003C0546">
            <w:pPr>
              <w:spacing w:after="120"/>
              <w:ind w:firstLine="0"/>
              <w:rPr>
                <w:sz w:val="26"/>
                <w:szCs w:val="26"/>
                <w:lang w:val="nl-NL"/>
              </w:rPr>
            </w:pPr>
          </w:p>
        </w:tc>
        <w:tc>
          <w:tcPr>
            <w:tcW w:w="2884" w:type="dxa"/>
          </w:tcPr>
          <w:p w:rsidR="0049588C" w:rsidRPr="006234AA" w:rsidRDefault="0049588C" w:rsidP="003C0546">
            <w:pPr>
              <w:spacing w:after="120"/>
              <w:ind w:left="102" w:firstLine="0"/>
              <w:rPr>
                <w:sz w:val="26"/>
                <w:szCs w:val="26"/>
                <w:lang w:val="nl-NL"/>
              </w:rPr>
            </w:pPr>
          </w:p>
        </w:tc>
        <w:tc>
          <w:tcPr>
            <w:tcW w:w="971" w:type="dxa"/>
          </w:tcPr>
          <w:p w:rsidR="0049588C" w:rsidRPr="006234AA" w:rsidRDefault="0049588C" w:rsidP="003C0546">
            <w:pPr>
              <w:spacing w:after="120"/>
              <w:ind w:firstLine="0"/>
              <w:rPr>
                <w:sz w:val="26"/>
                <w:szCs w:val="26"/>
                <w:lang w:val="nl-NL"/>
              </w:rPr>
            </w:pPr>
          </w:p>
        </w:tc>
        <w:tc>
          <w:tcPr>
            <w:tcW w:w="964" w:type="dxa"/>
          </w:tcPr>
          <w:p w:rsidR="0049588C" w:rsidRPr="006234AA" w:rsidRDefault="0049588C" w:rsidP="003C0546">
            <w:pPr>
              <w:spacing w:after="120"/>
              <w:ind w:firstLine="0"/>
              <w:rPr>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4"/>
              </w:numPr>
              <w:spacing w:after="120"/>
              <w:ind w:left="0" w:firstLine="0"/>
              <w:contextualSpacing/>
              <w:jc w:val="left"/>
              <w:rPr>
                <w:sz w:val="26"/>
                <w:szCs w:val="26"/>
              </w:rPr>
            </w:pPr>
            <w:r w:rsidRPr="006234AA">
              <w:rPr>
                <w:sz w:val="26"/>
                <w:szCs w:val="26"/>
              </w:rPr>
              <w:t xml:space="preserve">Các khoản đầu tư tài chính dài hạn </w:t>
            </w:r>
          </w:p>
          <w:p w:rsidR="0049588C" w:rsidRPr="006234AA" w:rsidRDefault="0049588C" w:rsidP="003C0546">
            <w:pPr>
              <w:spacing w:after="120"/>
              <w:ind w:firstLine="0"/>
              <w:rPr>
                <w:sz w:val="26"/>
                <w:szCs w:val="26"/>
                <w:lang w:val="nl-NL"/>
              </w:rPr>
            </w:pPr>
            <w:r w:rsidRPr="006234AA">
              <w:rPr>
                <w:sz w:val="26"/>
                <w:szCs w:val="26"/>
                <w:lang w:val="nl-NL"/>
              </w:rPr>
              <w:t xml:space="preserve">- Đầu tư vào công ty con </w:t>
            </w:r>
          </w:p>
          <w:p w:rsidR="0049588C" w:rsidRPr="006234AA" w:rsidRDefault="0049588C" w:rsidP="003C0546">
            <w:pPr>
              <w:spacing w:after="120"/>
              <w:ind w:firstLine="0"/>
              <w:rPr>
                <w:sz w:val="26"/>
                <w:szCs w:val="26"/>
                <w:lang w:val="nl-NL"/>
              </w:rPr>
            </w:pPr>
            <w:r w:rsidRPr="006234AA">
              <w:rPr>
                <w:sz w:val="26"/>
                <w:szCs w:val="26"/>
                <w:lang w:val="nl-NL"/>
              </w:rPr>
              <w:t>- Đầu tư vào công ty liên doanh, liên kết</w:t>
            </w:r>
          </w:p>
          <w:p w:rsidR="0049588C" w:rsidRPr="006234AA" w:rsidRDefault="0049588C" w:rsidP="003C0546">
            <w:pPr>
              <w:spacing w:after="120"/>
              <w:ind w:firstLine="0"/>
              <w:rPr>
                <w:sz w:val="26"/>
                <w:szCs w:val="26"/>
                <w:lang w:val="nl-NL"/>
              </w:rPr>
            </w:pPr>
            <w:r w:rsidRPr="006234AA">
              <w:rPr>
                <w:sz w:val="26"/>
                <w:szCs w:val="26"/>
                <w:lang w:val="nl-NL"/>
              </w:rPr>
              <w:t>- Đầu tư tài chính dài hạn</w:t>
            </w:r>
          </w:p>
          <w:p w:rsidR="0049588C" w:rsidRPr="006234AA" w:rsidRDefault="0049588C" w:rsidP="003C0546">
            <w:pPr>
              <w:spacing w:after="120"/>
              <w:ind w:firstLine="0"/>
              <w:rPr>
                <w:sz w:val="26"/>
                <w:szCs w:val="26"/>
                <w:lang w:val="nl-NL"/>
              </w:rPr>
            </w:pPr>
            <w:r w:rsidRPr="006234AA">
              <w:rPr>
                <w:sz w:val="26"/>
                <w:szCs w:val="26"/>
                <w:lang w:val="nl-NL"/>
              </w:rPr>
              <w:t>- Đầu tư dài hạn khác</w:t>
            </w:r>
          </w:p>
          <w:p w:rsidR="0049588C" w:rsidRPr="006234AA" w:rsidRDefault="0049588C" w:rsidP="003C0546">
            <w:pPr>
              <w:spacing w:after="120"/>
              <w:ind w:firstLine="0"/>
              <w:rPr>
                <w:sz w:val="26"/>
                <w:szCs w:val="26"/>
                <w:lang w:val="nl-NL"/>
              </w:rPr>
            </w:pPr>
            <w:r w:rsidRPr="006234AA">
              <w:rPr>
                <w:sz w:val="26"/>
                <w:szCs w:val="26"/>
                <w:lang w:val="nl-NL"/>
              </w:rPr>
              <w:t>- Dự phòng đầu tư tài chính dài hạn</w:t>
            </w:r>
          </w:p>
        </w:tc>
        <w:tc>
          <w:tcPr>
            <w:tcW w:w="992" w:type="dxa"/>
          </w:tcPr>
          <w:p w:rsidR="0049588C" w:rsidRPr="006234AA" w:rsidRDefault="0049588C" w:rsidP="003C0546">
            <w:pPr>
              <w:spacing w:after="120"/>
              <w:ind w:firstLine="0"/>
              <w:rPr>
                <w:sz w:val="26"/>
                <w:szCs w:val="26"/>
                <w:lang w:val="nl-NL"/>
              </w:rPr>
            </w:pPr>
          </w:p>
        </w:tc>
        <w:tc>
          <w:tcPr>
            <w:tcW w:w="992" w:type="dxa"/>
          </w:tcPr>
          <w:p w:rsidR="0049588C" w:rsidRPr="006234AA" w:rsidRDefault="0049588C" w:rsidP="003C0546">
            <w:pPr>
              <w:spacing w:after="120"/>
              <w:ind w:firstLine="0"/>
              <w:rPr>
                <w:sz w:val="26"/>
                <w:szCs w:val="26"/>
                <w:lang w:val="nl-NL"/>
              </w:rPr>
            </w:pPr>
          </w:p>
        </w:tc>
        <w:tc>
          <w:tcPr>
            <w:tcW w:w="2884" w:type="dxa"/>
          </w:tcPr>
          <w:p w:rsidR="0049588C" w:rsidRPr="006234AA" w:rsidRDefault="0049588C" w:rsidP="003C0546">
            <w:pPr>
              <w:spacing w:after="120"/>
              <w:ind w:left="102" w:firstLine="0"/>
              <w:rPr>
                <w:sz w:val="26"/>
                <w:szCs w:val="26"/>
                <w:lang w:val="nl-NL"/>
              </w:rPr>
            </w:pPr>
          </w:p>
        </w:tc>
        <w:tc>
          <w:tcPr>
            <w:tcW w:w="971" w:type="dxa"/>
          </w:tcPr>
          <w:p w:rsidR="0049588C" w:rsidRPr="006234AA" w:rsidRDefault="0049588C" w:rsidP="003C0546">
            <w:pPr>
              <w:spacing w:after="120"/>
              <w:ind w:firstLine="0"/>
              <w:rPr>
                <w:sz w:val="26"/>
                <w:szCs w:val="26"/>
                <w:lang w:val="nl-NL"/>
              </w:rPr>
            </w:pPr>
          </w:p>
        </w:tc>
        <w:tc>
          <w:tcPr>
            <w:tcW w:w="964" w:type="dxa"/>
          </w:tcPr>
          <w:p w:rsidR="0049588C" w:rsidRPr="006234AA" w:rsidRDefault="0049588C" w:rsidP="003C0546">
            <w:pPr>
              <w:spacing w:after="120"/>
              <w:ind w:firstLine="0"/>
              <w:rPr>
                <w:sz w:val="26"/>
                <w:szCs w:val="26"/>
                <w:lang w:val="nl-NL"/>
              </w:rPr>
            </w:pPr>
          </w:p>
        </w:tc>
      </w:tr>
      <w:tr w:rsidR="0049588C" w:rsidRPr="006234AA" w:rsidTr="00A15B69">
        <w:tc>
          <w:tcPr>
            <w:tcW w:w="2802" w:type="dxa"/>
          </w:tcPr>
          <w:p w:rsidR="0049588C" w:rsidRPr="006234AA" w:rsidRDefault="0049588C" w:rsidP="00D36937">
            <w:pPr>
              <w:pStyle w:val="ListParagraph"/>
              <w:numPr>
                <w:ilvl w:val="0"/>
                <w:numId w:val="34"/>
              </w:numPr>
              <w:spacing w:after="120"/>
              <w:ind w:left="0" w:firstLine="0"/>
              <w:contextualSpacing/>
              <w:jc w:val="left"/>
              <w:rPr>
                <w:sz w:val="26"/>
                <w:szCs w:val="26"/>
              </w:rPr>
            </w:pPr>
            <w:r w:rsidRPr="006234AA">
              <w:rPr>
                <w:sz w:val="26"/>
                <w:szCs w:val="26"/>
              </w:rPr>
              <w:t>Tài sản dài hạn khác</w:t>
            </w:r>
          </w:p>
        </w:tc>
        <w:tc>
          <w:tcPr>
            <w:tcW w:w="992" w:type="dxa"/>
          </w:tcPr>
          <w:p w:rsidR="0049588C" w:rsidRPr="006234AA" w:rsidRDefault="0049588C" w:rsidP="003C0546">
            <w:pPr>
              <w:spacing w:after="120"/>
              <w:ind w:firstLine="0"/>
              <w:rPr>
                <w:sz w:val="26"/>
                <w:szCs w:val="26"/>
                <w:lang w:val="nl-NL"/>
              </w:rPr>
            </w:pPr>
          </w:p>
        </w:tc>
        <w:tc>
          <w:tcPr>
            <w:tcW w:w="992" w:type="dxa"/>
          </w:tcPr>
          <w:p w:rsidR="0049588C" w:rsidRPr="006234AA" w:rsidRDefault="0049588C" w:rsidP="003C0546">
            <w:pPr>
              <w:spacing w:after="120"/>
              <w:ind w:firstLine="0"/>
              <w:rPr>
                <w:sz w:val="26"/>
                <w:szCs w:val="26"/>
                <w:lang w:val="nl-NL"/>
              </w:rPr>
            </w:pPr>
          </w:p>
        </w:tc>
        <w:tc>
          <w:tcPr>
            <w:tcW w:w="2884" w:type="dxa"/>
          </w:tcPr>
          <w:p w:rsidR="0049588C" w:rsidRPr="006234AA" w:rsidRDefault="0049588C" w:rsidP="003C0546">
            <w:pPr>
              <w:spacing w:after="120"/>
              <w:ind w:left="102" w:firstLine="0"/>
              <w:rPr>
                <w:sz w:val="26"/>
                <w:szCs w:val="26"/>
                <w:lang w:val="nl-NL"/>
              </w:rPr>
            </w:pPr>
          </w:p>
        </w:tc>
        <w:tc>
          <w:tcPr>
            <w:tcW w:w="971" w:type="dxa"/>
          </w:tcPr>
          <w:p w:rsidR="0049588C" w:rsidRPr="006234AA" w:rsidRDefault="0049588C" w:rsidP="003C0546">
            <w:pPr>
              <w:spacing w:after="120"/>
              <w:ind w:firstLine="0"/>
              <w:rPr>
                <w:sz w:val="26"/>
                <w:szCs w:val="26"/>
                <w:lang w:val="nl-NL"/>
              </w:rPr>
            </w:pPr>
          </w:p>
        </w:tc>
        <w:tc>
          <w:tcPr>
            <w:tcW w:w="964" w:type="dxa"/>
          </w:tcPr>
          <w:p w:rsidR="0049588C" w:rsidRPr="006234AA" w:rsidRDefault="0049588C" w:rsidP="003C0546">
            <w:pPr>
              <w:spacing w:after="120"/>
              <w:ind w:firstLine="0"/>
              <w:rPr>
                <w:sz w:val="26"/>
                <w:szCs w:val="26"/>
                <w:lang w:val="nl-NL"/>
              </w:rPr>
            </w:pPr>
          </w:p>
        </w:tc>
      </w:tr>
      <w:tr w:rsidR="0049588C" w:rsidRPr="006234AA" w:rsidTr="00A15B69">
        <w:tc>
          <w:tcPr>
            <w:tcW w:w="2802" w:type="dxa"/>
          </w:tcPr>
          <w:p w:rsidR="0049588C" w:rsidRPr="006234AA" w:rsidRDefault="0049588C" w:rsidP="003C0546">
            <w:pPr>
              <w:spacing w:after="120"/>
              <w:ind w:firstLine="0"/>
              <w:rPr>
                <w:b/>
                <w:sz w:val="26"/>
                <w:szCs w:val="26"/>
                <w:lang w:val="nl-NL"/>
              </w:rPr>
            </w:pPr>
            <w:r w:rsidRPr="006234AA">
              <w:rPr>
                <w:b/>
                <w:sz w:val="26"/>
                <w:szCs w:val="26"/>
                <w:lang w:val="nl-NL"/>
              </w:rPr>
              <w:t>Tổng tài sản</w:t>
            </w:r>
          </w:p>
        </w:tc>
        <w:tc>
          <w:tcPr>
            <w:tcW w:w="992" w:type="dxa"/>
          </w:tcPr>
          <w:p w:rsidR="0049588C" w:rsidRPr="006234AA" w:rsidRDefault="0049588C" w:rsidP="003C0546">
            <w:pPr>
              <w:spacing w:after="120"/>
              <w:ind w:firstLine="0"/>
              <w:rPr>
                <w:b/>
                <w:sz w:val="26"/>
                <w:szCs w:val="26"/>
                <w:lang w:val="nl-NL"/>
              </w:rPr>
            </w:pPr>
          </w:p>
        </w:tc>
        <w:tc>
          <w:tcPr>
            <w:tcW w:w="992" w:type="dxa"/>
          </w:tcPr>
          <w:p w:rsidR="0049588C" w:rsidRPr="006234AA" w:rsidRDefault="0049588C" w:rsidP="003C0546">
            <w:pPr>
              <w:spacing w:after="120"/>
              <w:ind w:firstLine="0"/>
              <w:rPr>
                <w:b/>
                <w:sz w:val="26"/>
                <w:szCs w:val="26"/>
                <w:lang w:val="nl-NL"/>
              </w:rPr>
            </w:pPr>
          </w:p>
        </w:tc>
        <w:tc>
          <w:tcPr>
            <w:tcW w:w="2884" w:type="dxa"/>
          </w:tcPr>
          <w:p w:rsidR="0049588C" w:rsidRPr="006234AA" w:rsidRDefault="0049588C" w:rsidP="003C0546">
            <w:pPr>
              <w:spacing w:after="120"/>
              <w:ind w:left="102" w:firstLine="0"/>
              <w:rPr>
                <w:b/>
                <w:sz w:val="26"/>
                <w:szCs w:val="26"/>
                <w:lang w:val="nl-NL"/>
              </w:rPr>
            </w:pPr>
            <w:r w:rsidRPr="006234AA">
              <w:rPr>
                <w:b/>
                <w:sz w:val="26"/>
                <w:szCs w:val="26"/>
                <w:lang w:val="nl-NL"/>
              </w:rPr>
              <w:t>Tổng nguồn vốn</w:t>
            </w:r>
          </w:p>
        </w:tc>
        <w:tc>
          <w:tcPr>
            <w:tcW w:w="971" w:type="dxa"/>
          </w:tcPr>
          <w:p w:rsidR="0049588C" w:rsidRPr="006234AA" w:rsidRDefault="0049588C" w:rsidP="003C0546">
            <w:pPr>
              <w:spacing w:after="120"/>
              <w:ind w:firstLine="0"/>
              <w:rPr>
                <w:b/>
                <w:sz w:val="26"/>
                <w:szCs w:val="26"/>
                <w:lang w:val="nl-NL"/>
              </w:rPr>
            </w:pPr>
          </w:p>
        </w:tc>
        <w:tc>
          <w:tcPr>
            <w:tcW w:w="964" w:type="dxa"/>
          </w:tcPr>
          <w:p w:rsidR="0049588C" w:rsidRPr="006234AA" w:rsidRDefault="0049588C" w:rsidP="003C0546">
            <w:pPr>
              <w:spacing w:after="120"/>
              <w:ind w:firstLine="0"/>
              <w:rPr>
                <w:b/>
                <w:sz w:val="26"/>
                <w:szCs w:val="26"/>
                <w:lang w:val="nl-NL"/>
              </w:rPr>
            </w:pPr>
          </w:p>
        </w:tc>
      </w:tr>
    </w:tbl>
    <w:p w:rsidR="0049588C" w:rsidRPr="006234AA" w:rsidRDefault="0049588C" w:rsidP="003C0546">
      <w:pPr>
        <w:spacing w:after="120"/>
        <w:rPr>
          <w:lang w:val="nl-NL"/>
        </w:rPr>
      </w:pPr>
    </w:p>
    <w:p w:rsidR="0049588C" w:rsidRPr="006234AA" w:rsidRDefault="0049588C" w:rsidP="00D36937">
      <w:pPr>
        <w:numPr>
          <w:ilvl w:val="3"/>
          <w:numId w:val="28"/>
        </w:numPr>
        <w:spacing w:after="120"/>
        <w:ind w:left="0" w:firstLine="142"/>
        <w:jc w:val="left"/>
        <w:rPr>
          <w:b/>
          <w:lang w:val="nl-NL"/>
        </w:rPr>
      </w:pPr>
      <w:r w:rsidRPr="006234AA">
        <w:rPr>
          <w:b/>
          <w:lang w:val="nl-NL"/>
        </w:rPr>
        <w:t>Kết quả kinh doanh</w:t>
      </w:r>
    </w:p>
    <w:tbl>
      <w:tblPr>
        <w:tblStyle w:val="TableGrid"/>
        <w:tblW w:w="9606" w:type="dxa"/>
        <w:tblLook w:val="04A0"/>
      </w:tblPr>
      <w:tblGrid>
        <w:gridCol w:w="807"/>
        <w:gridCol w:w="4736"/>
        <w:gridCol w:w="1908"/>
        <w:gridCol w:w="2155"/>
      </w:tblGrid>
      <w:tr w:rsidR="0049588C" w:rsidRPr="006234AA" w:rsidTr="00A15B69">
        <w:tc>
          <w:tcPr>
            <w:tcW w:w="807" w:type="dxa"/>
            <w:vAlign w:val="center"/>
          </w:tcPr>
          <w:p w:rsidR="0049588C" w:rsidRPr="006234AA" w:rsidRDefault="0049588C" w:rsidP="003C0546">
            <w:pPr>
              <w:pStyle w:val="Footer"/>
              <w:tabs>
                <w:tab w:val="clear" w:pos="4320"/>
                <w:tab w:val="clear" w:pos="8640"/>
              </w:tabs>
              <w:spacing w:after="120"/>
              <w:ind w:firstLine="0"/>
              <w:rPr>
                <w:b/>
                <w:sz w:val="24"/>
                <w:szCs w:val="24"/>
                <w:lang w:val="nl-NL"/>
              </w:rPr>
            </w:pPr>
            <w:r w:rsidRPr="006234AA">
              <w:rPr>
                <w:b/>
                <w:sz w:val="24"/>
                <w:szCs w:val="24"/>
                <w:lang w:val="nl-NL"/>
              </w:rPr>
              <w:t>STT</w:t>
            </w:r>
          </w:p>
        </w:tc>
        <w:tc>
          <w:tcPr>
            <w:tcW w:w="4736" w:type="dxa"/>
            <w:vAlign w:val="center"/>
          </w:tcPr>
          <w:p w:rsidR="0049588C" w:rsidRPr="006234AA" w:rsidRDefault="0049588C" w:rsidP="003C0546">
            <w:pPr>
              <w:pStyle w:val="Footer"/>
              <w:tabs>
                <w:tab w:val="clear" w:pos="4320"/>
                <w:tab w:val="clear" w:pos="8640"/>
              </w:tabs>
              <w:spacing w:after="120"/>
              <w:ind w:firstLine="0"/>
              <w:jc w:val="center"/>
              <w:rPr>
                <w:b/>
                <w:sz w:val="24"/>
                <w:szCs w:val="24"/>
                <w:lang w:val="nl-NL"/>
              </w:rPr>
            </w:pPr>
            <w:r w:rsidRPr="006234AA">
              <w:rPr>
                <w:b/>
                <w:sz w:val="24"/>
                <w:szCs w:val="24"/>
                <w:lang w:val="nl-NL"/>
              </w:rPr>
              <w:t>Khoản mục</w:t>
            </w:r>
          </w:p>
        </w:tc>
        <w:tc>
          <w:tcPr>
            <w:tcW w:w="1908" w:type="dxa"/>
            <w:vAlign w:val="center"/>
          </w:tcPr>
          <w:p w:rsidR="0049588C" w:rsidRPr="006234AA" w:rsidRDefault="0049588C" w:rsidP="003C0546">
            <w:pPr>
              <w:pStyle w:val="Footer"/>
              <w:tabs>
                <w:tab w:val="clear" w:pos="4320"/>
                <w:tab w:val="clear" w:pos="8640"/>
              </w:tabs>
              <w:spacing w:after="120"/>
              <w:ind w:firstLine="0"/>
              <w:jc w:val="center"/>
              <w:rPr>
                <w:b/>
                <w:sz w:val="24"/>
                <w:szCs w:val="24"/>
                <w:lang w:val="nl-NL"/>
              </w:rPr>
            </w:pPr>
            <w:r w:rsidRPr="006234AA">
              <w:rPr>
                <w:b/>
                <w:sz w:val="24"/>
                <w:szCs w:val="24"/>
                <w:lang w:val="nl-NL"/>
              </w:rPr>
              <w:t>Trong tháng</w:t>
            </w:r>
          </w:p>
        </w:tc>
        <w:tc>
          <w:tcPr>
            <w:tcW w:w="2155" w:type="dxa"/>
            <w:vAlign w:val="center"/>
          </w:tcPr>
          <w:p w:rsidR="0049588C" w:rsidRPr="006234AA" w:rsidRDefault="0049588C" w:rsidP="003C0546">
            <w:pPr>
              <w:pStyle w:val="Footer"/>
              <w:tabs>
                <w:tab w:val="clear" w:pos="4320"/>
                <w:tab w:val="clear" w:pos="8640"/>
              </w:tabs>
              <w:spacing w:after="120"/>
              <w:ind w:firstLine="0"/>
              <w:jc w:val="center"/>
              <w:rPr>
                <w:b/>
                <w:sz w:val="24"/>
                <w:szCs w:val="24"/>
                <w:lang w:val="nl-NL"/>
              </w:rPr>
            </w:pPr>
            <w:r w:rsidRPr="006234AA">
              <w:rPr>
                <w:b/>
                <w:sz w:val="24"/>
                <w:szCs w:val="24"/>
                <w:lang w:val="nl-NL"/>
              </w:rPr>
              <w:t>Lũy kế trong năm</w:t>
            </w:r>
          </w:p>
        </w:tc>
      </w:tr>
      <w:tr w:rsidR="0049588C" w:rsidRPr="006234AA" w:rsidTr="00A15B69">
        <w:tc>
          <w:tcPr>
            <w:tcW w:w="807" w:type="dxa"/>
          </w:tcPr>
          <w:p w:rsidR="0049588C" w:rsidRPr="006234AA" w:rsidRDefault="0049588C" w:rsidP="003C0546">
            <w:pPr>
              <w:pStyle w:val="Footer"/>
              <w:tabs>
                <w:tab w:val="clear" w:pos="4320"/>
                <w:tab w:val="clear" w:pos="8640"/>
              </w:tabs>
              <w:spacing w:after="120"/>
              <w:ind w:firstLine="0"/>
              <w:rPr>
                <w:sz w:val="24"/>
                <w:szCs w:val="24"/>
                <w:lang w:val="nl-NL"/>
              </w:rPr>
            </w:pPr>
            <w:r w:rsidRPr="006234AA">
              <w:rPr>
                <w:sz w:val="24"/>
                <w:szCs w:val="24"/>
                <w:lang w:val="nl-NL"/>
              </w:rPr>
              <w:t>1</w:t>
            </w:r>
          </w:p>
        </w:tc>
        <w:tc>
          <w:tcPr>
            <w:tcW w:w="4736" w:type="dxa"/>
          </w:tcPr>
          <w:p w:rsidR="0049588C" w:rsidRPr="006234AA" w:rsidRDefault="0049588C" w:rsidP="003C0546">
            <w:pPr>
              <w:pStyle w:val="Footer"/>
              <w:tabs>
                <w:tab w:val="clear" w:pos="4320"/>
                <w:tab w:val="clear" w:pos="8640"/>
              </w:tabs>
              <w:spacing w:after="120"/>
              <w:ind w:firstLine="0"/>
              <w:rPr>
                <w:sz w:val="24"/>
                <w:szCs w:val="24"/>
                <w:lang w:val="nl-NL"/>
              </w:rPr>
            </w:pPr>
            <w:r w:rsidRPr="006234AA">
              <w:rPr>
                <w:sz w:val="24"/>
                <w:szCs w:val="24"/>
                <w:lang w:val="nl-NL"/>
              </w:rPr>
              <w:t>Doanh thu từ các hoạt động kinh doanh</w:t>
            </w:r>
          </w:p>
        </w:tc>
        <w:tc>
          <w:tcPr>
            <w:tcW w:w="1908" w:type="dxa"/>
          </w:tcPr>
          <w:p w:rsidR="0049588C" w:rsidRPr="006234AA" w:rsidRDefault="0049588C" w:rsidP="003C0546">
            <w:pPr>
              <w:pStyle w:val="Footer"/>
              <w:tabs>
                <w:tab w:val="clear" w:pos="4320"/>
                <w:tab w:val="clear" w:pos="8640"/>
              </w:tabs>
              <w:spacing w:after="120"/>
              <w:rPr>
                <w:sz w:val="24"/>
                <w:szCs w:val="24"/>
                <w:lang w:val="nl-NL"/>
              </w:rPr>
            </w:pPr>
          </w:p>
        </w:tc>
        <w:tc>
          <w:tcPr>
            <w:tcW w:w="2155" w:type="dxa"/>
          </w:tcPr>
          <w:p w:rsidR="0049588C" w:rsidRPr="006234AA" w:rsidRDefault="0049588C" w:rsidP="003C0546">
            <w:pPr>
              <w:pStyle w:val="Footer"/>
              <w:tabs>
                <w:tab w:val="clear" w:pos="4320"/>
                <w:tab w:val="clear" w:pos="8640"/>
              </w:tabs>
              <w:spacing w:after="120"/>
              <w:rPr>
                <w:sz w:val="24"/>
                <w:szCs w:val="24"/>
                <w:lang w:val="nl-NL"/>
              </w:rPr>
            </w:pPr>
          </w:p>
        </w:tc>
      </w:tr>
      <w:tr w:rsidR="0049588C" w:rsidRPr="006234AA" w:rsidTr="00A15B69">
        <w:tc>
          <w:tcPr>
            <w:tcW w:w="807" w:type="dxa"/>
          </w:tcPr>
          <w:p w:rsidR="0049588C" w:rsidRPr="006234AA" w:rsidRDefault="0049588C" w:rsidP="003C0546">
            <w:pPr>
              <w:pStyle w:val="Footer"/>
              <w:tabs>
                <w:tab w:val="clear" w:pos="4320"/>
                <w:tab w:val="clear" w:pos="8640"/>
              </w:tabs>
              <w:spacing w:after="120"/>
              <w:ind w:firstLine="0"/>
              <w:rPr>
                <w:sz w:val="24"/>
                <w:szCs w:val="24"/>
                <w:lang w:val="nl-NL"/>
              </w:rPr>
            </w:pPr>
            <w:r w:rsidRPr="006234AA">
              <w:rPr>
                <w:sz w:val="24"/>
                <w:szCs w:val="24"/>
                <w:lang w:val="nl-NL"/>
              </w:rPr>
              <w:t>2</w:t>
            </w:r>
          </w:p>
        </w:tc>
        <w:tc>
          <w:tcPr>
            <w:tcW w:w="4736" w:type="dxa"/>
          </w:tcPr>
          <w:p w:rsidR="0049588C" w:rsidRPr="006234AA" w:rsidRDefault="0049588C" w:rsidP="003C0546">
            <w:pPr>
              <w:pStyle w:val="Footer"/>
              <w:tabs>
                <w:tab w:val="clear" w:pos="4320"/>
                <w:tab w:val="clear" w:pos="8640"/>
              </w:tabs>
              <w:spacing w:after="120"/>
              <w:ind w:firstLine="0"/>
              <w:rPr>
                <w:sz w:val="24"/>
                <w:szCs w:val="24"/>
                <w:lang w:val="nl-NL"/>
              </w:rPr>
            </w:pPr>
            <w:r w:rsidRPr="006234AA">
              <w:rPr>
                <w:sz w:val="24"/>
                <w:szCs w:val="24"/>
                <w:lang w:val="nl-NL"/>
              </w:rPr>
              <w:t>Tổng chi phí:</w:t>
            </w:r>
          </w:p>
          <w:p w:rsidR="0049588C" w:rsidRPr="006234AA" w:rsidRDefault="0049588C" w:rsidP="003C0546">
            <w:pPr>
              <w:pStyle w:val="Footer"/>
              <w:tabs>
                <w:tab w:val="clear" w:pos="4320"/>
                <w:tab w:val="clear" w:pos="8640"/>
              </w:tabs>
              <w:spacing w:after="120"/>
              <w:ind w:firstLine="0"/>
              <w:jc w:val="left"/>
              <w:rPr>
                <w:sz w:val="24"/>
                <w:szCs w:val="24"/>
                <w:lang w:val="nl-NL"/>
              </w:rPr>
            </w:pPr>
            <w:r w:rsidRPr="006234AA">
              <w:rPr>
                <w:sz w:val="24"/>
                <w:szCs w:val="24"/>
                <w:lang w:val="nl-NL"/>
              </w:rPr>
              <w:t>- Chi phí cho hoạt động kinh doanh</w:t>
            </w:r>
          </w:p>
          <w:p w:rsidR="0049588C" w:rsidRPr="006234AA" w:rsidRDefault="0049588C" w:rsidP="003C0546">
            <w:pPr>
              <w:pStyle w:val="Footer"/>
              <w:tabs>
                <w:tab w:val="clear" w:pos="4320"/>
                <w:tab w:val="clear" w:pos="8640"/>
              </w:tabs>
              <w:spacing w:after="120"/>
              <w:ind w:firstLine="0"/>
              <w:jc w:val="left"/>
              <w:rPr>
                <w:sz w:val="24"/>
                <w:szCs w:val="24"/>
                <w:lang w:val="nl-NL"/>
              </w:rPr>
            </w:pPr>
            <w:r w:rsidRPr="006234AA">
              <w:rPr>
                <w:sz w:val="24"/>
                <w:szCs w:val="24"/>
                <w:lang w:val="nl-NL"/>
              </w:rPr>
              <w:t>- Chi phí quản lý doanh nghiệp</w:t>
            </w:r>
          </w:p>
        </w:tc>
        <w:tc>
          <w:tcPr>
            <w:tcW w:w="1908" w:type="dxa"/>
          </w:tcPr>
          <w:p w:rsidR="0049588C" w:rsidRPr="006234AA" w:rsidRDefault="0049588C" w:rsidP="003C0546">
            <w:pPr>
              <w:pStyle w:val="Footer"/>
              <w:tabs>
                <w:tab w:val="clear" w:pos="4320"/>
                <w:tab w:val="clear" w:pos="8640"/>
              </w:tabs>
              <w:spacing w:after="120"/>
              <w:rPr>
                <w:sz w:val="24"/>
                <w:szCs w:val="24"/>
                <w:lang w:val="nl-NL"/>
              </w:rPr>
            </w:pPr>
          </w:p>
        </w:tc>
        <w:tc>
          <w:tcPr>
            <w:tcW w:w="2155" w:type="dxa"/>
          </w:tcPr>
          <w:p w:rsidR="0049588C" w:rsidRPr="006234AA" w:rsidRDefault="0049588C" w:rsidP="003C0546">
            <w:pPr>
              <w:pStyle w:val="Footer"/>
              <w:tabs>
                <w:tab w:val="clear" w:pos="4320"/>
                <w:tab w:val="clear" w:pos="8640"/>
              </w:tabs>
              <w:spacing w:after="120"/>
              <w:rPr>
                <w:sz w:val="24"/>
                <w:szCs w:val="24"/>
                <w:lang w:val="nl-NL"/>
              </w:rPr>
            </w:pPr>
          </w:p>
        </w:tc>
      </w:tr>
      <w:tr w:rsidR="0049588C" w:rsidRPr="006234AA" w:rsidTr="00A15B69">
        <w:tc>
          <w:tcPr>
            <w:tcW w:w="807" w:type="dxa"/>
          </w:tcPr>
          <w:p w:rsidR="0049588C" w:rsidRPr="006234AA" w:rsidRDefault="0049588C" w:rsidP="003C0546">
            <w:pPr>
              <w:pStyle w:val="Footer"/>
              <w:tabs>
                <w:tab w:val="clear" w:pos="4320"/>
                <w:tab w:val="clear" w:pos="8640"/>
              </w:tabs>
              <w:spacing w:after="120"/>
              <w:ind w:firstLine="0"/>
              <w:rPr>
                <w:sz w:val="24"/>
                <w:szCs w:val="24"/>
                <w:lang w:val="nl-NL"/>
              </w:rPr>
            </w:pPr>
            <w:r w:rsidRPr="006234AA">
              <w:rPr>
                <w:sz w:val="24"/>
                <w:szCs w:val="24"/>
                <w:lang w:val="nl-NL"/>
              </w:rPr>
              <w:lastRenderedPageBreak/>
              <w:t>3</w:t>
            </w:r>
          </w:p>
        </w:tc>
        <w:tc>
          <w:tcPr>
            <w:tcW w:w="4736" w:type="dxa"/>
          </w:tcPr>
          <w:p w:rsidR="0049588C" w:rsidRPr="006234AA" w:rsidRDefault="0049588C" w:rsidP="003C0546">
            <w:pPr>
              <w:pStyle w:val="Footer"/>
              <w:tabs>
                <w:tab w:val="clear" w:pos="4320"/>
                <w:tab w:val="clear" w:pos="8640"/>
              </w:tabs>
              <w:spacing w:after="120"/>
              <w:ind w:firstLine="0"/>
              <w:rPr>
                <w:sz w:val="24"/>
                <w:szCs w:val="24"/>
                <w:lang w:val="nl-NL"/>
              </w:rPr>
            </w:pPr>
            <w:r w:rsidRPr="006234AA">
              <w:rPr>
                <w:sz w:val="24"/>
                <w:szCs w:val="24"/>
                <w:lang w:val="nl-NL"/>
              </w:rPr>
              <w:t>Lợi nhuận trước thuế</w:t>
            </w:r>
          </w:p>
        </w:tc>
        <w:tc>
          <w:tcPr>
            <w:tcW w:w="1908" w:type="dxa"/>
          </w:tcPr>
          <w:p w:rsidR="0049588C" w:rsidRPr="006234AA" w:rsidRDefault="0049588C" w:rsidP="003C0546">
            <w:pPr>
              <w:pStyle w:val="Footer"/>
              <w:tabs>
                <w:tab w:val="clear" w:pos="4320"/>
                <w:tab w:val="clear" w:pos="8640"/>
              </w:tabs>
              <w:spacing w:after="120"/>
              <w:rPr>
                <w:sz w:val="24"/>
                <w:szCs w:val="24"/>
                <w:lang w:val="nl-NL"/>
              </w:rPr>
            </w:pPr>
          </w:p>
        </w:tc>
        <w:tc>
          <w:tcPr>
            <w:tcW w:w="2155" w:type="dxa"/>
          </w:tcPr>
          <w:p w:rsidR="0049588C" w:rsidRPr="006234AA" w:rsidRDefault="0049588C" w:rsidP="003C0546">
            <w:pPr>
              <w:pStyle w:val="Footer"/>
              <w:tabs>
                <w:tab w:val="clear" w:pos="4320"/>
                <w:tab w:val="clear" w:pos="8640"/>
              </w:tabs>
              <w:spacing w:after="120"/>
              <w:rPr>
                <w:sz w:val="24"/>
                <w:szCs w:val="24"/>
                <w:lang w:val="nl-NL"/>
              </w:rPr>
            </w:pPr>
          </w:p>
        </w:tc>
      </w:tr>
    </w:tbl>
    <w:p w:rsidR="0049588C" w:rsidRPr="006234AA" w:rsidRDefault="0049588C" w:rsidP="003C0546">
      <w:pPr>
        <w:pStyle w:val="Footer"/>
        <w:tabs>
          <w:tab w:val="clear" w:pos="4320"/>
          <w:tab w:val="clear" w:pos="8640"/>
        </w:tabs>
        <w:spacing w:after="120"/>
        <w:rPr>
          <w:b/>
          <w:lang w:val="nl-NL"/>
        </w:rPr>
      </w:pPr>
    </w:p>
    <w:p w:rsidR="0049588C" w:rsidRPr="006234AA" w:rsidRDefault="0049588C" w:rsidP="003C0546">
      <w:pPr>
        <w:spacing w:after="120"/>
        <w:ind w:firstLine="0"/>
        <w:rPr>
          <w:b/>
          <w:lang w:val="nl-NL"/>
        </w:rPr>
      </w:pPr>
      <w:r w:rsidRPr="006234AA">
        <w:rPr>
          <w:b/>
          <w:lang w:val="nl-NL"/>
        </w:rPr>
        <w:t>V. Các vướng mắc phát sinh và kiến nghị:</w:t>
      </w:r>
    </w:p>
    <w:p w:rsidR="0049588C" w:rsidRPr="006234AA" w:rsidRDefault="0049588C" w:rsidP="003C0546">
      <w:pPr>
        <w:pStyle w:val="Footer"/>
        <w:tabs>
          <w:tab w:val="clear" w:pos="4320"/>
          <w:tab w:val="clear" w:pos="8640"/>
        </w:tabs>
        <w:spacing w:after="120"/>
        <w:rPr>
          <w:lang w:val="nl-NL"/>
        </w:rPr>
      </w:pPr>
    </w:p>
    <w:tbl>
      <w:tblPr>
        <w:tblW w:w="0" w:type="auto"/>
        <w:tblLook w:val="01E0"/>
      </w:tblPr>
      <w:tblGrid>
        <w:gridCol w:w="2728"/>
        <w:gridCol w:w="3138"/>
        <w:gridCol w:w="3421"/>
      </w:tblGrid>
      <w:tr w:rsidR="0049588C" w:rsidRPr="006234AA" w:rsidTr="00A15B69">
        <w:tc>
          <w:tcPr>
            <w:tcW w:w="2728" w:type="dxa"/>
          </w:tcPr>
          <w:p w:rsidR="0049588C" w:rsidRPr="006234AA" w:rsidRDefault="0049588C" w:rsidP="003C0546">
            <w:pPr>
              <w:pStyle w:val="Footer"/>
              <w:tabs>
                <w:tab w:val="clear" w:pos="4320"/>
                <w:tab w:val="clear" w:pos="8640"/>
              </w:tabs>
              <w:spacing w:after="120"/>
              <w:ind w:firstLine="0"/>
              <w:jc w:val="center"/>
              <w:rPr>
                <w:b/>
                <w:lang w:val="nl-NL"/>
              </w:rPr>
            </w:pPr>
            <w:r w:rsidRPr="006234AA">
              <w:rPr>
                <w:b/>
                <w:lang w:val="nl-NL"/>
              </w:rPr>
              <w:t>Người lập báo cáo</w:t>
            </w:r>
          </w:p>
          <w:p w:rsidR="0049588C" w:rsidRPr="006234AA" w:rsidRDefault="0049588C" w:rsidP="003C0546">
            <w:pPr>
              <w:pStyle w:val="Footer"/>
              <w:tabs>
                <w:tab w:val="clear" w:pos="4320"/>
                <w:tab w:val="clear" w:pos="8640"/>
              </w:tabs>
              <w:spacing w:after="120"/>
              <w:ind w:firstLine="0"/>
              <w:jc w:val="center"/>
              <w:rPr>
                <w:b/>
                <w:sz w:val="24"/>
                <w:szCs w:val="24"/>
                <w:lang w:val="nl-NL"/>
              </w:rPr>
            </w:pPr>
            <w:r w:rsidRPr="006234AA">
              <w:rPr>
                <w:i/>
                <w:sz w:val="24"/>
                <w:szCs w:val="24"/>
                <w:lang w:val="nl-NL"/>
              </w:rPr>
              <w:t>(Ký, ghi rõ họ tên)</w:t>
            </w:r>
          </w:p>
        </w:tc>
        <w:tc>
          <w:tcPr>
            <w:tcW w:w="3138" w:type="dxa"/>
          </w:tcPr>
          <w:p w:rsidR="0049588C" w:rsidRPr="006234AA" w:rsidRDefault="0049588C" w:rsidP="003C0546">
            <w:pPr>
              <w:pStyle w:val="Footer"/>
              <w:tabs>
                <w:tab w:val="clear" w:pos="4320"/>
                <w:tab w:val="clear" w:pos="8640"/>
              </w:tabs>
              <w:spacing w:after="120"/>
              <w:ind w:firstLine="0"/>
              <w:jc w:val="center"/>
              <w:rPr>
                <w:b/>
                <w:lang w:val="nl-NL"/>
              </w:rPr>
            </w:pPr>
            <w:r w:rsidRPr="006234AA">
              <w:rPr>
                <w:b/>
                <w:lang w:val="nl-NL"/>
              </w:rPr>
              <w:t>Phụ trách bộ phận kiểm soát nội bộ</w:t>
            </w:r>
          </w:p>
          <w:p w:rsidR="0049588C" w:rsidRPr="006234AA" w:rsidRDefault="0049588C" w:rsidP="003C0546">
            <w:pPr>
              <w:pStyle w:val="Footer"/>
              <w:tabs>
                <w:tab w:val="clear" w:pos="4320"/>
                <w:tab w:val="clear" w:pos="8640"/>
              </w:tabs>
              <w:spacing w:after="120"/>
              <w:ind w:firstLine="0"/>
              <w:jc w:val="center"/>
              <w:rPr>
                <w:b/>
                <w:sz w:val="24"/>
                <w:szCs w:val="24"/>
                <w:lang w:val="nl-NL"/>
              </w:rPr>
            </w:pPr>
            <w:r w:rsidRPr="006234AA">
              <w:rPr>
                <w:i/>
                <w:sz w:val="24"/>
                <w:szCs w:val="24"/>
                <w:lang w:val="nl-NL"/>
              </w:rPr>
              <w:t>(Ký, ghi rõ họ tên)</w:t>
            </w:r>
          </w:p>
        </w:tc>
        <w:tc>
          <w:tcPr>
            <w:tcW w:w="3421" w:type="dxa"/>
          </w:tcPr>
          <w:p w:rsidR="0049588C" w:rsidRPr="006234AA" w:rsidRDefault="0049588C" w:rsidP="003C0546">
            <w:pPr>
              <w:pStyle w:val="Footer"/>
              <w:tabs>
                <w:tab w:val="clear" w:pos="4320"/>
                <w:tab w:val="clear" w:pos="8640"/>
              </w:tabs>
              <w:spacing w:after="120"/>
              <w:ind w:firstLine="0"/>
              <w:jc w:val="center"/>
              <w:rPr>
                <w:b/>
                <w:lang w:val="nl-NL"/>
              </w:rPr>
            </w:pPr>
            <w:r w:rsidRPr="006234AA">
              <w:rPr>
                <w:b/>
                <w:lang w:val="nl-NL"/>
              </w:rPr>
              <w:t>(Tổng) Giám đốc</w:t>
            </w:r>
          </w:p>
          <w:p w:rsidR="0049588C" w:rsidRPr="006234AA" w:rsidRDefault="0049588C" w:rsidP="003C0546">
            <w:pPr>
              <w:pStyle w:val="Footer"/>
              <w:tabs>
                <w:tab w:val="clear" w:pos="4320"/>
                <w:tab w:val="clear" w:pos="8640"/>
              </w:tabs>
              <w:spacing w:after="120"/>
              <w:ind w:firstLine="0"/>
              <w:jc w:val="center"/>
              <w:rPr>
                <w:b/>
                <w:i/>
                <w:sz w:val="24"/>
                <w:szCs w:val="24"/>
                <w:lang w:val="nl-NL"/>
              </w:rPr>
            </w:pPr>
            <w:r w:rsidRPr="006234AA">
              <w:rPr>
                <w:i/>
                <w:sz w:val="24"/>
                <w:szCs w:val="24"/>
                <w:lang w:val="nl-NL"/>
              </w:rPr>
              <w:t>(Ký, ghi rõ họ tên, đóng dấu)</w:t>
            </w:r>
          </w:p>
        </w:tc>
      </w:tr>
    </w:tbl>
    <w:p w:rsidR="0049588C" w:rsidRPr="006234AA" w:rsidRDefault="0049588C" w:rsidP="003C0546">
      <w:pPr>
        <w:spacing w:after="120"/>
        <w:ind w:firstLine="0"/>
        <w:jc w:val="center"/>
        <w:rPr>
          <w:b/>
          <w:bCs/>
          <w:i/>
          <w:iCs/>
          <w:lang w:val="nl-NL"/>
        </w:rPr>
      </w:pPr>
    </w:p>
    <w:p w:rsidR="0049588C" w:rsidRPr="006234AA" w:rsidRDefault="0049588C" w:rsidP="003C0546">
      <w:pPr>
        <w:spacing w:after="120"/>
        <w:ind w:firstLine="0"/>
        <w:jc w:val="left"/>
        <w:rPr>
          <w:i/>
          <w:lang w:val="nl-NL"/>
        </w:rPr>
      </w:pPr>
    </w:p>
    <w:p w:rsidR="0049588C" w:rsidRPr="006234AA" w:rsidRDefault="0049588C" w:rsidP="003C0546">
      <w:pPr>
        <w:spacing w:after="120"/>
        <w:rPr>
          <w:lang w:val="nl-NL"/>
        </w:rPr>
      </w:pPr>
      <w:r w:rsidRPr="006234AA">
        <w:rPr>
          <w:i/>
          <w:lang w:val="nl-NL"/>
        </w:rPr>
        <w:t>Ghi chú: Báo cáo này thay thế Báo cáo hoạt động quy định tại Thông tư số 210/2012/TT-BTC đối với các tổ chức kinh doanh dịch vụ chứng khoán phái sinh là công ty chứng khoán.</w:t>
      </w:r>
    </w:p>
    <w:p w:rsidR="0049588C" w:rsidRPr="006234AA" w:rsidRDefault="0049588C" w:rsidP="003C0546">
      <w:pPr>
        <w:spacing w:after="120"/>
        <w:rPr>
          <w:lang w:val="nl-NL"/>
        </w:rPr>
      </w:pPr>
    </w:p>
    <w:p w:rsidR="0024137E" w:rsidRPr="006234AA" w:rsidRDefault="0024137E" w:rsidP="003C0546">
      <w:pPr>
        <w:pStyle w:val="Heading5"/>
        <w:spacing w:after="120"/>
        <w:ind w:hanging="2912"/>
      </w:pPr>
      <w:bookmarkStart w:id="251" w:name="_Toc387730801"/>
      <w:bookmarkStart w:id="252" w:name="_Toc422672027"/>
      <w:bookmarkEnd w:id="249"/>
      <w:r w:rsidRPr="006234AA">
        <w:t xml:space="preserve">Báo cáo </w:t>
      </w:r>
      <w:r w:rsidR="008573AD" w:rsidRPr="006234AA">
        <w:t>tỷ lệ an toàn tài chính</w:t>
      </w:r>
      <w:bookmarkEnd w:id="250"/>
      <w:bookmarkEnd w:id="251"/>
      <w:bookmarkEnd w:id="252"/>
    </w:p>
    <w:p w:rsidR="0024137E" w:rsidRPr="006234AA" w:rsidRDefault="0024137E" w:rsidP="003C0546">
      <w:pPr>
        <w:spacing w:after="120"/>
        <w:ind w:firstLine="0"/>
        <w:jc w:val="center"/>
        <w:rPr>
          <w:b/>
          <w:bCs/>
          <w:i/>
          <w:iCs/>
          <w:lang w:val="nl-NL"/>
        </w:rPr>
      </w:pPr>
      <w:r w:rsidRPr="006234AA">
        <w:rPr>
          <w:i/>
          <w:iCs/>
          <w:lang w:val="nl-NL"/>
        </w:rPr>
        <w:t>(Ban hành kèm theo Thông tư số /2014/TT-BTC ngày tháng năm 2014 của Bộ Tài chính về chứng khoán phái sinh và thị trường chứng khoán phái sinh)</w:t>
      </w:r>
    </w:p>
    <w:p w:rsidR="0024137E" w:rsidRPr="006234AA" w:rsidRDefault="0024137E" w:rsidP="003C0546">
      <w:pPr>
        <w:spacing w:after="120"/>
        <w:rPr>
          <w:lang w:val="nl-NL"/>
        </w:rPr>
      </w:pPr>
    </w:p>
    <w:tbl>
      <w:tblPr>
        <w:tblW w:w="9648" w:type="dxa"/>
        <w:tblLook w:val="01E0"/>
      </w:tblPr>
      <w:tblGrid>
        <w:gridCol w:w="4248"/>
        <w:gridCol w:w="5400"/>
      </w:tblGrid>
      <w:tr w:rsidR="00DB0200" w:rsidRPr="006234AA" w:rsidTr="00D60CD2">
        <w:tc>
          <w:tcPr>
            <w:tcW w:w="4248" w:type="dxa"/>
          </w:tcPr>
          <w:p w:rsidR="00DB0200" w:rsidRPr="006234AA" w:rsidRDefault="00DB0200" w:rsidP="003C0546">
            <w:pPr>
              <w:spacing w:after="120"/>
              <w:rPr>
                <w:b/>
                <w:sz w:val="24"/>
                <w:szCs w:val="24"/>
                <w:lang w:val="nl-NL"/>
              </w:rPr>
            </w:pPr>
            <w:r w:rsidRPr="006234AA">
              <w:rPr>
                <w:b/>
                <w:sz w:val="24"/>
                <w:szCs w:val="24"/>
                <w:lang w:val="nl-NL"/>
              </w:rPr>
              <w:t>Tên Công ty:......</w:t>
            </w:r>
          </w:p>
          <w:p w:rsidR="00DB0200" w:rsidRPr="006234AA" w:rsidRDefault="00DB0200" w:rsidP="003C0546">
            <w:pPr>
              <w:spacing w:after="120"/>
              <w:rPr>
                <w:sz w:val="24"/>
                <w:szCs w:val="24"/>
                <w:lang w:val="nl-NL"/>
              </w:rPr>
            </w:pPr>
            <w:r w:rsidRPr="006234AA">
              <w:rPr>
                <w:sz w:val="24"/>
                <w:szCs w:val="24"/>
                <w:lang w:val="nl-NL"/>
              </w:rPr>
              <w:t>Số Công văn:...........</w:t>
            </w:r>
          </w:p>
          <w:p w:rsidR="00DB0200" w:rsidRPr="006234AA" w:rsidRDefault="00DB0200" w:rsidP="003C0546">
            <w:pPr>
              <w:spacing w:after="120"/>
              <w:rPr>
                <w:sz w:val="24"/>
                <w:szCs w:val="24"/>
                <w:lang w:val="nl-NL"/>
              </w:rPr>
            </w:pPr>
            <w:r w:rsidRPr="006234AA">
              <w:rPr>
                <w:sz w:val="24"/>
                <w:szCs w:val="24"/>
                <w:lang w:val="nl-NL"/>
              </w:rPr>
              <w:t>V/v báo cáo chỉ tiêu an toàn tài chính</w:t>
            </w:r>
          </w:p>
        </w:tc>
        <w:tc>
          <w:tcPr>
            <w:tcW w:w="5400" w:type="dxa"/>
          </w:tcPr>
          <w:p w:rsidR="00DB0200" w:rsidRPr="006234AA" w:rsidRDefault="00DB0200" w:rsidP="003C0546">
            <w:pPr>
              <w:spacing w:after="120"/>
              <w:jc w:val="center"/>
              <w:rPr>
                <w:b/>
                <w:sz w:val="24"/>
                <w:szCs w:val="24"/>
                <w:lang w:val="nl-NL"/>
              </w:rPr>
            </w:pPr>
            <w:r w:rsidRPr="006234AA">
              <w:rPr>
                <w:b/>
                <w:sz w:val="24"/>
                <w:szCs w:val="24"/>
                <w:lang w:val="nl-NL"/>
              </w:rPr>
              <w:t>CỘNG HOÀ XÃ HỘI CHỦ NGHĨA VIỆT NAM</w:t>
            </w:r>
          </w:p>
          <w:p w:rsidR="00DB0200" w:rsidRPr="006234AA" w:rsidRDefault="00DB0200" w:rsidP="003C0546">
            <w:pPr>
              <w:spacing w:after="120"/>
              <w:jc w:val="center"/>
              <w:rPr>
                <w:b/>
                <w:sz w:val="24"/>
                <w:szCs w:val="24"/>
                <w:lang w:val="nl-NL"/>
              </w:rPr>
            </w:pPr>
            <w:r w:rsidRPr="006234AA">
              <w:rPr>
                <w:b/>
                <w:sz w:val="24"/>
                <w:szCs w:val="24"/>
                <w:lang w:val="nl-NL"/>
              </w:rPr>
              <w:t>Độc lập - Tự do - Hạnh phúc</w:t>
            </w:r>
          </w:p>
          <w:p w:rsidR="00DB0200" w:rsidRPr="006234AA" w:rsidRDefault="007965E6" w:rsidP="003C0546">
            <w:pPr>
              <w:spacing w:after="120"/>
              <w:rPr>
                <w:sz w:val="24"/>
                <w:szCs w:val="24"/>
              </w:rPr>
            </w:pPr>
            <w:r w:rsidRPr="007965E6">
              <w:rPr>
                <w:noProof/>
                <w:sz w:val="24"/>
                <w:szCs w:val="24"/>
              </w:rPr>
              <w:pict>
                <v:shape id="AutoShape 19" o:spid="_x0000_s1033" type="#_x0000_t32" style="position:absolute;left:0;text-align:left;margin-left:66.3pt;margin-top:1.75pt;width:136.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AE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sEeYzGFdAWKW2NnRIj+rVvGj63SGlq46olsfot5OB5CxkJO9SwsUZqLIbPmsGMQQK&#10;xGEdG9sHSBgDOsadnG474UePKHzMHqfT2Qx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DUU/lz2gAAAAcBAAAPAAAAZHJzL2Rvd25yZXYueG1sTI7BTsMw&#10;EETvSPyDtUi9IGo3bSoIcaqqEgeOtJW4uvGSBOJ1FDtN6Nez9ALHpxnNvHwzuVacsQ+NJw2LuQKB&#10;VHrbUKXheHh5eAQRoiFrWk+o4RsDbIrbm9xk1o/0hud9rASPUMiMhjrGLpMylDU6E+a+Q+Lsw/fO&#10;RMa+krY3I4+7ViZKraUzDfFDbTrc1Vh+7QenAcOQLtT2yVXH18t4/55cPsfuoPXsbto+g4g4xb8y&#10;/OqzOhTsdPID2SBa5mWy5qqGZQqC85VKmU9XlkUu//sXPwAAAP//AwBQSwECLQAUAAYACAAAACEA&#10;toM4kv4AAADhAQAAEwAAAAAAAAAAAAAAAAAAAAAAW0NvbnRlbnRfVHlwZXNdLnhtbFBLAQItABQA&#10;BgAIAAAAIQA4/SH/1gAAAJQBAAALAAAAAAAAAAAAAAAAAC8BAABfcmVscy8ucmVsc1BLAQItABQA&#10;BgAIAAAAIQDWUnAEIAIAADwEAAAOAAAAAAAAAAAAAAAAAC4CAABkcnMvZTJvRG9jLnhtbFBLAQIt&#10;ABQABgAIAAAAIQDUU/lz2gAAAAcBAAAPAAAAAAAAAAAAAAAAAHoEAABkcnMvZG93bnJldi54bWxQ&#10;SwUGAAAAAAQABADzAAAAgQUAAAAA&#10;"/>
              </w:pict>
            </w:r>
          </w:p>
          <w:p w:rsidR="00DB0200" w:rsidRPr="006234AA" w:rsidRDefault="00DB0200" w:rsidP="003C0546">
            <w:pPr>
              <w:spacing w:after="120"/>
              <w:jc w:val="center"/>
              <w:rPr>
                <w:sz w:val="24"/>
                <w:szCs w:val="24"/>
              </w:rPr>
            </w:pPr>
            <w:r w:rsidRPr="006234AA">
              <w:rPr>
                <w:sz w:val="24"/>
                <w:szCs w:val="24"/>
              </w:rPr>
              <w:t xml:space="preserve">                          ........, ngày......tháng......năm...</w:t>
            </w:r>
          </w:p>
        </w:tc>
      </w:tr>
    </w:tbl>
    <w:p w:rsidR="00DB0200" w:rsidRPr="006234AA" w:rsidRDefault="00DB0200" w:rsidP="003C0546">
      <w:pPr>
        <w:spacing w:after="120"/>
        <w:jc w:val="center"/>
        <w:rPr>
          <w:b/>
          <w:sz w:val="24"/>
          <w:szCs w:val="24"/>
          <w:lang w:val="nl-NL"/>
        </w:rPr>
      </w:pPr>
      <w:r w:rsidRPr="006234AA">
        <w:rPr>
          <w:b/>
          <w:sz w:val="24"/>
          <w:szCs w:val="24"/>
          <w:lang w:val="nl-NL"/>
        </w:rPr>
        <w:t>Kính gửi: Ủy ban Chứng khoán Nhà nước</w:t>
      </w:r>
    </w:p>
    <w:p w:rsidR="00DB0200" w:rsidRPr="006234AA" w:rsidRDefault="00DB0200" w:rsidP="003C0546">
      <w:pPr>
        <w:spacing w:after="120"/>
        <w:jc w:val="center"/>
        <w:rPr>
          <w:b/>
          <w:bCs/>
          <w:sz w:val="24"/>
          <w:szCs w:val="24"/>
          <w:lang w:val="nl-NL"/>
        </w:rPr>
      </w:pPr>
      <w:r w:rsidRPr="006234AA">
        <w:rPr>
          <w:b/>
          <w:bCs/>
          <w:sz w:val="24"/>
          <w:szCs w:val="24"/>
          <w:lang w:val="nl-NL"/>
        </w:rPr>
        <w:t>BÁO CÁO TỶ LỆ AN TOÀN TÀI CHÍNH</w:t>
      </w:r>
    </w:p>
    <w:p w:rsidR="00DB0200" w:rsidRPr="006234AA" w:rsidRDefault="00DB0200" w:rsidP="003C0546">
      <w:pPr>
        <w:spacing w:after="120"/>
        <w:jc w:val="center"/>
        <w:rPr>
          <w:bCs/>
          <w:sz w:val="24"/>
          <w:szCs w:val="24"/>
          <w:lang w:val="nl-NL"/>
        </w:rPr>
      </w:pPr>
      <w:r w:rsidRPr="006234AA">
        <w:rPr>
          <w:bCs/>
          <w:sz w:val="24"/>
          <w:szCs w:val="24"/>
          <w:lang w:val="nl-NL"/>
        </w:rPr>
        <w:t>Tại thời điểm: .........</w:t>
      </w:r>
    </w:p>
    <w:p w:rsidR="00DB0200" w:rsidRPr="006234AA" w:rsidRDefault="00DB0200" w:rsidP="003C0546">
      <w:pPr>
        <w:spacing w:after="120"/>
        <w:ind w:firstLine="720"/>
        <w:rPr>
          <w:sz w:val="24"/>
          <w:szCs w:val="24"/>
          <w:lang w:val="nl-NL"/>
        </w:rPr>
      </w:pPr>
    </w:p>
    <w:p w:rsidR="00DB0200" w:rsidRPr="006234AA" w:rsidRDefault="00DB0200" w:rsidP="003C0546">
      <w:pPr>
        <w:spacing w:after="120"/>
        <w:ind w:firstLine="720"/>
        <w:rPr>
          <w:sz w:val="24"/>
          <w:szCs w:val="24"/>
          <w:lang w:val="nl-NL"/>
        </w:rPr>
      </w:pPr>
      <w:r w:rsidRPr="006234AA">
        <w:rPr>
          <w:sz w:val="24"/>
          <w:szCs w:val="24"/>
          <w:lang w:val="nl-NL"/>
        </w:rPr>
        <w:t>Chúng tôi cam đoan rằng:</w:t>
      </w:r>
    </w:p>
    <w:p w:rsidR="00DB0200" w:rsidRPr="006234AA" w:rsidRDefault="00DB0200" w:rsidP="003C0546">
      <w:pPr>
        <w:spacing w:after="120"/>
        <w:ind w:firstLine="720"/>
        <w:rPr>
          <w:sz w:val="24"/>
          <w:szCs w:val="24"/>
          <w:lang w:val="nl-NL"/>
        </w:rPr>
      </w:pPr>
      <w:r w:rsidRPr="006234AA">
        <w:rPr>
          <w:sz w:val="24"/>
          <w:szCs w:val="24"/>
          <w:lang w:val="nl-NL"/>
        </w:rPr>
        <w:t>(1) Báo cáo được xây dựng trên cơ sở số liệu được cập nhật tại ngày lập báo cáo và được lập theo đúng các quy định tại Thông tư số 226/2010/TT-BTC ngày 31/12/2010 của Bộ Tài chính quy định về chỉ tiêu an toàn tài chính và biện pháp xử lý đối với các tổ chức kinh doanh chứng khoán không đáp ứng các chi tiêu an toàn tài chính và Thông tư sửa đổi, bổ sung một số điều của Thông tư số số 226/2010/TT-BTC ngày 31/12/2010 của Bộ Tài chính quy định về chỉ tiêu an toàn tài chính và biện pháp xử lý đối với các tổ chức kinh doanh chứng khoán không đáp ứng các chi tiêu an toàn tài chính ;</w:t>
      </w:r>
    </w:p>
    <w:p w:rsidR="00DB0200" w:rsidRPr="006234AA" w:rsidRDefault="00DB0200" w:rsidP="003C0546">
      <w:pPr>
        <w:spacing w:after="120"/>
        <w:ind w:firstLine="720"/>
        <w:rPr>
          <w:sz w:val="24"/>
          <w:szCs w:val="24"/>
          <w:lang w:val="nl-NL"/>
        </w:rPr>
      </w:pPr>
      <w:r w:rsidRPr="006234AA">
        <w:rPr>
          <w:sz w:val="24"/>
          <w:szCs w:val="24"/>
          <w:lang w:val="nl-NL"/>
        </w:rPr>
        <w:lastRenderedPageBreak/>
        <w:t>(2) Đối với những vấn đề có thể ảnh hưởng đến tình hình tài chính của Công ty phát sinh sau ngày lập báo cáo này, chúng tôi sẽ cập nhật trong kỳ báo cáo tiếp theo;</w:t>
      </w:r>
    </w:p>
    <w:p w:rsidR="00DB0200" w:rsidRPr="006234AA" w:rsidRDefault="00DB0200" w:rsidP="003C0546">
      <w:pPr>
        <w:spacing w:after="120"/>
        <w:ind w:firstLine="720"/>
        <w:rPr>
          <w:sz w:val="24"/>
          <w:szCs w:val="24"/>
          <w:lang w:val="nl-NL"/>
        </w:rPr>
      </w:pPr>
      <w:r w:rsidRPr="006234AA">
        <w:rPr>
          <w:sz w:val="24"/>
          <w:szCs w:val="24"/>
          <w:lang w:val="nl-NL"/>
        </w:rPr>
        <w:t>(3) Chúng tôi xin hoàn toàn chịu trách nhiệm trước Pháp luật về tính chính xác và trung thực của nội dung báo cáo.</w:t>
      </w:r>
    </w:p>
    <w:p w:rsidR="00DB0200" w:rsidRPr="006234AA" w:rsidRDefault="00DB0200" w:rsidP="003C0546">
      <w:pPr>
        <w:spacing w:after="120"/>
        <w:ind w:firstLine="720"/>
        <w:rPr>
          <w:sz w:val="24"/>
          <w:szCs w:val="24"/>
          <w:lang w:val="nl-NL"/>
        </w:rPr>
      </w:pPr>
    </w:p>
    <w:tbl>
      <w:tblPr>
        <w:tblW w:w="9923" w:type="dxa"/>
        <w:tblInd w:w="-176" w:type="dxa"/>
        <w:tblLook w:val="01E0"/>
      </w:tblPr>
      <w:tblGrid>
        <w:gridCol w:w="2718"/>
        <w:gridCol w:w="3803"/>
        <w:gridCol w:w="3402"/>
      </w:tblGrid>
      <w:tr w:rsidR="00DB0200" w:rsidRPr="006234AA" w:rsidTr="00D60CD2">
        <w:tc>
          <w:tcPr>
            <w:tcW w:w="2718" w:type="dxa"/>
          </w:tcPr>
          <w:p w:rsidR="00DB0200" w:rsidRPr="006234AA" w:rsidRDefault="00DB0200" w:rsidP="003C0546">
            <w:pPr>
              <w:pStyle w:val="Footer"/>
              <w:spacing w:after="120"/>
              <w:jc w:val="center"/>
              <w:rPr>
                <w:b/>
                <w:sz w:val="24"/>
                <w:szCs w:val="24"/>
                <w:lang w:val="nl-NL"/>
              </w:rPr>
            </w:pPr>
            <w:r w:rsidRPr="006234AA">
              <w:rPr>
                <w:b/>
                <w:sz w:val="24"/>
                <w:szCs w:val="24"/>
                <w:lang w:val="nl-NL"/>
              </w:rPr>
              <w:t>Kế toán trưởng</w:t>
            </w:r>
          </w:p>
          <w:p w:rsidR="00DB0200" w:rsidRPr="006234AA" w:rsidRDefault="00DB0200" w:rsidP="003C0546">
            <w:pPr>
              <w:pStyle w:val="Footer"/>
              <w:spacing w:after="120"/>
              <w:jc w:val="center"/>
              <w:rPr>
                <w:b/>
                <w:sz w:val="24"/>
                <w:szCs w:val="24"/>
                <w:lang w:val="nl-NL"/>
              </w:rPr>
            </w:pPr>
            <w:r w:rsidRPr="006234AA">
              <w:rPr>
                <w:sz w:val="24"/>
                <w:szCs w:val="24"/>
                <w:lang w:val="nl-NL"/>
              </w:rPr>
              <w:t>(Ký, ghi rõ họ tên)</w:t>
            </w:r>
          </w:p>
        </w:tc>
        <w:tc>
          <w:tcPr>
            <w:tcW w:w="3803" w:type="dxa"/>
          </w:tcPr>
          <w:p w:rsidR="00DB0200" w:rsidRPr="006234AA" w:rsidRDefault="00DB0200" w:rsidP="003C0546">
            <w:pPr>
              <w:pStyle w:val="Footer"/>
              <w:spacing w:after="120"/>
              <w:jc w:val="center"/>
              <w:rPr>
                <w:b/>
                <w:sz w:val="24"/>
                <w:szCs w:val="24"/>
                <w:lang w:val="nl-NL"/>
              </w:rPr>
            </w:pPr>
            <w:r w:rsidRPr="006234AA">
              <w:rPr>
                <w:b/>
                <w:sz w:val="24"/>
                <w:szCs w:val="24"/>
                <w:lang w:val="nl-NL"/>
              </w:rPr>
              <w:t>Trưởng bộ phận Kiểm soát nội bộ</w:t>
            </w:r>
          </w:p>
          <w:p w:rsidR="00DB0200" w:rsidRPr="006234AA" w:rsidRDefault="00DB0200" w:rsidP="003C0546">
            <w:pPr>
              <w:pStyle w:val="Footer"/>
              <w:spacing w:after="120"/>
              <w:jc w:val="center"/>
              <w:rPr>
                <w:b/>
                <w:sz w:val="24"/>
                <w:szCs w:val="24"/>
                <w:lang w:val="nl-NL"/>
              </w:rPr>
            </w:pPr>
            <w:r w:rsidRPr="006234AA">
              <w:rPr>
                <w:sz w:val="24"/>
                <w:szCs w:val="24"/>
                <w:lang w:val="nl-NL"/>
              </w:rPr>
              <w:t>(Ký, ghi rõ họ tên)</w:t>
            </w:r>
          </w:p>
        </w:tc>
        <w:tc>
          <w:tcPr>
            <w:tcW w:w="3402" w:type="dxa"/>
          </w:tcPr>
          <w:p w:rsidR="00DB0200" w:rsidRPr="006234AA" w:rsidRDefault="00DB0200" w:rsidP="003C0546">
            <w:pPr>
              <w:pStyle w:val="Footer"/>
              <w:spacing w:after="120"/>
              <w:jc w:val="center"/>
              <w:rPr>
                <w:b/>
                <w:sz w:val="24"/>
                <w:szCs w:val="24"/>
                <w:lang w:val="nl-NL"/>
              </w:rPr>
            </w:pPr>
            <w:r w:rsidRPr="006234AA">
              <w:rPr>
                <w:b/>
                <w:sz w:val="24"/>
                <w:szCs w:val="24"/>
                <w:lang w:val="nl-NL"/>
              </w:rPr>
              <w:t>(Tổng) Giám đốc</w:t>
            </w:r>
          </w:p>
          <w:p w:rsidR="00DB0200" w:rsidRPr="006234AA" w:rsidRDefault="00DB0200" w:rsidP="003C0546">
            <w:pPr>
              <w:pStyle w:val="Footer"/>
              <w:spacing w:after="120"/>
              <w:jc w:val="center"/>
              <w:rPr>
                <w:sz w:val="24"/>
                <w:szCs w:val="24"/>
                <w:lang w:val="nl-NL"/>
              </w:rPr>
            </w:pPr>
            <w:r w:rsidRPr="006234AA">
              <w:rPr>
                <w:sz w:val="24"/>
                <w:szCs w:val="24"/>
                <w:lang w:val="nl-NL"/>
              </w:rPr>
              <w:t>(Ký, ghi rõ họ tên, đóng dấu)</w:t>
            </w:r>
          </w:p>
        </w:tc>
      </w:tr>
    </w:tbl>
    <w:p w:rsidR="00DB0200" w:rsidRPr="006234AA" w:rsidRDefault="00DB0200" w:rsidP="003C0546">
      <w:pPr>
        <w:spacing w:after="120"/>
        <w:ind w:firstLine="0"/>
        <w:rPr>
          <w:sz w:val="24"/>
          <w:szCs w:val="24"/>
          <w:lang w:val="nl-NL"/>
        </w:rPr>
      </w:pPr>
    </w:p>
    <w:p w:rsidR="00DB0200" w:rsidRPr="006234AA" w:rsidRDefault="00DB0200" w:rsidP="003C0546">
      <w:pPr>
        <w:spacing w:after="120"/>
        <w:rPr>
          <w:sz w:val="24"/>
          <w:szCs w:val="24"/>
          <w:lang w:val="nl-NL"/>
        </w:rPr>
      </w:pPr>
    </w:p>
    <w:p w:rsidR="00DB0200" w:rsidRPr="006234AA" w:rsidRDefault="00DB0200" w:rsidP="003C0546">
      <w:pPr>
        <w:spacing w:after="120"/>
        <w:rPr>
          <w:sz w:val="24"/>
          <w:szCs w:val="24"/>
          <w:lang w:val="nl-NL"/>
        </w:rPr>
      </w:pPr>
    </w:p>
    <w:p w:rsidR="00DB0200" w:rsidRPr="006234AA" w:rsidRDefault="00DB0200" w:rsidP="003C0546">
      <w:pPr>
        <w:spacing w:after="120"/>
        <w:ind w:firstLine="0"/>
        <w:rPr>
          <w:b/>
          <w:sz w:val="24"/>
          <w:szCs w:val="24"/>
          <w:lang w:val="nl-NL"/>
        </w:rPr>
      </w:pPr>
      <w:r w:rsidRPr="006234AA">
        <w:rPr>
          <w:sz w:val="24"/>
          <w:szCs w:val="24"/>
          <w:lang w:val="nl-NL"/>
        </w:rPr>
        <w:br w:type="page"/>
      </w:r>
      <w:r w:rsidRPr="006234AA">
        <w:rPr>
          <w:b/>
          <w:sz w:val="24"/>
          <w:szCs w:val="24"/>
          <w:lang w:val="nl-NL"/>
        </w:rPr>
        <w:lastRenderedPageBreak/>
        <w:t>I. BẢNG TÍNH VỐN KHẢ DỤNG</w:t>
      </w:r>
      <w:r w:rsidRPr="006234AA">
        <w:rPr>
          <w:rStyle w:val="FootnoteReference"/>
          <w:b/>
          <w:sz w:val="24"/>
          <w:szCs w:val="24"/>
          <w:lang w:val="nl-NL"/>
        </w:rPr>
        <w:footnoteReference w:id="1"/>
      </w:r>
    </w:p>
    <w:p w:rsidR="00DB0200" w:rsidRPr="006234AA" w:rsidRDefault="00DB0200" w:rsidP="003C0546">
      <w:pPr>
        <w:spacing w:after="120"/>
        <w:ind w:firstLine="0"/>
        <w:rPr>
          <w:sz w:val="24"/>
          <w:szCs w:val="24"/>
          <w:lang w:val="nl-NL"/>
        </w:rPr>
      </w:pPr>
    </w:p>
    <w:tbl>
      <w:tblPr>
        <w:tblW w:w="10821"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
        <w:gridCol w:w="6836"/>
        <w:gridCol w:w="48"/>
        <w:gridCol w:w="944"/>
        <w:gridCol w:w="48"/>
        <w:gridCol w:w="992"/>
        <w:gridCol w:w="94"/>
        <w:gridCol w:w="1134"/>
      </w:tblGrid>
      <w:tr w:rsidR="00DB0200" w:rsidRPr="006234AA" w:rsidTr="00D60CD2">
        <w:tc>
          <w:tcPr>
            <w:tcW w:w="709" w:type="dxa"/>
            <w:vMerge w:val="restart"/>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
                <w:bCs/>
                <w:sz w:val="24"/>
                <w:szCs w:val="24"/>
              </w:rPr>
            </w:pPr>
            <w:r w:rsidRPr="006234AA">
              <w:rPr>
                <w:b/>
                <w:bCs/>
                <w:sz w:val="24"/>
                <w:szCs w:val="24"/>
              </w:rPr>
              <w:t>STT</w:t>
            </w:r>
          </w:p>
        </w:tc>
        <w:tc>
          <w:tcPr>
            <w:tcW w:w="6852" w:type="dxa"/>
            <w:gridSpan w:val="2"/>
            <w:vMerge w:val="restart"/>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jc w:val="center"/>
              <w:rPr>
                <w:b/>
                <w:bCs/>
                <w:sz w:val="24"/>
                <w:szCs w:val="24"/>
              </w:rPr>
            </w:pPr>
            <w:r w:rsidRPr="006234AA">
              <w:rPr>
                <w:b/>
                <w:bCs/>
                <w:sz w:val="24"/>
                <w:szCs w:val="24"/>
              </w:rPr>
              <w:t>NỘI DUNG</w:t>
            </w:r>
          </w:p>
        </w:tc>
        <w:tc>
          <w:tcPr>
            <w:tcW w:w="3260" w:type="dxa"/>
            <w:gridSpan w:val="6"/>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
                <w:bCs/>
                <w:sz w:val="24"/>
                <w:szCs w:val="24"/>
              </w:rPr>
              <w:t xml:space="preserve">Vốn khả dụng </w:t>
            </w:r>
          </w:p>
        </w:tc>
      </w:tr>
      <w:tr w:rsidR="00DB0200" w:rsidRPr="006234AA" w:rsidTr="00D60CD2">
        <w:tc>
          <w:tcPr>
            <w:tcW w:w="709" w:type="dxa"/>
            <w:vMerge/>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rPr>
                <w:b/>
                <w:bCs/>
                <w:sz w:val="24"/>
                <w:szCs w:val="24"/>
              </w:rPr>
            </w:pPr>
          </w:p>
        </w:tc>
        <w:tc>
          <w:tcPr>
            <w:tcW w:w="6852" w:type="dxa"/>
            <w:gridSpan w:val="2"/>
            <w:vMerge/>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rPr>
                <w:b/>
                <w:bCs/>
                <w:sz w:val="24"/>
                <w:szCs w:val="24"/>
              </w:rPr>
            </w:pP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
                <w:bCs/>
                <w:sz w:val="24"/>
                <w:szCs w:val="24"/>
              </w:rPr>
              <w:t xml:space="preserve"> VKD</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sz w:val="24"/>
                <w:szCs w:val="24"/>
              </w:rPr>
            </w:pPr>
            <w:r w:rsidRPr="006234AA">
              <w:rPr>
                <w:b/>
                <w:sz w:val="24"/>
                <w:szCs w:val="24"/>
              </w:rPr>
              <w:t>Khoản giảm trừ</w:t>
            </w: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sz w:val="24"/>
                <w:szCs w:val="24"/>
              </w:rPr>
            </w:pPr>
            <w:r w:rsidRPr="006234AA">
              <w:rPr>
                <w:b/>
                <w:sz w:val="24"/>
                <w:szCs w:val="24"/>
              </w:rPr>
              <w:t>Khoản tăng thêm</w:t>
            </w: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ind w:firstLine="0"/>
              <w:rPr>
                <w:b/>
                <w:bCs/>
                <w:sz w:val="24"/>
                <w:szCs w:val="24"/>
              </w:rPr>
            </w:pPr>
            <w:r w:rsidRPr="006234AA">
              <w:rPr>
                <w:b/>
                <w:bCs/>
                <w:sz w:val="24"/>
                <w:szCs w:val="24"/>
              </w:rPr>
              <w:t>A</w:t>
            </w:r>
          </w:p>
        </w:tc>
        <w:tc>
          <w:tcPr>
            <w:tcW w:w="68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rPr>
                <w:b/>
                <w:bCs/>
                <w:sz w:val="24"/>
                <w:szCs w:val="24"/>
              </w:rPr>
            </w:pPr>
            <w:r w:rsidRPr="006234AA">
              <w:rPr>
                <w:b/>
                <w:bCs/>
                <w:sz w:val="24"/>
                <w:szCs w:val="24"/>
              </w:rPr>
              <w:t>Nguồn vốn chủ sở hữu</w:t>
            </w:r>
          </w:p>
        </w:tc>
        <w:tc>
          <w:tcPr>
            <w:tcW w:w="10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ind w:firstLine="0"/>
              <w:jc w:val="right"/>
              <w:rPr>
                <w:b/>
                <w:bCs/>
                <w:sz w:val="24"/>
                <w:szCs w:val="24"/>
              </w:rPr>
            </w:pPr>
            <w:r w:rsidRPr="006234AA">
              <w:rPr>
                <w:b/>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jc w:val="center"/>
              <w:rPr>
                <w:b/>
                <w:sz w:val="24"/>
                <w:szCs w:val="24"/>
              </w:rPr>
            </w:pPr>
            <w:r w:rsidRPr="006234AA">
              <w:rPr>
                <w:b/>
                <w:sz w:val="24"/>
                <w:szCs w:val="24"/>
              </w:rPr>
              <w:t>(2)</w:t>
            </w:r>
          </w:p>
        </w:tc>
        <w:tc>
          <w:tcPr>
            <w:tcW w:w="12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jc w:val="center"/>
              <w:rPr>
                <w:b/>
                <w:sz w:val="24"/>
                <w:szCs w:val="24"/>
              </w:rPr>
            </w:pPr>
            <w:r w:rsidRPr="006234AA">
              <w:rPr>
                <w:b/>
                <w:sz w:val="24"/>
                <w:szCs w:val="24"/>
              </w:rPr>
              <w:t>(3)</w:t>
            </w: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1</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Vốn đầu tư của chủ sở hữu không bao gồm cổ phần ưu đãi hoàn lại (nếu có)</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2</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Thặng dư vốn cổ phần, vốn khác không bao gồm cổ phần ưu đãi hoàn lại (nếu có)</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3</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Cổ phiếu quỹ</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sz w:val="24"/>
                <w:szCs w:val="24"/>
              </w:rPr>
            </w:pPr>
            <w:r w:rsidRPr="006234AA">
              <w:rPr>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rPr>
          <w:trHeight w:val="539"/>
        </w:trPr>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4</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Quỹ dự trữ bổ sung vốn điều lệ (nếu có)</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5</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Quỹ đầu tư phát triển</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6</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Quỹ dự phòng tài chính</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7</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Quỹ khác thuộc vốn chủ sở hữu</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8</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Lợi nhuận lũy kế và lợi nhuận chưa phân phối trước khi trích lập các khoản dự phòng theo quy định của pháp luật</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9</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Chênh lệch đánh giá lại tài sản (50% tăng thêm hoặc 100% giảm đi)</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10</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Chênh lệch tỷ giá hối đoái</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11</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sz w:val="24"/>
                <w:szCs w:val="24"/>
              </w:rPr>
            </w:pPr>
            <w:r w:rsidRPr="006234AA">
              <w:rPr>
                <w:sz w:val="24"/>
                <w:szCs w:val="24"/>
              </w:rPr>
              <w:t>Lợi ích của cổ đông thiểu số</w:t>
            </w:r>
            <w:r w:rsidRPr="006234AA">
              <w:rPr>
                <w:rStyle w:val="FootnoteReference"/>
                <w:sz w:val="24"/>
                <w:szCs w:val="24"/>
              </w:rPr>
              <w:footnoteReference w:id="2"/>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r w:rsidRPr="006234AA">
              <w:rPr>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12</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
                <w:bCs/>
                <w:sz w:val="24"/>
                <w:szCs w:val="24"/>
              </w:rPr>
            </w:pPr>
            <w:r w:rsidRPr="006234AA">
              <w:rPr>
                <w:sz w:val="24"/>
                <w:szCs w:val="24"/>
              </w:rPr>
              <w:t>Các khoản nợ có thể chuyển đổi</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Cs/>
                <w:sz w:val="24"/>
                <w:szCs w:val="24"/>
              </w:rPr>
            </w:pPr>
            <w:r w:rsidRPr="006234AA">
              <w:rPr>
                <w:bCs/>
                <w:sz w:val="24"/>
                <w:szCs w:val="24"/>
              </w:rPr>
              <w:t>13</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spacing w:after="120"/>
              <w:ind w:firstLine="0"/>
              <w:rPr>
                <w:b/>
                <w:bCs/>
                <w:sz w:val="24"/>
                <w:szCs w:val="24"/>
              </w:rPr>
            </w:pPr>
            <w:r w:rsidRPr="006234AA">
              <w:rPr>
                <w:sz w:val="24"/>
                <w:szCs w:val="24"/>
              </w:rPr>
              <w:t>Toàn bộ phần giảm đi hoặc tăng thêm của các chứng khoán tại chỉ tiêu đầu tư tài chính</w:t>
            </w:r>
          </w:p>
        </w:tc>
        <w:tc>
          <w:tcPr>
            <w:tcW w:w="1040"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p w:rsidR="00DB0200" w:rsidRPr="006234AA" w:rsidRDefault="00DB0200" w:rsidP="003C0546">
            <w:pPr>
              <w:spacing w:after="120"/>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p w:rsidR="00DB0200" w:rsidRPr="006234AA" w:rsidRDefault="00DB0200" w:rsidP="003C0546">
            <w:pPr>
              <w:spacing w:after="120"/>
              <w:jc w:val="center"/>
              <w:rPr>
                <w:b/>
                <w:sz w:val="24"/>
                <w:szCs w:val="24"/>
              </w:rPr>
            </w:pPr>
          </w:p>
        </w:tc>
      </w:tr>
      <w:tr w:rsidR="00DB0200" w:rsidRPr="006234AA" w:rsidTr="00D60CD2">
        <w:tc>
          <w:tcPr>
            <w:tcW w:w="709"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sz w:val="24"/>
                <w:szCs w:val="24"/>
              </w:rPr>
            </w:pPr>
            <w:r w:rsidRPr="006234AA">
              <w:rPr>
                <w:b/>
                <w:bCs/>
                <w:sz w:val="24"/>
                <w:szCs w:val="24"/>
              </w:rPr>
              <w:t>1A</w:t>
            </w:r>
          </w:p>
        </w:tc>
        <w:tc>
          <w:tcPr>
            <w:tcW w:w="685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sz w:val="24"/>
                <w:szCs w:val="24"/>
              </w:rPr>
            </w:pPr>
            <w:r w:rsidRPr="006234AA">
              <w:rPr>
                <w:b/>
                <w:sz w:val="24"/>
                <w:szCs w:val="24"/>
              </w:rPr>
              <w:t>Tổng</w:t>
            </w:r>
          </w:p>
        </w:tc>
        <w:tc>
          <w:tcPr>
            <w:tcW w:w="3260" w:type="dxa"/>
            <w:gridSpan w:val="6"/>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ind w:firstLine="0"/>
              <w:rPr>
                <w:b/>
                <w:bCs/>
                <w:sz w:val="24"/>
                <w:szCs w:val="24"/>
              </w:rPr>
            </w:pPr>
            <w:r w:rsidRPr="006234AA">
              <w:rPr>
                <w:b/>
                <w:bCs/>
                <w:sz w:val="24"/>
                <w:szCs w:val="24"/>
              </w:rPr>
              <w:t>B</w:t>
            </w:r>
          </w:p>
        </w:tc>
        <w:tc>
          <w:tcPr>
            <w:tcW w:w="6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ind w:firstLine="0"/>
              <w:rPr>
                <w:b/>
                <w:bCs/>
                <w:sz w:val="24"/>
                <w:szCs w:val="24"/>
              </w:rPr>
            </w:pPr>
            <w:r w:rsidRPr="006234AA">
              <w:rPr>
                <w:b/>
                <w:bCs/>
                <w:sz w:val="24"/>
                <w:szCs w:val="24"/>
              </w:rPr>
              <w:t xml:space="preserve">Tài sản ngắn hạn, kể cả tài sản ký quỹ của khách hang môi giới và khách hàng </w:t>
            </w:r>
            <w:r w:rsidR="00666F37" w:rsidRPr="006234AA">
              <w:rPr>
                <w:b/>
                <w:bCs/>
                <w:sz w:val="24"/>
                <w:szCs w:val="24"/>
              </w:rPr>
              <w:t>bù trừ, thanh toán</w:t>
            </w:r>
            <w:r w:rsidRPr="006234AA">
              <w:rPr>
                <w:b/>
                <w:bCs/>
                <w:sz w:val="24"/>
                <w:szCs w:val="24"/>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I</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i/>
                <w:sz w:val="24"/>
                <w:szCs w:val="24"/>
              </w:rPr>
            </w:pPr>
            <w:r w:rsidRPr="006234AA">
              <w:rPr>
                <w:b/>
                <w:i/>
                <w:sz w:val="24"/>
                <w:szCs w:val="24"/>
              </w:rPr>
              <w:t>Tiền và các khoản tương đương tiền</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lastRenderedPageBreak/>
              <w:t>II</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i/>
                <w:sz w:val="24"/>
                <w:szCs w:val="24"/>
              </w:rPr>
            </w:pPr>
            <w:r w:rsidRPr="006234AA">
              <w:rPr>
                <w:b/>
                <w:i/>
                <w:sz w:val="24"/>
                <w:szCs w:val="24"/>
              </w:rPr>
              <w:t>Các khoản đầu tư tài chính ngắn hạn</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left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1</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sz w:val="24"/>
                <w:szCs w:val="24"/>
              </w:rPr>
            </w:pPr>
            <w:r w:rsidRPr="006234AA">
              <w:rPr>
                <w:sz w:val="24"/>
                <w:szCs w:val="24"/>
              </w:rPr>
              <w:t>Đầu tư ngắn hạn</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rPr>
          <w:trHeight w:val="392"/>
        </w:trPr>
        <w:tc>
          <w:tcPr>
            <w:tcW w:w="725" w:type="dxa"/>
            <w:gridSpan w:val="2"/>
            <w:vMerge w:val="restart"/>
            <w:tcBorders>
              <w:left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sz w:val="24"/>
                <w:szCs w:val="24"/>
              </w:rPr>
            </w:pPr>
            <w:r w:rsidRPr="006234AA">
              <w:rPr>
                <w:sz w:val="24"/>
                <w:szCs w:val="24"/>
              </w:rPr>
              <w:t xml:space="preserve">Chứng khoán tiềm ẩn rủi ro thị trường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tcBorders>
              <w:left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sz w:val="24"/>
                <w:szCs w:val="24"/>
              </w:rPr>
            </w:pPr>
            <w:r w:rsidRPr="006234AA">
              <w:rPr>
                <w:sz w:val="24"/>
                <w:szCs w:val="24"/>
              </w:rPr>
              <w:t xml:space="preserve">Chứng khoán bị giảm trừ khỏi vốn khả dụng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2</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Dự phòng giảm giá đầu tư ngắn hạn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III</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Các khoản phải thu ngắn hạn, kể cả phải thu từ hoạt động ủy thác, nhưng không bao gồm các khoản phải thu từ các hợp đồng giao dịch ký quỹ được thực hiện phù hợp theo quy định của pháp luật</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1</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Phải thu của khách hàng, trong đó:</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val="restart"/>
            <w:tcBorders>
              <w:top w:val="single" w:sz="4" w:space="0" w:color="auto"/>
              <w:left w:val="single" w:sz="4" w:space="0" w:color="auto"/>
              <w:right w:val="single" w:sz="4" w:space="0" w:color="auto"/>
            </w:tcBorders>
          </w:tcPr>
          <w:p w:rsidR="00DB0200" w:rsidRPr="006234AA" w:rsidRDefault="00DB0200" w:rsidP="003C0546">
            <w:pPr>
              <w:spacing w:after="120"/>
              <w:ind w:firstLine="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Phải thu của khách hàng có thời hạn thanh toán còn lại từ 90 ngày trở xuống</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tcBorders>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Phải thu của khách hàng có thời hạn thanh toán còn lại trên 90 ngày</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2</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Trả trước cho người bán</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3</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DB0200" w:rsidRPr="006234AA" w:rsidRDefault="00DB0200" w:rsidP="003C0546">
            <w:pPr>
              <w:spacing w:after="120"/>
              <w:ind w:firstLine="0"/>
              <w:rPr>
                <w:bCs/>
                <w:sz w:val="24"/>
                <w:szCs w:val="24"/>
              </w:rPr>
            </w:pPr>
            <w:r w:rsidRPr="006234AA">
              <w:rPr>
                <w:bCs/>
                <w:sz w:val="24"/>
                <w:szCs w:val="24"/>
              </w:rPr>
              <w:t>Phải thu nội bộ ngắn hạn</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val="restart"/>
            <w:tcBorders>
              <w:top w:val="single" w:sz="4" w:space="0" w:color="auto"/>
              <w:left w:val="single" w:sz="4" w:space="0" w:color="auto"/>
              <w:right w:val="single" w:sz="4" w:space="0" w:color="auto"/>
            </w:tcBorders>
          </w:tcPr>
          <w:p w:rsidR="00DB0200" w:rsidRPr="006234AA" w:rsidRDefault="00DB0200" w:rsidP="003C0546">
            <w:pPr>
              <w:spacing w:after="120"/>
              <w:ind w:firstLine="0"/>
              <w:rPr>
                <w:bCs/>
                <w:sz w:val="24"/>
                <w:szCs w:val="24"/>
              </w:rPr>
            </w:pP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DB0200" w:rsidRPr="006234AA" w:rsidRDefault="00DB0200" w:rsidP="003C0546">
            <w:pPr>
              <w:spacing w:after="120"/>
              <w:ind w:firstLine="0"/>
              <w:rPr>
                <w:bCs/>
                <w:sz w:val="24"/>
                <w:szCs w:val="24"/>
              </w:rPr>
            </w:pPr>
            <w:r w:rsidRPr="006234AA">
              <w:rPr>
                <w:bCs/>
                <w:sz w:val="24"/>
                <w:szCs w:val="24"/>
              </w:rPr>
              <w:t>Phải thu nội bộ có thời hạn thanh toán còn lại từ 90 ngày trở xuống</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tcBorders>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DB0200" w:rsidRPr="006234AA" w:rsidRDefault="00DB0200" w:rsidP="003C0546">
            <w:pPr>
              <w:spacing w:after="120"/>
              <w:ind w:firstLine="0"/>
              <w:rPr>
                <w:bCs/>
                <w:sz w:val="24"/>
                <w:szCs w:val="24"/>
              </w:rPr>
            </w:pPr>
            <w:r w:rsidRPr="006234AA">
              <w:rPr>
                <w:bCs/>
                <w:sz w:val="24"/>
                <w:szCs w:val="24"/>
              </w:rPr>
              <w:t>Phải thu nội bộ có thời hạn thanh toán còn lại trên 90 ngày</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4</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DB0200" w:rsidRPr="006234AA" w:rsidRDefault="00DB0200" w:rsidP="003C0546">
            <w:pPr>
              <w:spacing w:after="120"/>
              <w:ind w:firstLine="0"/>
              <w:rPr>
                <w:bCs/>
                <w:sz w:val="24"/>
                <w:szCs w:val="24"/>
              </w:rPr>
            </w:pPr>
            <w:r w:rsidRPr="006234AA">
              <w:rPr>
                <w:bCs/>
                <w:sz w:val="24"/>
                <w:szCs w:val="24"/>
              </w:rPr>
              <w:t>Phải thu hoạt động giao dịch chứng khoán</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val="restart"/>
            <w:tcBorders>
              <w:top w:val="single" w:sz="4" w:space="0" w:color="auto"/>
              <w:left w:val="single" w:sz="4" w:space="0" w:color="auto"/>
              <w:right w:val="single" w:sz="4" w:space="0" w:color="auto"/>
            </w:tcBorders>
          </w:tcPr>
          <w:p w:rsidR="00DB0200" w:rsidRPr="006234AA" w:rsidRDefault="00DB0200" w:rsidP="003C0546">
            <w:pPr>
              <w:spacing w:after="120"/>
              <w:ind w:firstLine="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Phải thu hoạt động giao dịch chứng khoán có thời hạn thanh toán còn lại từ 90 ngày trở xuống</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tcBorders>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Phải thu hoạt động giao dịch chứng khoán có thời hạn thanh toán còn lại trên 90 ngày</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5</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Tài sản ký quỹ (margin) tự doanh chứng khoán phái sinh</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r>
      <w:tr w:rsidR="00DB0200" w:rsidRPr="006234AA" w:rsidTr="00D60CD2">
        <w:tc>
          <w:tcPr>
            <w:tcW w:w="725" w:type="dxa"/>
            <w:gridSpan w:val="2"/>
            <w:vMerge w:val="restart"/>
            <w:tcBorders>
              <w:top w:val="single" w:sz="4" w:space="0" w:color="auto"/>
              <w:left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 xml:space="preserve">Các khoản ký quỹ của các hợp đồng </w:t>
            </w:r>
            <w:r w:rsidR="008573AD" w:rsidRPr="006234AA">
              <w:rPr>
                <w:bCs/>
                <w:sz w:val="24"/>
                <w:szCs w:val="24"/>
              </w:rPr>
              <w:t xml:space="preserve">có thời gian </w:t>
            </w:r>
            <w:r w:rsidRPr="006234AA">
              <w:rPr>
                <w:bCs/>
                <w:sz w:val="24"/>
                <w:szCs w:val="24"/>
              </w:rPr>
              <w:t xml:space="preserve">đáo hạn </w:t>
            </w:r>
            <w:r w:rsidR="008573AD" w:rsidRPr="006234AA">
              <w:rPr>
                <w:bCs/>
                <w:sz w:val="24"/>
                <w:szCs w:val="24"/>
              </w:rPr>
              <w:t>còn lại từ</w:t>
            </w:r>
            <w:r w:rsidRPr="006234AA">
              <w:rPr>
                <w:bCs/>
                <w:sz w:val="24"/>
                <w:szCs w:val="24"/>
              </w:rPr>
              <w:t xml:space="preserve"> 90 ngày</w:t>
            </w:r>
            <w:r w:rsidR="008573AD" w:rsidRPr="006234AA">
              <w:rPr>
                <w:bCs/>
                <w:sz w:val="24"/>
                <w:szCs w:val="24"/>
              </w:rPr>
              <w:t xml:space="preserve"> trở xuống</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tcBorders>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Các khoản ký quỹ của các hợp đồng</w:t>
            </w:r>
            <w:r w:rsidR="008573AD" w:rsidRPr="006234AA">
              <w:rPr>
                <w:bCs/>
                <w:sz w:val="24"/>
                <w:szCs w:val="24"/>
              </w:rPr>
              <w:t xml:space="preserve"> có thời gian</w:t>
            </w:r>
            <w:r w:rsidRPr="006234AA">
              <w:rPr>
                <w:bCs/>
                <w:sz w:val="24"/>
                <w:szCs w:val="24"/>
              </w:rPr>
              <w:t xml:space="preserve"> đáo hạn </w:t>
            </w:r>
            <w:r w:rsidR="008573AD" w:rsidRPr="006234AA">
              <w:rPr>
                <w:bCs/>
                <w:sz w:val="24"/>
                <w:szCs w:val="24"/>
              </w:rPr>
              <w:t xml:space="preserve">còn lại </w:t>
            </w:r>
            <w:r w:rsidRPr="006234AA">
              <w:rPr>
                <w:bCs/>
                <w:sz w:val="24"/>
                <w:szCs w:val="24"/>
              </w:rPr>
              <w:t>trên 90 ngày</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6</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Các khoản phải thu khác</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r>
      <w:tr w:rsidR="00DB0200" w:rsidRPr="006234AA" w:rsidTr="00D60CD2">
        <w:tc>
          <w:tcPr>
            <w:tcW w:w="725" w:type="dxa"/>
            <w:gridSpan w:val="2"/>
            <w:vMerge w:val="restart"/>
            <w:tcBorders>
              <w:top w:val="single" w:sz="4" w:space="0" w:color="auto"/>
              <w:left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Phải thu khác có thời hạn thanh toán còn lại từ 90 ngày trở xuống</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tcBorders>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Phải thu khác có thời hạn thanh toán còn lại trên 90 ngày</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lastRenderedPageBreak/>
              <w:t>7</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Dự phòng phải thu ngắn hạn khó đòi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IV</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Hàng tồn kho</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V</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Tài sản ngắn hạn khác</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1</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Chi phí trả trước ngắn hạn</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2</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Thuế GTGT được khấu trừ</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3</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Thuế và các khoản phải thu nhà nước</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4</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Tài sản ngắn hạn khác</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4.1</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 xml:space="preserve">Tạm ứng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r>
      <w:tr w:rsidR="00DB0200" w:rsidRPr="006234AA" w:rsidTr="00D60CD2">
        <w:tc>
          <w:tcPr>
            <w:tcW w:w="725" w:type="dxa"/>
            <w:gridSpan w:val="2"/>
            <w:vMerge w:val="restart"/>
            <w:tcBorders>
              <w:top w:val="single" w:sz="4" w:space="0" w:color="auto"/>
              <w:left w:val="single" w:sz="4" w:space="0" w:color="auto"/>
              <w:right w:val="single" w:sz="4" w:space="0" w:color="auto"/>
            </w:tcBorders>
          </w:tcPr>
          <w:p w:rsidR="00DB0200" w:rsidRPr="006234AA" w:rsidRDefault="00DB0200" w:rsidP="003C0546">
            <w:pPr>
              <w:spacing w:after="120"/>
              <w:ind w:firstLine="0"/>
              <w:rPr>
                <w:b/>
                <w:bCs/>
                <w:i/>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Tạm ứng có thời hạn hoàn ứng còn lại từ 90 ngày trở xuống</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r>
      <w:tr w:rsidR="00DB0200" w:rsidRPr="006234AA" w:rsidTr="00D60CD2">
        <w:tc>
          <w:tcPr>
            <w:tcW w:w="725" w:type="dxa"/>
            <w:gridSpan w:val="2"/>
            <w:vMerge/>
            <w:tcBorders>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Tạm ứng có thời hạn hoàn ứng còn lại trên 90 ngày</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4.2</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Tài sản ngắn hạn khác</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sz w:val="24"/>
                <w:szCs w:val="24"/>
              </w:rPr>
            </w:pPr>
            <w:r w:rsidRPr="006234AA">
              <w:rPr>
                <w:b/>
                <w:bCs/>
                <w:sz w:val="24"/>
                <w:szCs w:val="24"/>
              </w:rPr>
              <w:t>1B</w:t>
            </w:r>
          </w:p>
        </w:tc>
        <w:tc>
          <w:tcPr>
            <w:tcW w:w="7828"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sz w:val="24"/>
                <w:szCs w:val="24"/>
              </w:rPr>
            </w:pPr>
            <w:r w:rsidRPr="006234AA">
              <w:rPr>
                <w:b/>
                <w:bCs/>
                <w:sz w:val="24"/>
                <w:szCs w:val="24"/>
              </w:rPr>
              <w:t>Tổng</w:t>
            </w:r>
          </w:p>
        </w:tc>
        <w:tc>
          <w:tcPr>
            <w:tcW w:w="2268" w:type="dxa"/>
            <w:gridSpan w:val="4"/>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ind w:firstLine="0"/>
              <w:rPr>
                <w:b/>
                <w:bCs/>
                <w:sz w:val="24"/>
                <w:szCs w:val="24"/>
              </w:rPr>
            </w:pPr>
            <w:r w:rsidRPr="006234AA">
              <w:rPr>
                <w:b/>
                <w:bCs/>
                <w:sz w:val="24"/>
                <w:szCs w:val="24"/>
              </w:rPr>
              <w:t>C</w:t>
            </w:r>
          </w:p>
        </w:tc>
        <w:tc>
          <w:tcPr>
            <w:tcW w:w="6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ind w:firstLine="0"/>
              <w:rPr>
                <w:b/>
                <w:bCs/>
                <w:sz w:val="24"/>
                <w:szCs w:val="24"/>
              </w:rPr>
            </w:pPr>
            <w:r w:rsidRPr="006234AA">
              <w:rPr>
                <w:b/>
                <w:bCs/>
                <w:sz w:val="24"/>
                <w:szCs w:val="24"/>
              </w:rPr>
              <w:t xml:space="preserve">Tài sản dài hạn </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I</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i/>
                <w:sz w:val="24"/>
                <w:szCs w:val="24"/>
              </w:rPr>
            </w:pPr>
            <w:r w:rsidRPr="006234AA">
              <w:rPr>
                <w:b/>
                <w:i/>
                <w:sz w:val="24"/>
                <w:szCs w:val="24"/>
              </w:rPr>
              <w:t xml:space="preserve">Các khoản phải thu dài hạn, kể cả phải thu từ hoạt động ủy thác, </w:t>
            </w:r>
            <w:r w:rsidRPr="006234AA">
              <w:rPr>
                <w:b/>
                <w:bCs/>
                <w:i/>
                <w:sz w:val="24"/>
                <w:szCs w:val="24"/>
              </w:rPr>
              <w:t>nhưng không bao gồm các khoản phải thu từ các hợp đồng giao dịch ký quỹ được thực hiện phù hợp theo quy định của pháp luật</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i/>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1</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sz w:val="24"/>
                <w:szCs w:val="24"/>
              </w:rPr>
            </w:pPr>
            <w:r w:rsidRPr="006234AA">
              <w:rPr>
                <w:sz w:val="24"/>
                <w:szCs w:val="24"/>
              </w:rPr>
              <w:t xml:space="preserve">Phải thu dài hạn của khách hàng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val="restart"/>
            <w:tcBorders>
              <w:top w:val="single" w:sz="4" w:space="0" w:color="auto"/>
              <w:left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 xml:space="preserve">Phải thu </w:t>
            </w:r>
            <w:r w:rsidRPr="006234AA">
              <w:rPr>
                <w:sz w:val="24"/>
                <w:szCs w:val="24"/>
              </w:rPr>
              <w:t xml:space="preserve">dài hạn của khách hàng </w:t>
            </w:r>
            <w:r w:rsidRPr="006234AA">
              <w:rPr>
                <w:bCs/>
                <w:sz w:val="24"/>
                <w:szCs w:val="24"/>
              </w:rPr>
              <w:t>có thời hạn thanh toán còn lại từ 90 ngày trở xuống</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tcBorders>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 xml:space="preserve">Phải thu </w:t>
            </w:r>
            <w:r w:rsidRPr="006234AA">
              <w:rPr>
                <w:sz w:val="24"/>
                <w:szCs w:val="24"/>
              </w:rPr>
              <w:t xml:space="preserve">dài hạn của khách hàng </w:t>
            </w:r>
            <w:r w:rsidRPr="006234AA">
              <w:rPr>
                <w:bCs/>
                <w:sz w:val="24"/>
                <w:szCs w:val="24"/>
              </w:rPr>
              <w:t>có thời hạn thanh toán còn lại trên 90 ngày</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2</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sz w:val="24"/>
                <w:szCs w:val="24"/>
              </w:rPr>
            </w:pPr>
            <w:r w:rsidRPr="006234AA">
              <w:rPr>
                <w:sz w:val="24"/>
                <w:szCs w:val="24"/>
              </w:rPr>
              <w:t>Vốn kinh doanh ở đơn vị trực thuộc</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3</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sz w:val="24"/>
                <w:szCs w:val="24"/>
              </w:rPr>
            </w:pPr>
            <w:r w:rsidRPr="006234AA">
              <w:rPr>
                <w:sz w:val="24"/>
                <w:szCs w:val="24"/>
              </w:rPr>
              <w:t>Phải thu dài hạn nội bộ</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val="restart"/>
            <w:tcBorders>
              <w:top w:val="single" w:sz="4" w:space="0" w:color="auto"/>
              <w:left w:val="single" w:sz="4" w:space="0" w:color="auto"/>
              <w:right w:val="single" w:sz="4" w:space="0" w:color="auto"/>
            </w:tcBorders>
          </w:tcPr>
          <w:p w:rsidR="00DB0200" w:rsidRPr="006234AA" w:rsidRDefault="00DB0200" w:rsidP="003C0546">
            <w:pPr>
              <w:spacing w:after="120"/>
              <w:ind w:firstLine="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 xml:space="preserve">Phải thu </w:t>
            </w:r>
            <w:r w:rsidRPr="006234AA">
              <w:rPr>
                <w:sz w:val="24"/>
                <w:szCs w:val="24"/>
              </w:rPr>
              <w:t xml:space="preserve">dài hạn nội bộ </w:t>
            </w:r>
            <w:r w:rsidRPr="006234AA">
              <w:rPr>
                <w:bCs/>
                <w:sz w:val="24"/>
                <w:szCs w:val="24"/>
              </w:rPr>
              <w:t>có thời hạn thanh toán còn lại từ 90 ngày trở xuống</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tcBorders>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 xml:space="preserve">Phải thu </w:t>
            </w:r>
            <w:r w:rsidRPr="006234AA">
              <w:rPr>
                <w:sz w:val="24"/>
                <w:szCs w:val="24"/>
              </w:rPr>
              <w:t>dài hạn nội bộ</w:t>
            </w:r>
            <w:r w:rsidRPr="006234AA">
              <w:rPr>
                <w:bCs/>
                <w:sz w:val="24"/>
                <w:szCs w:val="24"/>
              </w:rPr>
              <w:t xml:space="preserve"> có thời hạn thanh toán còn lại trên 90 ngày</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4</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sz w:val="24"/>
                <w:szCs w:val="24"/>
              </w:rPr>
            </w:pPr>
            <w:r w:rsidRPr="006234AA">
              <w:rPr>
                <w:sz w:val="24"/>
                <w:szCs w:val="24"/>
              </w:rPr>
              <w:t xml:space="preserve">Phải thu dài hạn khác,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val="restart"/>
            <w:tcBorders>
              <w:top w:val="single" w:sz="4" w:space="0" w:color="auto"/>
              <w:left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sz w:val="24"/>
                <w:szCs w:val="24"/>
              </w:rPr>
            </w:pPr>
            <w:r w:rsidRPr="006234AA">
              <w:rPr>
                <w:sz w:val="24"/>
                <w:szCs w:val="24"/>
              </w:rPr>
              <w:t>Phải thu dài hạn khác c</w:t>
            </w:r>
            <w:r w:rsidRPr="006234AA">
              <w:rPr>
                <w:bCs/>
                <w:sz w:val="24"/>
                <w:szCs w:val="24"/>
              </w:rPr>
              <w:t>ó thời hạn thanh toán còn lại từ 90 ngày trở xuống</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tcBorders>
              <w:left w:val="single" w:sz="4" w:space="0" w:color="auto"/>
              <w:bottom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sz w:val="24"/>
                <w:szCs w:val="24"/>
              </w:rPr>
            </w:pPr>
            <w:r w:rsidRPr="006234AA">
              <w:rPr>
                <w:sz w:val="24"/>
                <w:szCs w:val="24"/>
              </w:rPr>
              <w:t xml:space="preserve">Phải thu dài hạn khác </w:t>
            </w:r>
            <w:r w:rsidRPr="006234AA">
              <w:rPr>
                <w:bCs/>
                <w:sz w:val="24"/>
                <w:szCs w:val="24"/>
              </w:rPr>
              <w:t>có thời hạn thanh toán còn lại trên 90 ngày</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Cs/>
                <w:sz w:val="24"/>
                <w:szCs w:val="24"/>
              </w:rPr>
            </w:pPr>
            <w:r w:rsidRPr="006234AA">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sz w:val="24"/>
                <w:szCs w:val="24"/>
              </w:rPr>
            </w:pPr>
            <w:r w:rsidRPr="006234AA">
              <w:rPr>
                <w:sz w:val="24"/>
                <w:szCs w:val="24"/>
              </w:rPr>
              <w:t>Dự phòng phải thu dài hạn khó đòi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II</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i/>
                <w:sz w:val="24"/>
                <w:szCs w:val="24"/>
              </w:rPr>
            </w:pPr>
            <w:r w:rsidRPr="006234AA">
              <w:rPr>
                <w:b/>
                <w:i/>
                <w:sz w:val="24"/>
                <w:szCs w:val="24"/>
              </w:rPr>
              <w:t>Tài sản cố định</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i/>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r w:rsidRPr="006234AA">
              <w:rPr>
                <w:bCs/>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III</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i/>
                <w:sz w:val="24"/>
                <w:szCs w:val="24"/>
              </w:rPr>
            </w:pPr>
            <w:r w:rsidRPr="006234AA">
              <w:rPr>
                <w:b/>
                <w:i/>
                <w:sz w:val="24"/>
                <w:szCs w:val="24"/>
              </w:rPr>
              <w:t>Bất động sản đầu tư</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i/>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r w:rsidRPr="006234AA">
              <w:rPr>
                <w:bCs/>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IV</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i/>
                <w:sz w:val="24"/>
                <w:szCs w:val="24"/>
              </w:rPr>
            </w:pPr>
            <w:r w:rsidRPr="006234AA">
              <w:rPr>
                <w:b/>
                <w:i/>
                <w:sz w:val="24"/>
                <w:szCs w:val="24"/>
              </w:rPr>
              <w:t>Các khoản đầu tư tài chính dài hạn</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i/>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1</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sz w:val="24"/>
                <w:szCs w:val="24"/>
              </w:rPr>
            </w:pPr>
            <w:r w:rsidRPr="006234AA">
              <w:rPr>
                <w:sz w:val="24"/>
                <w:szCs w:val="24"/>
              </w:rPr>
              <w:t>Đầu tư vào công ty con</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r w:rsidRPr="006234AA">
              <w:rPr>
                <w:b/>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2</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sz w:val="24"/>
                <w:szCs w:val="24"/>
              </w:rPr>
            </w:pPr>
            <w:r w:rsidRPr="006234AA">
              <w:rPr>
                <w:sz w:val="24"/>
                <w:szCs w:val="24"/>
              </w:rPr>
              <w:t>Đầu tư vào công ty liên kết, liên doanh</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r w:rsidRPr="006234AA">
              <w:rPr>
                <w:b/>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3</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sz w:val="24"/>
                <w:szCs w:val="24"/>
              </w:rPr>
            </w:pPr>
            <w:r w:rsidRPr="006234AA">
              <w:rPr>
                <w:sz w:val="24"/>
                <w:szCs w:val="24"/>
              </w:rPr>
              <w:t>Đầu tư chứng khoán dài hạn</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val="restart"/>
            <w:tcBorders>
              <w:top w:val="single" w:sz="4" w:space="0" w:color="auto"/>
              <w:left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sz w:val="24"/>
                <w:szCs w:val="24"/>
              </w:rPr>
            </w:pPr>
            <w:r w:rsidRPr="006234AA">
              <w:rPr>
                <w:sz w:val="24"/>
                <w:szCs w:val="24"/>
              </w:rPr>
              <w:t xml:space="preserve">Chứng khoán tiềm ẩn rủi ro thị trường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vMerge/>
            <w:tcBorders>
              <w:left w:val="single" w:sz="4" w:space="0" w:color="auto"/>
              <w:right w:val="single" w:sz="4" w:space="0" w:color="auto"/>
            </w:tcBorders>
          </w:tcPr>
          <w:p w:rsidR="00DB0200" w:rsidRPr="006234AA" w:rsidRDefault="00DB0200" w:rsidP="003C0546">
            <w:pPr>
              <w:spacing w:after="120"/>
              <w:rPr>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sz w:val="24"/>
                <w:szCs w:val="24"/>
              </w:rPr>
            </w:pPr>
            <w:r w:rsidRPr="006234AA">
              <w:rPr>
                <w:sz w:val="24"/>
                <w:szCs w:val="24"/>
              </w:rPr>
              <w:t>Chứng khoán bị giảm trừ khỏi vốn khả dụng</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r w:rsidRPr="006234AA">
              <w:rPr>
                <w:b/>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4</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sz w:val="24"/>
                <w:szCs w:val="24"/>
              </w:rPr>
            </w:pPr>
            <w:r w:rsidRPr="006234AA">
              <w:rPr>
                <w:sz w:val="24"/>
                <w:szCs w:val="24"/>
              </w:rPr>
              <w:t>Đầu tư dài hạn khác</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r w:rsidRPr="006234AA">
              <w:rPr>
                <w:b/>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Cs/>
                <w:sz w:val="24"/>
                <w:szCs w:val="24"/>
              </w:rPr>
            </w:pPr>
            <w:r w:rsidRPr="006234AA">
              <w:rPr>
                <w:bCs/>
                <w:sz w:val="24"/>
                <w:szCs w:val="24"/>
              </w:rPr>
              <w:t>5</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sz w:val="24"/>
                <w:szCs w:val="24"/>
              </w:rPr>
            </w:pPr>
            <w:r w:rsidRPr="006234AA">
              <w:rPr>
                <w:sz w:val="24"/>
                <w:szCs w:val="24"/>
              </w:rPr>
              <w:t>Dự phòng giảm giá đầu tư tài chính dài hạn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i/>
                <w:sz w:val="24"/>
                <w:szCs w:val="24"/>
              </w:rPr>
            </w:pPr>
            <w:r w:rsidRPr="006234AA">
              <w:rPr>
                <w:b/>
                <w:bCs/>
                <w:i/>
                <w:sz w:val="24"/>
                <w:szCs w:val="24"/>
              </w:rPr>
              <w:t>V</w:t>
            </w: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i/>
                <w:sz w:val="24"/>
                <w:szCs w:val="24"/>
              </w:rPr>
            </w:pPr>
            <w:r w:rsidRPr="006234AA">
              <w:rPr>
                <w:b/>
                <w:i/>
                <w:sz w:val="24"/>
                <w:szCs w:val="24"/>
              </w:rPr>
              <w:t>Tài sản dài hạn khác</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i/>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r w:rsidRPr="006234AA">
              <w:rPr>
                <w:b/>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rPr>
                <w:b/>
                <w:bCs/>
                <w:sz w:val="24"/>
                <w:szCs w:val="24"/>
              </w:rPr>
            </w:pPr>
          </w:p>
        </w:tc>
        <w:tc>
          <w:tcPr>
            <w:tcW w:w="6836"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sz w:val="24"/>
                <w:szCs w:val="24"/>
              </w:rPr>
            </w:pPr>
            <w:r w:rsidRPr="006234AA">
              <w:rPr>
                <w:b/>
                <w:i/>
                <w:sz w:val="24"/>
                <w:szCs w:val="24"/>
              </w:rPr>
              <w:t>Các chỉ tiêu tài sản</w:t>
            </w:r>
            <w:r w:rsidRPr="006234AA">
              <w:rPr>
                <w:sz w:val="24"/>
                <w:szCs w:val="24"/>
              </w:rPr>
              <w:t xml:space="preserve"> bị coi là khoản ngoại trừ tại báo cáo tài chính năm đã được kiểm toán mà không bị tính giảm trừ theo quy định tại Điều 5 </w:t>
            </w:r>
          </w:p>
        </w:tc>
        <w:tc>
          <w:tcPr>
            <w:tcW w:w="992"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bCs/>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r w:rsidRPr="006234AA">
              <w:rPr>
                <w:b/>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25" w:type="dxa"/>
            <w:gridSpan w:val="2"/>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sz w:val="24"/>
                <w:szCs w:val="24"/>
              </w:rPr>
            </w:pPr>
            <w:r w:rsidRPr="006234AA">
              <w:rPr>
                <w:b/>
                <w:bCs/>
                <w:sz w:val="24"/>
                <w:szCs w:val="24"/>
              </w:rPr>
              <w:t>1C</w:t>
            </w:r>
          </w:p>
        </w:tc>
        <w:tc>
          <w:tcPr>
            <w:tcW w:w="7828"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ind w:firstLine="0"/>
              <w:rPr>
                <w:b/>
                <w:bCs/>
                <w:sz w:val="24"/>
                <w:szCs w:val="24"/>
              </w:rPr>
            </w:pPr>
            <w:r w:rsidRPr="006234AA">
              <w:rPr>
                <w:b/>
                <w:sz w:val="24"/>
                <w:szCs w:val="24"/>
              </w:rPr>
              <w:t>Tổng</w:t>
            </w:r>
          </w:p>
        </w:tc>
        <w:tc>
          <w:tcPr>
            <w:tcW w:w="1134" w:type="dxa"/>
            <w:gridSpan w:val="3"/>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r w:rsidR="00DB0200" w:rsidRPr="006234AA" w:rsidTr="00D60CD2">
        <w:tc>
          <w:tcPr>
            <w:tcW w:w="7609" w:type="dxa"/>
            <w:gridSpan w:val="4"/>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r w:rsidRPr="006234AA">
              <w:rPr>
                <w:b/>
                <w:sz w:val="24"/>
                <w:szCs w:val="24"/>
              </w:rPr>
              <w:t>VỐN KHẢ DỤNG = 1A-1B-1C</w:t>
            </w:r>
          </w:p>
        </w:tc>
        <w:tc>
          <w:tcPr>
            <w:tcW w:w="3212" w:type="dxa"/>
            <w:gridSpan w:val="5"/>
            <w:tcBorders>
              <w:top w:val="single" w:sz="4" w:space="0" w:color="auto"/>
              <w:left w:val="single" w:sz="4" w:space="0" w:color="auto"/>
              <w:bottom w:val="single" w:sz="4" w:space="0" w:color="auto"/>
              <w:right w:val="single" w:sz="4" w:space="0" w:color="auto"/>
            </w:tcBorders>
          </w:tcPr>
          <w:p w:rsidR="00DB0200" w:rsidRPr="006234AA" w:rsidRDefault="00DB0200" w:rsidP="003C0546">
            <w:pPr>
              <w:spacing w:after="120"/>
              <w:jc w:val="center"/>
              <w:rPr>
                <w:b/>
                <w:sz w:val="24"/>
                <w:szCs w:val="24"/>
              </w:rPr>
            </w:pPr>
          </w:p>
        </w:tc>
      </w:tr>
    </w:tbl>
    <w:p w:rsidR="00DB0200" w:rsidRPr="006234AA" w:rsidRDefault="00DB0200" w:rsidP="003C0546">
      <w:pPr>
        <w:spacing w:after="120"/>
        <w:ind w:left="-567"/>
        <w:rPr>
          <w:sz w:val="24"/>
          <w:szCs w:val="24"/>
          <w:lang w:val="nl-NL"/>
        </w:rPr>
      </w:pPr>
      <w:r w:rsidRPr="006234AA">
        <w:rPr>
          <w:b/>
          <w:sz w:val="24"/>
          <w:szCs w:val="24"/>
          <w:lang w:val="nl-NL"/>
        </w:rPr>
        <w:t xml:space="preserve">Ghi chú: </w:t>
      </w:r>
      <w:r w:rsidRPr="006234AA">
        <w:rPr>
          <w:b/>
          <w:sz w:val="24"/>
          <w:szCs w:val="24"/>
          <w:lang w:val="nl-NL"/>
        </w:rPr>
        <w:tab/>
      </w:r>
      <w:r w:rsidRPr="006234AA">
        <w:rPr>
          <w:sz w:val="24"/>
          <w:szCs w:val="24"/>
          <w:lang w:val="nl-NL"/>
        </w:rPr>
        <w:t>1)</w:t>
      </w:r>
      <w:r w:rsidRPr="006234AA">
        <w:rPr>
          <w:b/>
          <w:sz w:val="24"/>
          <w:szCs w:val="24"/>
          <w:lang w:val="nl-NL"/>
        </w:rPr>
        <w:t xml:space="preserve"> </w:t>
      </w:r>
      <w:r w:rsidRPr="006234AA">
        <w:rPr>
          <w:sz w:val="24"/>
          <w:szCs w:val="24"/>
          <w:lang w:val="nl-NL"/>
        </w:rPr>
        <w:t>dấu</w:t>
      </w:r>
      <w:r w:rsidRPr="006234AA">
        <w:rPr>
          <w:b/>
          <w:sz w:val="24"/>
          <w:szCs w:val="24"/>
          <w:lang w:val="nl-NL"/>
        </w:rPr>
        <w:t xml:space="preserve">  </w:t>
      </w:r>
      <w:r w:rsidRPr="006234AA">
        <w:rPr>
          <w:b/>
          <w:i/>
          <w:sz w:val="24"/>
          <w:szCs w:val="24"/>
          <w:lang w:val="nl-NL"/>
        </w:rPr>
        <w:t xml:space="preserve">√   </w:t>
      </w:r>
      <w:r w:rsidRPr="006234AA">
        <w:rPr>
          <w:sz w:val="24"/>
          <w:szCs w:val="24"/>
          <w:lang w:val="nl-NL"/>
        </w:rPr>
        <w:t>là các chỉ tiêu cần tính toán</w:t>
      </w:r>
    </w:p>
    <w:p w:rsidR="00DB0200" w:rsidRPr="006234AA" w:rsidRDefault="00DB0200" w:rsidP="003C0546">
      <w:pPr>
        <w:spacing w:after="120"/>
        <w:ind w:hanging="567"/>
        <w:rPr>
          <w:b/>
          <w:sz w:val="24"/>
          <w:szCs w:val="24"/>
          <w:lang w:val="nl-NL"/>
        </w:rPr>
      </w:pPr>
      <w:r w:rsidRPr="006234AA">
        <w:rPr>
          <w:b/>
          <w:sz w:val="24"/>
          <w:szCs w:val="24"/>
          <w:lang w:val="nl-NL"/>
        </w:rPr>
        <w:t xml:space="preserve"> </w:t>
      </w:r>
      <w:r w:rsidRPr="006234AA">
        <w:rPr>
          <w:b/>
          <w:sz w:val="24"/>
          <w:szCs w:val="24"/>
          <w:lang w:val="nl-NL"/>
        </w:rPr>
        <w:tab/>
      </w:r>
      <w:r w:rsidRPr="006234AA">
        <w:rPr>
          <w:b/>
          <w:sz w:val="24"/>
          <w:szCs w:val="24"/>
          <w:lang w:val="nl-NL"/>
        </w:rPr>
        <w:tab/>
      </w:r>
      <w:r w:rsidRPr="006234AA">
        <w:rPr>
          <w:sz w:val="24"/>
          <w:szCs w:val="24"/>
          <w:lang w:val="nl-NL"/>
        </w:rPr>
        <w:t>2) Khi xác định phần giảm trừ khỏi vốn khả dụng (mục B, C), tổ chức kinh doanh chứng khoán được điều chỉnh giảm bớt phần giá trị giảm trừ như sau:</w:t>
      </w:r>
    </w:p>
    <w:p w:rsidR="00DB0200" w:rsidRPr="006234AA" w:rsidRDefault="00DB0200" w:rsidP="003C0546">
      <w:pPr>
        <w:spacing w:after="120"/>
        <w:rPr>
          <w:sz w:val="24"/>
          <w:szCs w:val="24"/>
          <w:lang w:val="nl-NL"/>
        </w:rPr>
      </w:pPr>
      <w:r w:rsidRPr="006234AA">
        <w:rPr>
          <w:sz w:val="24"/>
          <w:szCs w:val="24"/>
          <w:lang w:val="nl-NL"/>
        </w:rPr>
        <w:t xml:space="preserve">- Đối với tài sản được dùng làm tài sản bảo đảm cho các nghĩa vụ của chính tổ chức kinh doanh chứng khoán hoặc cho bên thứ ba (ví dụ như hợp đồng bán có cam kết mua lại mà tổ chức kinh doanh chứng khoán là bên bán, tài sản ký quỹ trên tài khoản </w:t>
      </w:r>
      <w:r w:rsidR="00666F37" w:rsidRPr="006234AA">
        <w:rPr>
          <w:sz w:val="24"/>
          <w:szCs w:val="24"/>
          <w:lang w:val="nl-NL"/>
        </w:rPr>
        <w:t>bù trừ, thanh toán</w:t>
      </w:r>
      <w:r w:rsidRPr="006234AA">
        <w:rPr>
          <w:sz w:val="24"/>
          <w:szCs w:val="24"/>
          <w:lang w:val="nl-NL"/>
        </w:rPr>
        <w:t xml:space="preserve"> của tổ chức kinh doanh chứng khoán), thì khi tính giảm trừ được giảm bớt đi giá trị nhỏ nhất của các giá trị sau: giá trị thị trường của tài sản xác định theo quy định tại Phụ lục số 2, giá trị sổ sách, giá trị còn lại của các nghĩa vụ;</w:t>
      </w:r>
    </w:p>
    <w:p w:rsidR="00DB0200" w:rsidRPr="006234AA" w:rsidRDefault="00DB0200" w:rsidP="003C0546">
      <w:pPr>
        <w:spacing w:after="120"/>
        <w:rPr>
          <w:sz w:val="24"/>
          <w:szCs w:val="24"/>
          <w:lang w:val="nl-NL"/>
        </w:rPr>
      </w:pPr>
      <w:r w:rsidRPr="006234AA">
        <w:rPr>
          <w:sz w:val="24"/>
          <w:szCs w:val="24"/>
          <w:lang w:val="nl-NL"/>
        </w:rPr>
        <w:t>- Đối với tài sản được bảo đảm bằng tài sản của khách hàng (ví dụ như hợp đồng giao dịch ký quỹ, giao dịch mua có cam kết bán lại mà tổ chức kinh doanh chứng khoán là bên mua): thì khi tính giảm trừ được giảm bớt đi giá trị nhỏ nhất của các giá trị sau: giá trị thị trường của tài sản bảo đảm xác định theo quy định tại khoản 6 Điều 9, giá trị sổ sách.</w:t>
      </w:r>
    </w:p>
    <w:p w:rsidR="00DB0200" w:rsidRPr="006234AA" w:rsidRDefault="00DB0200" w:rsidP="003C0546">
      <w:pPr>
        <w:spacing w:after="120"/>
        <w:rPr>
          <w:b/>
          <w:sz w:val="24"/>
          <w:szCs w:val="24"/>
          <w:lang w:val="nl-NL"/>
        </w:rPr>
      </w:pPr>
      <w:r w:rsidRPr="006234AA">
        <w:rPr>
          <w:sz w:val="24"/>
          <w:szCs w:val="24"/>
          <w:lang w:val="nl-NL"/>
        </w:rPr>
        <w:t>Trong đó, giá trị sổ sách là giá trị còn lại của tài sản bảo đảm (trong trường hợp tài sản cố định) tại thời điểm giao kết hợp đồng hoặc giá trị xác định theo phương pháp nội bộ của tổ chức kinh doanh chứng khoán tại thời điểm giao kết hợp đồng (nếu là loại tài sản khác).</w:t>
      </w:r>
    </w:p>
    <w:p w:rsidR="00DB0200" w:rsidRPr="006234AA" w:rsidRDefault="00DB0200" w:rsidP="003C0546">
      <w:pPr>
        <w:spacing w:after="120"/>
        <w:rPr>
          <w:sz w:val="24"/>
          <w:szCs w:val="24"/>
          <w:lang w:val="nl-NL"/>
        </w:rPr>
      </w:pPr>
      <w:r w:rsidRPr="006234AA">
        <w:rPr>
          <w:sz w:val="24"/>
          <w:szCs w:val="24"/>
          <w:lang w:val="nl-NL"/>
        </w:rPr>
        <w:lastRenderedPageBreak/>
        <w:t xml:space="preserve">3) Các khoản phải thu có thời hạn thanh toán còn lại trên 90 ngày, bao gồm: </w:t>
      </w:r>
    </w:p>
    <w:p w:rsidR="00DB0200" w:rsidRPr="006234AA" w:rsidRDefault="00DB0200" w:rsidP="003C0546">
      <w:pPr>
        <w:spacing w:after="120"/>
        <w:ind w:firstLine="720"/>
        <w:rPr>
          <w:sz w:val="24"/>
          <w:szCs w:val="24"/>
          <w:lang w:val="nl-NL"/>
        </w:rPr>
      </w:pPr>
      <w:r w:rsidRPr="006234AA">
        <w:rPr>
          <w:sz w:val="24"/>
          <w:szCs w:val="24"/>
          <w:lang w:val="nl-NL"/>
        </w:rPr>
        <w:t>- Các khoản phải thu không có kỳ hạn xác định;</w:t>
      </w:r>
    </w:p>
    <w:p w:rsidR="00DB0200" w:rsidRPr="006234AA" w:rsidRDefault="00DB0200" w:rsidP="003C0546">
      <w:pPr>
        <w:spacing w:after="120"/>
        <w:ind w:firstLine="720"/>
        <w:rPr>
          <w:sz w:val="24"/>
          <w:szCs w:val="24"/>
          <w:lang w:val="nl-NL"/>
        </w:rPr>
      </w:pPr>
      <w:r w:rsidRPr="006234AA">
        <w:rPr>
          <w:sz w:val="24"/>
          <w:szCs w:val="24"/>
          <w:lang w:val="nl-NL"/>
        </w:rPr>
        <w:t>- Các khoản phải thu có kỳ hạn còn lại dưới 90 ngày nhưng có thể được tự động gia hạn hay tái tục mà không phát sinh các hoạt động thanh toán;</w:t>
      </w:r>
    </w:p>
    <w:p w:rsidR="00DB0200" w:rsidRPr="006234AA" w:rsidRDefault="00DB0200" w:rsidP="003C0546">
      <w:pPr>
        <w:spacing w:after="120"/>
        <w:ind w:firstLine="720"/>
        <w:rPr>
          <w:sz w:val="24"/>
          <w:szCs w:val="24"/>
          <w:lang w:val="nl-NL"/>
        </w:rPr>
      </w:pPr>
      <w:r w:rsidRPr="006234AA">
        <w:rPr>
          <w:sz w:val="24"/>
          <w:szCs w:val="24"/>
          <w:lang w:val="nl-NL"/>
        </w:rPr>
        <w:t>- Các khoản phải thu có kỳ hạn ban đầu dưới 90 ngày, nhưng chưa được thu hồi, đã được gia hạn, tái tục và có kỳ hạn còn lại dưới 90 ngày, nhưng tính từ thời điểm ban đầu tới thời điểm tính toán, kỳ hạn thực tế của khoản phải thu đã vượt 90 ngày.</w:t>
      </w:r>
    </w:p>
    <w:p w:rsidR="00DB0200" w:rsidRPr="006234AA" w:rsidRDefault="00DB0200" w:rsidP="003C0546">
      <w:pPr>
        <w:spacing w:after="120"/>
        <w:ind w:firstLine="720"/>
        <w:rPr>
          <w:b/>
          <w:sz w:val="24"/>
          <w:szCs w:val="24"/>
          <w:lang w:val="nl-NL"/>
        </w:rPr>
      </w:pPr>
      <w:r w:rsidRPr="006234AA">
        <w:rPr>
          <w:b/>
          <w:sz w:val="24"/>
          <w:szCs w:val="24"/>
          <w:lang w:val="nl-NL"/>
        </w:rPr>
        <w:t>II. BẢNG TÍNH GIÁ TRỊ RỦI RO</w:t>
      </w:r>
    </w:p>
    <w:p w:rsidR="00DB0200" w:rsidRPr="006234AA" w:rsidRDefault="00DB0200" w:rsidP="003C0546">
      <w:pPr>
        <w:spacing w:after="120"/>
        <w:ind w:left="720"/>
        <w:rPr>
          <w:b/>
          <w:sz w:val="14"/>
          <w:szCs w:val="24"/>
          <w:lang w:val="nl-NL"/>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35"/>
        <w:gridCol w:w="107"/>
        <w:gridCol w:w="4012"/>
        <w:gridCol w:w="720"/>
        <w:gridCol w:w="709"/>
        <w:gridCol w:w="780"/>
        <w:gridCol w:w="41"/>
        <w:gridCol w:w="851"/>
        <w:gridCol w:w="259"/>
        <w:gridCol w:w="15"/>
        <w:gridCol w:w="140"/>
        <w:gridCol w:w="425"/>
        <w:gridCol w:w="20"/>
        <w:gridCol w:w="630"/>
        <w:gridCol w:w="45"/>
        <w:gridCol w:w="135"/>
        <w:gridCol w:w="1141"/>
      </w:tblGrid>
      <w:tr w:rsidR="00DB0200" w:rsidRPr="006234AA" w:rsidTr="00D60CD2">
        <w:trPr>
          <w:trHeight w:val="247"/>
        </w:trPr>
        <w:tc>
          <w:tcPr>
            <w:tcW w:w="10591" w:type="dxa"/>
            <w:gridSpan w:val="18"/>
            <w:shd w:val="clear" w:color="auto" w:fill="D9D9D9"/>
            <w:vAlign w:val="center"/>
          </w:tcPr>
          <w:p w:rsidR="00DB0200" w:rsidRPr="006234AA" w:rsidRDefault="00DB0200" w:rsidP="003C0546">
            <w:pPr>
              <w:pStyle w:val="Default"/>
              <w:spacing w:before="120" w:after="120"/>
              <w:rPr>
                <w:b/>
                <w:color w:val="auto"/>
                <w:lang w:val="nl-NL"/>
              </w:rPr>
            </w:pPr>
            <w:r w:rsidRPr="006234AA">
              <w:rPr>
                <w:b/>
                <w:color w:val="auto"/>
                <w:lang w:val="nl-NL"/>
              </w:rPr>
              <w:t>A. RỦI RO THỊ TRƯỜNG</w:t>
            </w:r>
          </w:p>
        </w:tc>
      </w:tr>
      <w:tr w:rsidR="00DB0200" w:rsidRPr="006234AA" w:rsidTr="00D60CD2">
        <w:trPr>
          <w:trHeight w:val="247"/>
        </w:trPr>
        <w:tc>
          <w:tcPr>
            <w:tcW w:w="6889" w:type="dxa"/>
            <w:gridSpan w:val="7"/>
            <w:vMerge w:val="restart"/>
            <w:shd w:val="clear" w:color="auto" w:fill="D9D9D9"/>
            <w:vAlign w:val="center"/>
          </w:tcPr>
          <w:p w:rsidR="00DB0200" w:rsidRPr="006234AA" w:rsidRDefault="00DB0200" w:rsidP="003C0546">
            <w:pPr>
              <w:pStyle w:val="Default"/>
              <w:spacing w:before="120" w:after="120"/>
              <w:rPr>
                <w:b/>
                <w:color w:val="auto"/>
                <w:lang w:val="nl-NL"/>
              </w:rPr>
            </w:pPr>
            <w:r w:rsidRPr="006234AA">
              <w:rPr>
                <w:b/>
                <w:color w:val="auto"/>
                <w:lang w:val="nl-NL"/>
              </w:rPr>
              <w:t xml:space="preserve">Các hạng mục đầu tư </w:t>
            </w:r>
          </w:p>
        </w:tc>
        <w:tc>
          <w:tcPr>
            <w:tcW w:w="1151" w:type="dxa"/>
            <w:gridSpan w:val="3"/>
            <w:shd w:val="clear" w:color="auto" w:fill="D9D9D9"/>
            <w:vAlign w:val="center"/>
          </w:tcPr>
          <w:p w:rsidR="00DB0200" w:rsidRPr="006234AA" w:rsidRDefault="00DB0200" w:rsidP="003C0546">
            <w:pPr>
              <w:pStyle w:val="Default"/>
              <w:spacing w:before="120" w:after="120"/>
              <w:jc w:val="center"/>
              <w:rPr>
                <w:b/>
                <w:color w:val="auto"/>
              </w:rPr>
            </w:pPr>
            <w:r w:rsidRPr="006234AA">
              <w:rPr>
                <w:b/>
                <w:color w:val="auto"/>
              </w:rPr>
              <w:t>Hệ số</w:t>
            </w:r>
          </w:p>
          <w:p w:rsidR="00DB0200" w:rsidRPr="006234AA" w:rsidRDefault="00DB0200" w:rsidP="003C0546">
            <w:pPr>
              <w:pStyle w:val="Default"/>
              <w:spacing w:before="120" w:after="120"/>
              <w:jc w:val="center"/>
              <w:rPr>
                <w:b/>
                <w:color w:val="auto"/>
              </w:rPr>
            </w:pPr>
            <w:r w:rsidRPr="006234AA">
              <w:rPr>
                <w:b/>
                <w:color w:val="auto"/>
              </w:rPr>
              <w:t>rủi ro</w:t>
            </w:r>
          </w:p>
        </w:tc>
        <w:tc>
          <w:tcPr>
            <w:tcW w:w="1275" w:type="dxa"/>
            <w:gridSpan w:val="6"/>
            <w:shd w:val="clear" w:color="auto" w:fill="D9D9D9"/>
            <w:vAlign w:val="center"/>
          </w:tcPr>
          <w:p w:rsidR="00DB0200" w:rsidRPr="006234AA" w:rsidRDefault="00DB0200" w:rsidP="003C0546">
            <w:pPr>
              <w:pStyle w:val="Default"/>
              <w:spacing w:before="120" w:after="120"/>
              <w:jc w:val="center"/>
              <w:rPr>
                <w:b/>
                <w:color w:val="auto"/>
              </w:rPr>
            </w:pPr>
            <w:r w:rsidRPr="006234AA">
              <w:rPr>
                <w:b/>
                <w:color w:val="auto"/>
              </w:rPr>
              <w:t>Quy mô</w:t>
            </w:r>
          </w:p>
          <w:p w:rsidR="00DB0200" w:rsidRPr="006234AA" w:rsidRDefault="00DB0200" w:rsidP="003C0546">
            <w:pPr>
              <w:pStyle w:val="Default"/>
              <w:spacing w:before="120" w:after="120"/>
              <w:jc w:val="center"/>
              <w:rPr>
                <w:b/>
                <w:color w:val="auto"/>
              </w:rPr>
            </w:pPr>
            <w:r w:rsidRPr="006234AA">
              <w:rPr>
                <w:b/>
                <w:color w:val="auto"/>
              </w:rPr>
              <w:t>rủi ro</w:t>
            </w:r>
          </w:p>
        </w:tc>
        <w:tc>
          <w:tcPr>
            <w:tcW w:w="1276" w:type="dxa"/>
            <w:gridSpan w:val="2"/>
            <w:shd w:val="clear" w:color="auto" w:fill="D9D9D9"/>
            <w:vAlign w:val="center"/>
          </w:tcPr>
          <w:p w:rsidR="00DB0200" w:rsidRPr="006234AA" w:rsidRDefault="00DB0200" w:rsidP="003C0546">
            <w:pPr>
              <w:pStyle w:val="Default"/>
              <w:spacing w:before="120" w:after="120"/>
              <w:jc w:val="center"/>
              <w:rPr>
                <w:b/>
                <w:color w:val="auto"/>
              </w:rPr>
            </w:pPr>
            <w:r w:rsidRPr="006234AA">
              <w:rPr>
                <w:b/>
                <w:color w:val="auto"/>
              </w:rPr>
              <w:t>Giá trị rủi ro</w:t>
            </w:r>
          </w:p>
        </w:tc>
      </w:tr>
      <w:tr w:rsidR="00DB0200" w:rsidRPr="006234AA" w:rsidTr="00D60CD2">
        <w:trPr>
          <w:trHeight w:val="247"/>
        </w:trPr>
        <w:tc>
          <w:tcPr>
            <w:tcW w:w="6889" w:type="dxa"/>
            <w:gridSpan w:val="7"/>
            <w:vMerge/>
            <w:shd w:val="clear" w:color="auto" w:fill="D9D9D9"/>
            <w:vAlign w:val="center"/>
          </w:tcPr>
          <w:p w:rsidR="00DB0200" w:rsidRPr="006234AA" w:rsidRDefault="00DB0200" w:rsidP="003C0546">
            <w:pPr>
              <w:pStyle w:val="Default"/>
              <w:spacing w:before="120" w:after="120"/>
              <w:rPr>
                <w:color w:val="auto"/>
              </w:rPr>
            </w:pPr>
          </w:p>
        </w:tc>
        <w:tc>
          <w:tcPr>
            <w:tcW w:w="1151" w:type="dxa"/>
            <w:gridSpan w:val="3"/>
            <w:shd w:val="clear" w:color="auto" w:fill="D9D9D9"/>
            <w:vAlign w:val="center"/>
          </w:tcPr>
          <w:p w:rsidR="00DB0200" w:rsidRPr="006234AA" w:rsidRDefault="00DB0200" w:rsidP="003C0546">
            <w:pPr>
              <w:pStyle w:val="Default"/>
              <w:spacing w:before="120" w:after="120"/>
              <w:jc w:val="center"/>
              <w:rPr>
                <w:b/>
                <w:color w:val="auto"/>
              </w:rPr>
            </w:pPr>
            <w:r w:rsidRPr="006234AA">
              <w:rPr>
                <w:b/>
                <w:color w:val="auto"/>
              </w:rPr>
              <w:t>(1)</w:t>
            </w:r>
          </w:p>
        </w:tc>
        <w:tc>
          <w:tcPr>
            <w:tcW w:w="1275" w:type="dxa"/>
            <w:gridSpan w:val="6"/>
            <w:shd w:val="clear" w:color="auto" w:fill="D9D9D9"/>
            <w:vAlign w:val="center"/>
          </w:tcPr>
          <w:p w:rsidR="00DB0200" w:rsidRPr="006234AA" w:rsidRDefault="00DB0200" w:rsidP="003C0546">
            <w:pPr>
              <w:pStyle w:val="Default"/>
              <w:spacing w:before="120" w:after="120"/>
              <w:jc w:val="center"/>
              <w:rPr>
                <w:b/>
                <w:color w:val="auto"/>
              </w:rPr>
            </w:pPr>
            <w:r w:rsidRPr="006234AA">
              <w:rPr>
                <w:b/>
                <w:color w:val="auto"/>
              </w:rPr>
              <w:t>(2)</w:t>
            </w:r>
          </w:p>
        </w:tc>
        <w:tc>
          <w:tcPr>
            <w:tcW w:w="1276" w:type="dxa"/>
            <w:gridSpan w:val="2"/>
            <w:shd w:val="clear" w:color="auto" w:fill="D9D9D9"/>
            <w:vAlign w:val="center"/>
          </w:tcPr>
          <w:p w:rsidR="00DB0200" w:rsidRPr="006234AA" w:rsidRDefault="00DB0200" w:rsidP="003C0546">
            <w:pPr>
              <w:pStyle w:val="Default"/>
              <w:spacing w:before="120" w:after="120"/>
              <w:jc w:val="center"/>
              <w:rPr>
                <w:b/>
                <w:color w:val="auto"/>
              </w:rPr>
            </w:pPr>
            <w:r w:rsidRPr="006234AA">
              <w:rPr>
                <w:b/>
                <w:color w:val="auto"/>
              </w:rPr>
              <w:t>(3)= (1)x(2)</w:t>
            </w:r>
          </w:p>
        </w:tc>
      </w:tr>
      <w:tr w:rsidR="00DB0200" w:rsidRPr="006234AA" w:rsidTr="00D60CD2">
        <w:trPr>
          <w:trHeight w:val="247"/>
        </w:trPr>
        <w:tc>
          <w:tcPr>
            <w:tcW w:w="6889" w:type="dxa"/>
            <w:gridSpan w:val="7"/>
            <w:shd w:val="clear" w:color="auto" w:fill="D9D9D9"/>
            <w:vAlign w:val="center"/>
          </w:tcPr>
          <w:p w:rsidR="00DB0200" w:rsidRPr="006234AA" w:rsidRDefault="00DB0200" w:rsidP="003C0546">
            <w:pPr>
              <w:pStyle w:val="Default"/>
              <w:spacing w:before="120" w:after="120"/>
              <w:rPr>
                <w:b/>
                <w:bCs/>
                <w:color w:val="auto"/>
              </w:rPr>
            </w:pPr>
            <w:r w:rsidRPr="006234AA">
              <w:rPr>
                <w:b/>
                <w:bCs/>
                <w:color w:val="auto"/>
              </w:rPr>
              <w:t xml:space="preserve"> I. Tiền và các khoản tương đương tiền, </w:t>
            </w:r>
          </w:p>
          <w:p w:rsidR="00DB0200" w:rsidRPr="006234AA" w:rsidRDefault="00DB0200" w:rsidP="003C0546">
            <w:pPr>
              <w:pStyle w:val="Default"/>
              <w:spacing w:before="120" w:after="120"/>
              <w:rPr>
                <w:b/>
                <w:bCs/>
                <w:color w:val="auto"/>
              </w:rPr>
            </w:pPr>
            <w:r w:rsidRPr="006234AA">
              <w:rPr>
                <w:b/>
                <w:bCs/>
                <w:color w:val="auto"/>
              </w:rPr>
              <w:t>công cụ thị trường tiền tệ</w:t>
            </w:r>
          </w:p>
        </w:tc>
        <w:tc>
          <w:tcPr>
            <w:tcW w:w="1151" w:type="dxa"/>
            <w:gridSpan w:val="3"/>
            <w:shd w:val="clear" w:color="auto" w:fill="D9D9D9"/>
            <w:vAlign w:val="center"/>
          </w:tcPr>
          <w:p w:rsidR="00DB0200" w:rsidRPr="006234AA" w:rsidRDefault="00DB0200" w:rsidP="003C0546">
            <w:pPr>
              <w:spacing w:after="120"/>
              <w:rPr>
                <w:b/>
                <w:bCs/>
                <w:sz w:val="24"/>
                <w:szCs w:val="24"/>
                <w:lang w:eastAsia="vi-VN"/>
              </w:rPr>
            </w:pPr>
          </w:p>
          <w:p w:rsidR="00DB0200" w:rsidRPr="006234AA" w:rsidRDefault="00DB0200" w:rsidP="003C0546">
            <w:pPr>
              <w:pStyle w:val="Default"/>
              <w:spacing w:before="120" w:after="120"/>
              <w:rPr>
                <w:b/>
                <w:bCs/>
                <w:color w:val="auto"/>
              </w:rPr>
            </w:pPr>
          </w:p>
        </w:tc>
        <w:tc>
          <w:tcPr>
            <w:tcW w:w="1275" w:type="dxa"/>
            <w:gridSpan w:val="6"/>
            <w:shd w:val="clear" w:color="auto" w:fill="D9D9D9"/>
            <w:vAlign w:val="center"/>
          </w:tcPr>
          <w:p w:rsidR="00DB0200" w:rsidRPr="006234AA" w:rsidRDefault="00DB0200" w:rsidP="003C0546">
            <w:pPr>
              <w:pStyle w:val="Default"/>
              <w:spacing w:before="120" w:after="120"/>
              <w:rPr>
                <w:color w:val="auto"/>
              </w:rPr>
            </w:pPr>
          </w:p>
        </w:tc>
        <w:tc>
          <w:tcPr>
            <w:tcW w:w="1276" w:type="dxa"/>
            <w:gridSpan w:val="2"/>
            <w:shd w:val="clear" w:color="auto" w:fill="D9D9D9"/>
            <w:vAlign w:val="center"/>
          </w:tcPr>
          <w:p w:rsidR="00DB0200" w:rsidRPr="006234AA" w:rsidRDefault="00DB0200" w:rsidP="003C0546">
            <w:pPr>
              <w:pStyle w:val="Default"/>
              <w:spacing w:before="120" w:after="120"/>
              <w:rPr>
                <w:color w:val="auto"/>
              </w:rPr>
            </w:pPr>
          </w:p>
        </w:tc>
      </w:tr>
      <w:tr w:rsidR="00DB0200" w:rsidRPr="006234AA" w:rsidTr="00D60CD2">
        <w:trPr>
          <w:trHeight w:val="253"/>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1.</w:t>
            </w:r>
          </w:p>
        </w:tc>
        <w:tc>
          <w:tcPr>
            <w:tcW w:w="6328" w:type="dxa"/>
            <w:gridSpan w:val="5"/>
            <w:vAlign w:val="center"/>
          </w:tcPr>
          <w:p w:rsidR="00DB0200" w:rsidRPr="006234AA" w:rsidRDefault="00DB0200" w:rsidP="003C0546">
            <w:pPr>
              <w:pStyle w:val="Default"/>
              <w:spacing w:before="120" w:after="120"/>
              <w:rPr>
                <w:color w:val="auto"/>
              </w:rPr>
            </w:pPr>
            <w:r w:rsidRPr="006234AA">
              <w:rPr>
                <w:color w:val="auto"/>
              </w:rPr>
              <w:t>Tiền mặt (VND)</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383"/>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2.</w:t>
            </w:r>
          </w:p>
        </w:tc>
        <w:tc>
          <w:tcPr>
            <w:tcW w:w="6328" w:type="dxa"/>
            <w:gridSpan w:val="5"/>
            <w:vAlign w:val="center"/>
          </w:tcPr>
          <w:p w:rsidR="00DB0200" w:rsidRPr="006234AA" w:rsidRDefault="00DB0200" w:rsidP="003C0546">
            <w:pPr>
              <w:pStyle w:val="Default"/>
              <w:spacing w:before="120" w:after="120"/>
              <w:rPr>
                <w:color w:val="auto"/>
              </w:rPr>
            </w:pPr>
            <w:r w:rsidRPr="006234AA">
              <w:rPr>
                <w:color w:val="auto"/>
              </w:rPr>
              <w:t>Các khoản tương đương tiền, tiền gửi có kỳ hạn</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383"/>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3.</w:t>
            </w:r>
          </w:p>
        </w:tc>
        <w:tc>
          <w:tcPr>
            <w:tcW w:w="6328" w:type="dxa"/>
            <w:gridSpan w:val="5"/>
            <w:vAlign w:val="center"/>
          </w:tcPr>
          <w:p w:rsidR="00DB0200" w:rsidRPr="006234AA" w:rsidRDefault="00DB0200" w:rsidP="003C0546">
            <w:pPr>
              <w:pStyle w:val="Default"/>
              <w:spacing w:before="120" w:after="120"/>
              <w:rPr>
                <w:color w:val="auto"/>
              </w:rPr>
            </w:pPr>
            <w:r w:rsidRPr="006234AA">
              <w:rPr>
                <w:color w:val="auto"/>
              </w:rPr>
              <w:t>Giấy tờ có giá, công cụ chuyển nhượng trên thị trường tiền tệ, chứng chỉ tiền gửi</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263"/>
        </w:trPr>
        <w:tc>
          <w:tcPr>
            <w:tcW w:w="8040" w:type="dxa"/>
            <w:gridSpan w:val="10"/>
            <w:shd w:val="clear" w:color="auto" w:fill="D9D9D9"/>
            <w:vAlign w:val="center"/>
          </w:tcPr>
          <w:p w:rsidR="00DB0200" w:rsidRPr="006234AA" w:rsidRDefault="00DB0200" w:rsidP="003C0546">
            <w:pPr>
              <w:pStyle w:val="Default"/>
              <w:spacing w:before="120" w:after="120"/>
              <w:rPr>
                <w:color w:val="auto"/>
              </w:rPr>
            </w:pPr>
            <w:r w:rsidRPr="006234AA">
              <w:rPr>
                <w:b/>
                <w:bCs/>
                <w:color w:val="auto"/>
              </w:rPr>
              <w:t>II. Trái phiếu Chính phủ</w:t>
            </w:r>
          </w:p>
        </w:tc>
        <w:tc>
          <w:tcPr>
            <w:tcW w:w="1275" w:type="dxa"/>
            <w:gridSpan w:val="6"/>
            <w:shd w:val="clear" w:color="auto" w:fill="D9D9D9"/>
            <w:vAlign w:val="center"/>
          </w:tcPr>
          <w:p w:rsidR="00DB0200" w:rsidRPr="006234AA" w:rsidRDefault="00DB0200" w:rsidP="003C0546">
            <w:pPr>
              <w:pStyle w:val="Default"/>
              <w:spacing w:before="120" w:after="120"/>
              <w:rPr>
                <w:color w:val="auto"/>
              </w:rPr>
            </w:pPr>
          </w:p>
        </w:tc>
        <w:tc>
          <w:tcPr>
            <w:tcW w:w="1276" w:type="dxa"/>
            <w:gridSpan w:val="2"/>
            <w:shd w:val="clear" w:color="auto" w:fill="D9D9D9"/>
            <w:vAlign w:val="center"/>
          </w:tcPr>
          <w:p w:rsidR="00DB0200" w:rsidRPr="006234AA" w:rsidRDefault="00DB0200" w:rsidP="003C0546">
            <w:pPr>
              <w:pStyle w:val="Default"/>
              <w:spacing w:before="120" w:after="120"/>
              <w:rPr>
                <w:color w:val="auto"/>
              </w:rPr>
            </w:pPr>
          </w:p>
        </w:tc>
      </w:tr>
      <w:tr w:rsidR="00DB0200" w:rsidRPr="006234AA" w:rsidTr="00D60CD2">
        <w:trPr>
          <w:trHeight w:val="24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4.</w:t>
            </w:r>
          </w:p>
        </w:tc>
        <w:tc>
          <w:tcPr>
            <w:tcW w:w="6328" w:type="dxa"/>
            <w:gridSpan w:val="5"/>
            <w:vAlign w:val="center"/>
          </w:tcPr>
          <w:p w:rsidR="00DB0200" w:rsidRPr="006234AA" w:rsidRDefault="00DB0200" w:rsidP="003C0546">
            <w:pPr>
              <w:pStyle w:val="Default"/>
              <w:spacing w:before="120" w:after="120"/>
              <w:rPr>
                <w:color w:val="auto"/>
              </w:rPr>
            </w:pPr>
            <w:r w:rsidRPr="006234AA">
              <w:rPr>
                <w:color w:val="auto"/>
              </w:rPr>
              <w:t>Trái phiếu Chính phủ không trả lãi</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255"/>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5.</w:t>
            </w:r>
          </w:p>
        </w:tc>
        <w:tc>
          <w:tcPr>
            <w:tcW w:w="6328" w:type="dxa"/>
            <w:gridSpan w:val="5"/>
            <w:vAlign w:val="center"/>
          </w:tcPr>
          <w:p w:rsidR="00DB0200" w:rsidRPr="006234AA" w:rsidRDefault="00DB0200" w:rsidP="003C0546">
            <w:pPr>
              <w:pStyle w:val="Default"/>
              <w:spacing w:before="120" w:after="120"/>
              <w:rPr>
                <w:color w:val="auto"/>
              </w:rPr>
            </w:pPr>
            <w:r w:rsidRPr="006234AA">
              <w:rPr>
                <w:color w:val="auto"/>
              </w:rPr>
              <w:t xml:space="preserve">Trái phiếu Chính phủ trả lãi suất cuống phiếu </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255"/>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5.1</w:t>
            </w:r>
          </w:p>
        </w:tc>
        <w:tc>
          <w:tcPr>
            <w:tcW w:w="6328" w:type="dxa"/>
            <w:gridSpan w:val="5"/>
            <w:vAlign w:val="center"/>
          </w:tcPr>
          <w:p w:rsidR="00DB0200" w:rsidRPr="006234AA" w:rsidRDefault="00DB0200" w:rsidP="003C0546">
            <w:pPr>
              <w:pStyle w:val="Default"/>
              <w:spacing w:before="120" w:after="120"/>
              <w:rPr>
                <w:color w:val="auto"/>
              </w:rPr>
            </w:pPr>
            <w:r w:rsidRPr="006234AA">
              <w:rPr>
                <w:color w:val="auto"/>
              </w:rPr>
              <w:t>Trái phiếu Chính phủ, Trái phiếu Chính phủ các nước thuộc khối OECD hoặc được bảo lãnh bởi Chính phủ hoặc Ngân hàng Trung ương của các nước thuộc khối này, Trái phiếu được phát hành bởi các tổ chức quốc tế IBRD, ADB, IADB, AfDB, EIB và EBRD</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255"/>
        </w:trPr>
        <w:tc>
          <w:tcPr>
            <w:tcW w:w="561" w:type="dxa"/>
            <w:gridSpan w:val="2"/>
            <w:vMerge w:val="restart"/>
            <w:vAlign w:val="center"/>
          </w:tcPr>
          <w:p w:rsidR="00DB0200" w:rsidRPr="006234AA" w:rsidRDefault="00DB0200" w:rsidP="003C0546">
            <w:pPr>
              <w:pStyle w:val="Default"/>
              <w:spacing w:before="120" w:after="120"/>
              <w:jc w:val="center"/>
              <w:rPr>
                <w:color w:val="auto"/>
              </w:rPr>
            </w:pPr>
            <w:r w:rsidRPr="006234AA">
              <w:rPr>
                <w:color w:val="auto"/>
              </w:rPr>
              <w:t>5.2</w:t>
            </w:r>
          </w:p>
        </w:tc>
        <w:tc>
          <w:tcPr>
            <w:tcW w:w="6328" w:type="dxa"/>
            <w:gridSpan w:val="5"/>
            <w:vAlign w:val="center"/>
          </w:tcPr>
          <w:p w:rsidR="00DB0200" w:rsidRPr="006234AA" w:rsidRDefault="00DB0200" w:rsidP="003C0546">
            <w:pPr>
              <w:pStyle w:val="Default"/>
              <w:spacing w:before="120" w:after="120"/>
              <w:ind w:firstLine="9"/>
              <w:rPr>
                <w:color w:val="auto"/>
              </w:rPr>
            </w:pPr>
            <w:r w:rsidRPr="006234AA">
              <w:rPr>
                <w:color w:val="auto"/>
              </w:rPr>
              <w:t>Trái phiếu công trình được Chính phủ, Bộ Tài chính bảo lãnh có thời gian đáo hạn còn lại dưới 1 năm;</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255"/>
        </w:trPr>
        <w:tc>
          <w:tcPr>
            <w:tcW w:w="561" w:type="dxa"/>
            <w:gridSpan w:val="2"/>
            <w:vMerge/>
            <w:vAlign w:val="center"/>
          </w:tcPr>
          <w:p w:rsidR="00DB0200" w:rsidRPr="006234AA" w:rsidRDefault="00DB0200" w:rsidP="003C0546">
            <w:pPr>
              <w:pStyle w:val="Default"/>
              <w:spacing w:before="120" w:after="120"/>
              <w:jc w:val="center"/>
              <w:rPr>
                <w:color w:val="auto"/>
              </w:rPr>
            </w:pPr>
          </w:p>
        </w:tc>
        <w:tc>
          <w:tcPr>
            <w:tcW w:w="6328" w:type="dxa"/>
            <w:gridSpan w:val="5"/>
            <w:vAlign w:val="center"/>
          </w:tcPr>
          <w:p w:rsidR="00DB0200" w:rsidRPr="006234AA" w:rsidRDefault="00DB0200" w:rsidP="003C0546">
            <w:pPr>
              <w:pStyle w:val="Default"/>
              <w:spacing w:before="120" w:after="120"/>
              <w:ind w:firstLine="9"/>
              <w:rPr>
                <w:color w:val="auto"/>
              </w:rPr>
            </w:pPr>
            <w:r w:rsidRPr="006234AA">
              <w:rPr>
                <w:color w:val="auto"/>
              </w:rPr>
              <w:t>Trái phiếu công trình được Chính phủ, Bộ Tài chính bảo lãnh  có thời gian đáo hạn còn lại từ 1 tới 5 năm;</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255"/>
        </w:trPr>
        <w:tc>
          <w:tcPr>
            <w:tcW w:w="561" w:type="dxa"/>
            <w:gridSpan w:val="2"/>
            <w:vMerge/>
            <w:vAlign w:val="center"/>
          </w:tcPr>
          <w:p w:rsidR="00DB0200" w:rsidRPr="006234AA" w:rsidRDefault="00DB0200" w:rsidP="003C0546">
            <w:pPr>
              <w:pStyle w:val="Default"/>
              <w:spacing w:before="120" w:after="120"/>
              <w:jc w:val="center"/>
              <w:rPr>
                <w:color w:val="auto"/>
              </w:rPr>
            </w:pPr>
          </w:p>
        </w:tc>
        <w:tc>
          <w:tcPr>
            <w:tcW w:w="6328" w:type="dxa"/>
            <w:gridSpan w:val="5"/>
            <w:vAlign w:val="center"/>
          </w:tcPr>
          <w:p w:rsidR="00DB0200" w:rsidRPr="006234AA" w:rsidRDefault="00DB0200" w:rsidP="003C0546">
            <w:pPr>
              <w:pStyle w:val="Default"/>
              <w:spacing w:before="120" w:after="120"/>
              <w:ind w:firstLine="9"/>
              <w:rPr>
                <w:color w:val="auto"/>
              </w:rPr>
            </w:pPr>
            <w:r w:rsidRPr="006234AA">
              <w:rPr>
                <w:color w:val="auto"/>
              </w:rPr>
              <w:t>Trái phiếu công trình được Chính phủ, Bộ Tài chính bảo lãnh có thời gian đáo hạn còn lại từ 5 năm trở lên;</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247"/>
        </w:trPr>
        <w:tc>
          <w:tcPr>
            <w:tcW w:w="8040" w:type="dxa"/>
            <w:gridSpan w:val="10"/>
            <w:shd w:val="clear" w:color="auto" w:fill="D9D9D9"/>
            <w:vAlign w:val="center"/>
          </w:tcPr>
          <w:p w:rsidR="00DB0200" w:rsidRPr="006234AA" w:rsidRDefault="00DB0200" w:rsidP="003C0546">
            <w:pPr>
              <w:pStyle w:val="Default"/>
              <w:spacing w:before="120" w:after="120"/>
              <w:rPr>
                <w:color w:val="auto"/>
              </w:rPr>
            </w:pPr>
            <w:r w:rsidRPr="006234AA">
              <w:rPr>
                <w:b/>
                <w:bCs/>
                <w:color w:val="auto"/>
              </w:rPr>
              <w:lastRenderedPageBreak/>
              <w:t>III. Trái phiếu doanh nghiệp</w:t>
            </w:r>
          </w:p>
        </w:tc>
        <w:tc>
          <w:tcPr>
            <w:tcW w:w="1275" w:type="dxa"/>
            <w:gridSpan w:val="6"/>
            <w:shd w:val="clear" w:color="auto" w:fill="D9D9D9"/>
            <w:vAlign w:val="center"/>
          </w:tcPr>
          <w:p w:rsidR="00DB0200" w:rsidRPr="006234AA" w:rsidRDefault="00DB0200" w:rsidP="003C0546">
            <w:pPr>
              <w:pStyle w:val="Default"/>
              <w:spacing w:before="120" w:after="120"/>
              <w:rPr>
                <w:color w:val="auto"/>
              </w:rPr>
            </w:pPr>
          </w:p>
        </w:tc>
        <w:tc>
          <w:tcPr>
            <w:tcW w:w="1276" w:type="dxa"/>
            <w:gridSpan w:val="2"/>
            <w:shd w:val="clear" w:color="auto" w:fill="D9D9D9"/>
            <w:vAlign w:val="center"/>
          </w:tcPr>
          <w:p w:rsidR="00DB0200" w:rsidRPr="006234AA" w:rsidRDefault="00DB0200" w:rsidP="003C0546">
            <w:pPr>
              <w:pStyle w:val="Default"/>
              <w:spacing w:before="120" w:after="120"/>
              <w:rPr>
                <w:color w:val="auto"/>
              </w:rPr>
            </w:pPr>
          </w:p>
        </w:tc>
      </w:tr>
      <w:tr w:rsidR="00DB0200" w:rsidRPr="006234AA" w:rsidTr="00D60CD2">
        <w:trPr>
          <w:trHeight w:val="631"/>
        </w:trPr>
        <w:tc>
          <w:tcPr>
            <w:tcW w:w="526" w:type="dxa"/>
            <w:vMerge w:val="restart"/>
            <w:vAlign w:val="center"/>
          </w:tcPr>
          <w:p w:rsidR="00DB0200" w:rsidRPr="006234AA" w:rsidRDefault="00DB0200" w:rsidP="003C0546">
            <w:pPr>
              <w:pStyle w:val="Default"/>
              <w:spacing w:before="120" w:after="120"/>
              <w:jc w:val="center"/>
              <w:rPr>
                <w:color w:val="auto"/>
              </w:rPr>
            </w:pPr>
          </w:p>
          <w:p w:rsidR="00DB0200" w:rsidRPr="006234AA" w:rsidRDefault="00DB0200" w:rsidP="003C0546">
            <w:pPr>
              <w:pStyle w:val="Default"/>
              <w:spacing w:before="120" w:after="120"/>
              <w:jc w:val="center"/>
              <w:rPr>
                <w:color w:val="auto"/>
              </w:rPr>
            </w:pPr>
            <w:r w:rsidRPr="006234AA">
              <w:rPr>
                <w:color w:val="auto"/>
              </w:rPr>
              <w:t>6.</w:t>
            </w:r>
          </w:p>
          <w:p w:rsidR="00DB0200" w:rsidRPr="006234AA" w:rsidRDefault="00DB0200" w:rsidP="003C0546">
            <w:pPr>
              <w:pStyle w:val="Default"/>
              <w:spacing w:before="120" w:after="120"/>
              <w:jc w:val="center"/>
              <w:rPr>
                <w:color w:val="auto"/>
              </w:rPr>
            </w:pPr>
          </w:p>
        </w:tc>
        <w:tc>
          <w:tcPr>
            <w:tcW w:w="6363" w:type="dxa"/>
            <w:gridSpan w:val="6"/>
          </w:tcPr>
          <w:p w:rsidR="00DB0200" w:rsidRPr="006234AA" w:rsidRDefault="00DB0200" w:rsidP="003C0546">
            <w:pPr>
              <w:tabs>
                <w:tab w:val="left" w:pos="1080"/>
              </w:tabs>
              <w:spacing w:after="120"/>
              <w:ind w:firstLine="0"/>
              <w:rPr>
                <w:sz w:val="24"/>
                <w:szCs w:val="24"/>
              </w:rPr>
            </w:pPr>
            <w:r w:rsidRPr="006234AA">
              <w:rPr>
                <w:sz w:val="24"/>
                <w:szCs w:val="24"/>
              </w:rPr>
              <w:t>Trái phiếu niêm yết có thời gian đáo hạn còn lại dưới 1 năm, kể cả trái phiếu chuyển đổi</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Merge/>
            <w:vAlign w:val="center"/>
          </w:tcPr>
          <w:p w:rsidR="00DB0200" w:rsidRPr="006234AA" w:rsidRDefault="00DB0200" w:rsidP="003C0546">
            <w:pPr>
              <w:pStyle w:val="Default"/>
              <w:spacing w:before="120" w:after="120"/>
              <w:jc w:val="center"/>
              <w:rPr>
                <w:color w:val="auto"/>
              </w:rPr>
            </w:pPr>
          </w:p>
        </w:tc>
        <w:tc>
          <w:tcPr>
            <w:tcW w:w="6363" w:type="dxa"/>
            <w:gridSpan w:val="6"/>
          </w:tcPr>
          <w:p w:rsidR="00DB0200" w:rsidRPr="006234AA" w:rsidRDefault="00DB0200" w:rsidP="003C0546">
            <w:pPr>
              <w:tabs>
                <w:tab w:val="left" w:pos="1080"/>
              </w:tabs>
              <w:spacing w:after="120"/>
              <w:ind w:firstLine="0"/>
              <w:rPr>
                <w:sz w:val="24"/>
                <w:szCs w:val="24"/>
              </w:rPr>
            </w:pPr>
            <w:r w:rsidRPr="006234AA">
              <w:rPr>
                <w:sz w:val="24"/>
                <w:szCs w:val="24"/>
              </w:rPr>
              <w:t xml:space="preserve">Trái phiếu niêm yết có thời gian đáo hạn từ 1 tới 5 năm, kể cả trái phiếu chuyển đổi </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Merge/>
            <w:vAlign w:val="center"/>
          </w:tcPr>
          <w:p w:rsidR="00DB0200" w:rsidRPr="006234AA" w:rsidRDefault="00DB0200" w:rsidP="003C0546">
            <w:pPr>
              <w:pStyle w:val="Default"/>
              <w:spacing w:before="120" w:after="120"/>
              <w:jc w:val="center"/>
              <w:rPr>
                <w:color w:val="auto"/>
              </w:rPr>
            </w:pPr>
          </w:p>
        </w:tc>
        <w:tc>
          <w:tcPr>
            <w:tcW w:w="6363" w:type="dxa"/>
            <w:gridSpan w:val="6"/>
          </w:tcPr>
          <w:p w:rsidR="00DB0200" w:rsidRPr="006234AA" w:rsidRDefault="00DB0200" w:rsidP="003C0546">
            <w:pPr>
              <w:tabs>
                <w:tab w:val="left" w:pos="1080"/>
              </w:tabs>
              <w:spacing w:after="120"/>
              <w:ind w:firstLine="0"/>
              <w:rPr>
                <w:sz w:val="24"/>
                <w:szCs w:val="24"/>
              </w:rPr>
            </w:pPr>
            <w:r w:rsidRPr="006234AA">
              <w:rPr>
                <w:sz w:val="24"/>
                <w:szCs w:val="24"/>
              </w:rPr>
              <w:t>Trái phiếu niêm yết có thời gian đáo hạn từ 5 năm trở lên, kể cả trái phiếu chuyển đổi</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Merge w:val="restart"/>
            <w:vAlign w:val="center"/>
          </w:tcPr>
          <w:p w:rsidR="00DB0200" w:rsidRPr="006234AA" w:rsidRDefault="00DB0200" w:rsidP="003C0546">
            <w:pPr>
              <w:pStyle w:val="Default"/>
              <w:spacing w:before="120" w:after="120"/>
              <w:jc w:val="center"/>
              <w:rPr>
                <w:color w:val="auto"/>
              </w:rPr>
            </w:pPr>
            <w:r w:rsidRPr="006234AA">
              <w:rPr>
                <w:color w:val="auto"/>
              </w:rPr>
              <w:t>7.</w:t>
            </w:r>
          </w:p>
        </w:tc>
        <w:tc>
          <w:tcPr>
            <w:tcW w:w="6363" w:type="dxa"/>
            <w:gridSpan w:val="6"/>
          </w:tcPr>
          <w:p w:rsidR="00DB0200" w:rsidRPr="006234AA" w:rsidRDefault="00DB0200" w:rsidP="003C0546">
            <w:pPr>
              <w:tabs>
                <w:tab w:val="left" w:pos="1080"/>
              </w:tabs>
              <w:spacing w:after="120"/>
              <w:ind w:firstLine="0"/>
              <w:rPr>
                <w:sz w:val="24"/>
                <w:szCs w:val="24"/>
              </w:rPr>
            </w:pPr>
            <w:r w:rsidRPr="006234AA">
              <w:rPr>
                <w:sz w:val="24"/>
                <w:szCs w:val="24"/>
              </w:rPr>
              <w:t>Trái phiếu không niêm yết có thời gian đáo hạn còn lại dưới 1 năm, kể cả trái phiếu chuyển đổi</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Merge/>
            <w:vAlign w:val="center"/>
          </w:tcPr>
          <w:p w:rsidR="00DB0200" w:rsidRPr="006234AA" w:rsidRDefault="00DB0200" w:rsidP="003C0546">
            <w:pPr>
              <w:pStyle w:val="Default"/>
              <w:spacing w:before="120" w:after="120"/>
              <w:jc w:val="center"/>
              <w:rPr>
                <w:color w:val="auto"/>
              </w:rPr>
            </w:pPr>
          </w:p>
        </w:tc>
        <w:tc>
          <w:tcPr>
            <w:tcW w:w="6363" w:type="dxa"/>
            <w:gridSpan w:val="6"/>
          </w:tcPr>
          <w:p w:rsidR="00DB0200" w:rsidRPr="006234AA" w:rsidRDefault="00DB0200" w:rsidP="003C0546">
            <w:pPr>
              <w:tabs>
                <w:tab w:val="left" w:pos="1080"/>
              </w:tabs>
              <w:spacing w:after="120"/>
              <w:ind w:firstLine="0"/>
              <w:rPr>
                <w:sz w:val="24"/>
                <w:szCs w:val="24"/>
              </w:rPr>
            </w:pPr>
            <w:r w:rsidRPr="006234AA">
              <w:rPr>
                <w:sz w:val="24"/>
                <w:szCs w:val="24"/>
              </w:rPr>
              <w:t xml:space="preserve">Trái phiếu không niêm yết có thời gian đáo hạn từ 1 tới 5 năm, kể cả trái phiếu chuyển đổi </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Merge/>
            <w:vAlign w:val="center"/>
          </w:tcPr>
          <w:p w:rsidR="00DB0200" w:rsidRPr="006234AA" w:rsidRDefault="00DB0200" w:rsidP="003C0546">
            <w:pPr>
              <w:pStyle w:val="Default"/>
              <w:spacing w:before="120" w:after="120"/>
              <w:jc w:val="center"/>
              <w:rPr>
                <w:color w:val="auto"/>
              </w:rPr>
            </w:pPr>
          </w:p>
        </w:tc>
        <w:tc>
          <w:tcPr>
            <w:tcW w:w="6363" w:type="dxa"/>
            <w:gridSpan w:val="6"/>
          </w:tcPr>
          <w:p w:rsidR="00DB0200" w:rsidRPr="006234AA" w:rsidRDefault="00DB0200" w:rsidP="003C0546">
            <w:pPr>
              <w:tabs>
                <w:tab w:val="left" w:pos="1080"/>
              </w:tabs>
              <w:spacing w:after="120"/>
              <w:ind w:firstLine="0"/>
              <w:rPr>
                <w:sz w:val="24"/>
                <w:szCs w:val="24"/>
              </w:rPr>
            </w:pPr>
            <w:r w:rsidRPr="006234AA">
              <w:rPr>
                <w:sz w:val="24"/>
                <w:szCs w:val="24"/>
              </w:rPr>
              <w:t>Trái phiếu không niêm yết có thời gian đáo hạn từ 5 năm trở lên, kể cả trái phiếu chuyển đổi</w:t>
            </w:r>
          </w:p>
        </w:tc>
        <w:tc>
          <w:tcPr>
            <w:tcW w:w="1151" w:type="dxa"/>
            <w:gridSpan w:val="3"/>
            <w:vAlign w:val="center"/>
          </w:tcPr>
          <w:p w:rsidR="00DB0200" w:rsidRPr="006234AA" w:rsidRDefault="00DB0200" w:rsidP="003C0546">
            <w:pPr>
              <w:pStyle w:val="Default"/>
              <w:spacing w:before="120" w:after="120"/>
              <w:rPr>
                <w:color w:val="auto"/>
              </w:rPr>
            </w:pPr>
          </w:p>
        </w:tc>
        <w:tc>
          <w:tcPr>
            <w:tcW w:w="1275" w:type="dxa"/>
            <w:gridSpan w:val="6"/>
            <w:vAlign w:val="center"/>
          </w:tcPr>
          <w:p w:rsidR="00DB0200" w:rsidRPr="006234AA" w:rsidRDefault="00DB0200" w:rsidP="003C0546">
            <w:pPr>
              <w:pStyle w:val="Default"/>
              <w:spacing w:before="120" w:after="120"/>
              <w:rPr>
                <w:color w:val="auto"/>
              </w:rPr>
            </w:pPr>
          </w:p>
        </w:tc>
        <w:tc>
          <w:tcPr>
            <w:tcW w:w="1276" w:type="dxa"/>
            <w:gridSpan w:val="2"/>
            <w:vAlign w:val="center"/>
          </w:tcPr>
          <w:p w:rsidR="00DB0200" w:rsidRPr="006234AA" w:rsidRDefault="00DB0200" w:rsidP="003C0546">
            <w:pPr>
              <w:pStyle w:val="Default"/>
              <w:spacing w:before="120" w:after="120"/>
              <w:rPr>
                <w:color w:val="auto"/>
              </w:rPr>
            </w:pPr>
          </w:p>
        </w:tc>
      </w:tr>
      <w:tr w:rsidR="00DB0200" w:rsidRPr="006234AA" w:rsidTr="00D60CD2">
        <w:trPr>
          <w:trHeight w:val="407"/>
        </w:trPr>
        <w:tc>
          <w:tcPr>
            <w:tcW w:w="10591" w:type="dxa"/>
            <w:gridSpan w:val="18"/>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IV. Cổ phiếu</w:t>
            </w: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8.</w:t>
            </w:r>
          </w:p>
        </w:tc>
        <w:tc>
          <w:tcPr>
            <w:tcW w:w="6363" w:type="dxa"/>
            <w:gridSpan w:val="6"/>
            <w:vAlign w:val="center"/>
          </w:tcPr>
          <w:p w:rsidR="00DB0200" w:rsidRPr="006234AA" w:rsidRDefault="00DB0200" w:rsidP="003C0546">
            <w:pPr>
              <w:pStyle w:val="Default"/>
              <w:spacing w:before="120" w:after="120"/>
              <w:ind w:left="9" w:hanging="9"/>
              <w:rPr>
                <w:color w:val="auto"/>
              </w:rPr>
            </w:pPr>
            <w:r w:rsidRPr="006234AA">
              <w:rPr>
                <w:color w:val="auto"/>
              </w:rPr>
              <w:t>Cổ phiếu phổ thông, cổ phiếu ưu đãi của các tổ chức niêm yết tại Sở Giao dịch Chứng khoán  Hồ Chí Minh; chứng chỉ quỹ mở</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9.</w:t>
            </w:r>
          </w:p>
        </w:tc>
        <w:tc>
          <w:tcPr>
            <w:tcW w:w="6363" w:type="dxa"/>
            <w:gridSpan w:val="6"/>
            <w:vAlign w:val="center"/>
          </w:tcPr>
          <w:p w:rsidR="00DB0200" w:rsidRPr="006234AA" w:rsidRDefault="00DB0200" w:rsidP="003C0546">
            <w:pPr>
              <w:pStyle w:val="Default"/>
              <w:spacing w:before="120" w:after="120"/>
              <w:ind w:left="9" w:hanging="9"/>
              <w:rPr>
                <w:color w:val="auto"/>
              </w:rPr>
            </w:pPr>
            <w:r w:rsidRPr="006234AA">
              <w:rPr>
                <w:color w:val="auto"/>
              </w:rPr>
              <w:t>Cổ phiếu phổ thông, cổ phiếu ưu đãi của các tổ chức niêm yết tại Sở Giao dịch Chứng khoán  Hà Nội</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10.</w:t>
            </w:r>
          </w:p>
        </w:tc>
        <w:tc>
          <w:tcPr>
            <w:tcW w:w="6363" w:type="dxa"/>
            <w:gridSpan w:val="6"/>
            <w:vAlign w:val="center"/>
          </w:tcPr>
          <w:p w:rsidR="00DB0200" w:rsidRPr="006234AA" w:rsidRDefault="00DB0200" w:rsidP="003C0546">
            <w:pPr>
              <w:pStyle w:val="Default"/>
              <w:spacing w:before="120" w:after="120"/>
              <w:ind w:left="9" w:hanging="9"/>
              <w:rPr>
                <w:color w:val="auto"/>
              </w:rPr>
            </w:pPr>
            <w:r w:rsidRPr="006234AA">
              <w:rPr>
                <w:color w:val="auto"/>
              </w:rPr>
              <w:t xml:space="preserve">Cổ phiếu phổ thông, cổ phiếu ưu đãi các công ty đại chúng chưa niêm yết, đăng ký giao dịch qua hệ thống UpCom </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11.</w:t>
            </w:r>
          </w:p>
        </w:tc>
        <w:tc>
          <w:tcPr>
            <w:tcW w:w="6363" w:type="dxa"/>
            <w:gridSpan w:val="6"/>
            <w:vAlign w:val="center"/>
          </w:tcPr>
          <w:p w:rsidR="00DB0200" w:rsidRPr="006234AA" w:rsidRDefault="00DB0200" w:rsidP="003C0546">
            <w:pPr>
              <w:pStyle w:val="Default"/>
              <w:spacing w:before="120" w:after="120"/>
              <w:ind w:left="9" w:hanging="9"/>
              <w:rPr>
                <w:color w:val="auto"/>
              </w:rPr>
            </w:pPr>
            <w:r w:rsidRPr="006234AA">
              <w:rPr>
                <w:color w:val="auto"/>
              </w:rPr>
              <w:t>Cổ phiếu phổ thông, cổ phiếu ưu đãi của các công ty đại chúng đã đăng ký lưu ký, nhưng chưa  niêm yết hoặc đăng ký giao dịch; cổ phiếu đang trong đợt phát hành lần đầu (IPO)</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spacing w:after="120"/>
              <w:rPr>
                <w:sz w:val="24"/>
                <w:szCs w:val="24"/>
                <w:lang w:val="vi-VN" w:eastAsia="vi-VN"/>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368"/>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12.</w:t>
            </w:r>
          </w:p>
        </w:tc>
        <w:tc>
          <w:tcPr>
            <w:tcW w:w="6363" w:type="dxa"/>
            <w:gridSpan w:val="6"/>
            <w:vAlign w:val="center"/>
          </w:tcPr>
          <w:p w:rsidR="00DB0200" w:rsidRPr="006234AA" w:rsidRDefault="00DB0200" w:rsidP="003C0546">
            <w:pPr>
              <w:pStyle w:val="Default"/>
              <w:spacing w:before="120" w:after="120"/>
              <w:ind w:left="10" w:hanging="10"/>
              <w:rPr>
                <w:color w:val="auto"/>
              </w:rPr>
            </w:pPr>
            <w:r w:rsidRPr="006234AA">
              <w:rPr>
                <w:color w:val="auto"/>
              </w:rPr>
              <w:t>Cổ phiếu của các công ty đại chúng  khác</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8195" w:type="dxa"/>
            <w:gridSpan w:val="12"/>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V</w:t>
            </w:r>
            <w:r w:rsidRPr="006234AA">
              <w:rPr>
                <w:b/>
                <w:color w:val="auto"/>
                <w:shd w:val="clear" w:color="auto" w:fill="BFBFBF" w:themeFill="background1" w:themeFillShade="BF"/>
              </w:rPr>
              <w:t>. Hợp đồng chứng khoán phái sinh</w:t>
            </w:r>
          </w:p>
        </w:tc>
        <w:tc>
          <w:tcPr>
            <w:tcW w:w="1075" w:type="dxa"/>
            <w:gridSpan w:val="3"/>
            <w:shd w:val="clear" w:color="auto" w:fill="BFBFBF" w:themeFill="background1" w:themeFillShade="BF"/>
            <w:vAlign w:val="center"/>
          </w:tcPr>
          <w:p w:rsidR="00DB0200" w:rsidRPr="006234AA" w:rsidRDefault="00DB0200" w:rsidP="003C0546">
            <w:pPr>
              <w:pStyle w:val="Default"/>
              <w:spacing w:before="120" w:after="120"/>
              <w:rPr>
                <w:color w:val="auto"/>
              </w:rPr>
            </w:pPr>
          </w:p>
        </w:tc>
        <w:tc>
          <w:tcPr>
            <w:tcW w:w="1321" w:type="dxa"/>
            <w:gridSpan w:val="3"/>
            <w:shd w:val="clear" w:color="auto" w:fill="BFBFBF" w:themeFill="background1" w:themeFillShade="BF"/>
            <w:vAlign w:val="center"/>
          </w:tcPr>
          <w:p w:rsidR="00DB0200" w:rsidRPr="006234AA" w:rsidRDefault="00DB0200" w:rsidP="003C0546">
            <w:pPr>
              <w:pStyle w:val="Default"/>
              <w:spacing w:before="120" w:after="120"/>
              <w:rPr>
                <w:color w:val="auto"/>
              </w:rPr>
            </w:pPr>
          </w:p>
        </w:tc>
      </w:tr>
      <w:tr w:rsidR="00DB0200" w:rsidRPr="006234AA" w:rsidTr="00D60CD2">
        <w:trPr>
          <w:trHeight w:val="351"/>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w:t>
            </w:r>
          </w:p>
        </w:tc>
        <w:tc>
          <w:tcPr>
            <w:tcW w:w="6363" w:type="dxa"/>
            <w:gridSpan w:val="6"/>
            <w:vAlign w:val="center"/>
          </w:tcPr>
          <w:p w:rsidR="00DB0200" w:rsidRPr="006234AA" w:rsidRDefault="00DB0200" w:rsidP="003C0546">
            <w:pPr>
              <w:pStyle w:val="Default"/>
              <w:spacing w:before="120" w:after="120"/>
              <w:ind w:left="10" w:hanging="10"/>
              <w:rPr>
                <w:color w:val="auto"/>
              </w:rPr>
            </w:pPr>
            <w:r w:rsidRPr="006234AA">
              <w:rPr>
                <w:color w:val="auto"/>
              </w:rPr>
              <w:t>Hợp đồng tương lai chỉ số</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271"/>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 xml:space="preserve">2. </w:t>
            </w:r>
          </w:p>
        </w:tc>
        <w:tc>
          <w:tcPr>
            <w:tcW w:w="6363" w:type="dxa"/>
            <w:gridSpan w:val="6"/>
            <w:vAlign w:val="center"/>
          </w:tcPr>
          <w:p w:rsidR="00DB0200" w:rsidRPr="006234AA" w:rsidRDefault="00DB0200" w:rsidP="003C0546">
            <w:pPr>
              <w:pStyle w:val="Default"/>
              <w:spacing w:before="120" w:after="120"/>
              <w:ind w:left="10" w:hanging="10"/>
              <w:rPr>
                <w:color w:val="auto"/>
              </w:rPr>
            </w:pPr>
            <w:r w:rsidRPr="006234AA">
              <w:rPr>
                <w:color w:val="auto"/>
              </w:rPr>
              <w:t>Hợp đồng tương lai trái phiếu chính phủ</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8195" w:type="dxa"/>
            <w:gridSpan w:val="12"/>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VI</w:t>
            </w:r>
            <w:r w:rsidRPr="006234AA">
              <w:rPr>
                <w:b/>
                <w:color w:val="auto"/>
                <w:shd w:val="clear" w:color="auto" w:fill="BFBFBF" w:themeFill="background1" w:themeFillShade="BF"/>
              </w:rPr>
              <w:t>. Chứng chỉ quỹ đầu tư chứng khoán</w:t>
            </w:r>
          </w:p>
        </w:tc>
        <w:tc>
          <w:tcPr>
            <w:tcW w:w="1075" w:type="dxa"/>
            <w:gridSpan w:val="3"/>
            <w:shd w:val="clear" w:color="auto" w:fill="BFBFBF" w:themeFill="background1" w:themeFillShade="BF"/>
            <w:vAlign w:val="center"/>
          </w:tcPr>
          <w:p w:rsidR="00DB0200" w:rsidRPr="006234AA" w:rsidRDefault="00DB0200" w:rsidP="003C0546">
            <w:pPr>
              <w:pStyle w:val="Default"/>
              <w:spacing w:before="120" w:after="120"/>
              <w:rPr>
                <w:color w:val="auto"/>
              </w:rPr>
            </w:pPr>
          </w:p>
        </w:tc>
        <w:tc>
          <w:tcPr>
            <w:tcW w:w="1321" w:type="dxa"/>
            <w:gridSpan w:val="3"/>
            <w:shd w:val="clear" w:color="auto" w:fill="BFBFBF" w:themeFill="background1" w:themeFillShade="BF"/>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13.</w:t>
            </w:r>
          </w:p>
        </w:tc>
        <w:tc>
          <w:tcPr>
            <w:tcW w:w="6363" w:type="dxa"/>
            <w:gridSpan w:val="6"/>
            <w:vAlign w:val="center"/>
          </w:tcPr>
          <w:p w:rsidR="00DB0200" w:rsidRPr="006234AA" w:rsidRDefault="00DB0200" w:rsidP="003C0546">
            <w:pPr>
              <w:pStyle w:val="Default"/>
              <w:spacing w:before="120" w:after="120"/>
              <w:rPr>
                <w:color w:val="auto"/>
              </w:rPr>
            </w:pPr>
            <w:r w:rsidRPr="006234AA">
              <w:rPr>
                <w:color w:val="auto"/>
              </w:rPr>
              <w:t>Quỹ đại chúng, bao gồm cả công ty đầu tư chứng khoán đại chúng</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14.</w:t>
            </w:r>
          </w:p>
        </w:tc>
        <w:tc>
          <w:tcPr>
            <w:tcW w:w="6363" w:type="dxa"/>
            <w:gridSpan w:val="6"/>
            <w:vAlign w:val="center"/>
          </w:tcPr>
          <w:p w:rsidR="00DB0200" w:rsidRPr="006234AA" w:rsidRDefault="00DB0200" w:rsidP="003C0546">
            <w:pPr>
              <w:pStyle w:val="Default"/>
              <w:spacing w:before="120" w:after="120"/>
              <w:rPr>
                <w:color w:val="auto"/>
              </w:rPr>
            </w:pPr>
            <w:r w:rsidRPr="006234AA">
              <w:rPr>
                <w:color w:val="auto"/>
              </w:rPr>
              <w:t>Quỹ thành viên, công ty đầu tư chứng khoán riêng lẻ</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8195" w:type="dxa"/>
            <w:gridSpan w:val="12"/>
            <w:shd w:val="clear" w:color="auto" w:fill="BFBFBF" w:themeFill="background1" w:themeFillShade="BF"/>
            <w:vAlign w:val="center"/>
          </w:tcPr>
          <w:p w:rsidR="00DB0200" w:rsidRPr="006234AA" w:rsidRDefault="00DB0200" w:rsidP="003C0546">
            <w:pPr>
              <w:pStyle w:val="Default"/>
              <w:spacing w:before="120" w:after="120"/>
              <w:rPr>
                <w:color w:val="auto"/>
              </w:rPr>
            </w:pPr>
            <w:r w:rsidRPr="006234AA">
              <w:rPr>
                <w:b/>
                <w:bCs/>
                <w:color w:val="auto"/>
              </w:rPr>
              <w:lastRenderedPageBreak/>
              <w:t>VII. Chứng khoán bị hạn chế giao dịch</w:t>
            </w:r>
          </w:p>
        </w:tc>
        <w:tc>
          <w:tcPr>
            <w:tcW w:w="1075" w:type="dxa"/>
            <w:gridSpan w:val="3"/>
            <w:shd w:val="clear" w:color="auto" w:fill="BFBFBF" w:themeFill="background1" w:themeFillShade="BF"/>
            <w:vAlign w:val="center"/>
          </w:tcPr>
          <w:p w:rsidR="00DB0200" w:rsidRPr="006234AA" w:rsidRDefault="00DB0200" w:rsidP="003C0546">
            <w:pPr>
              <w:pStyle w:val="Default"/>
              <w:spacing w:before="120" w:after="120"/>
              <w:rPr>
                <w:color w:val="auto"/>
              </w:rPr>
            </w:pPr>
          </w:p>
        </w:tc>
        <w:tc>
          <w:tcPr>
            <w:tcW w:w="1321" w:type="dxa"/>
            <w:gridSpan w:val="3"/>
            <w:shd w:val="clear" w:color="auto" w:fill="BFBFBF" w:themeFill="background1" w:themeFillShade="BF"/>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15.</w:t>
            </w:r>
          </w:p>
        </w:tc>
        <w:tc>
          <w:tcPr>
            <w:tcW w:w="6363" w:type="dxa"/>
            <w:gridSpan w:val="6"/>
            <w:vAlign w:val="center"/>
          </w:tcPr>
          <w:p w:rsidR="00DB0200" w:rsidRPr="006234AA" w:rsidRDefault="00DB0200" w:rsidP="003C0546">
            <w:pPr>
              <w:pStyle w:val="Default"/>
              <w:spacing w:before="120" w:after="120"/>
              <w:rPr>
                <w:color w:val="auto"/>
              </w:rPr>
            </w:pPr>
            <w:r w:rsidRPr="006234AA">
              <w:rPr>
                <w:color w:val="auto"/>
              </w:rPr>
              <w:t xml:space="preserve">Chứng khoán bị tạm ngừng giao dịch  </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16.</w:t>
            </w:r>
          </w:p>
        </w:tc>
        <w:tc>
          <w:tcPr>
            <w:tcW w:w="6363" w:type="dxa"/>
            <w:gridSpan w:val="6"/>
            <w:vAlign w:val="center"/>
          </w:tcPr>
          <w:p w:rsidR="00DB0200" w:rsidRPr="006234AA" w:rsidRDefault="00DB0200" w:rsidP="003C0546">
            <w:pPr>
              <w:pStyle w:val="Default"/>
              <w:spacing w:before="120" w:after="120"/>
              <w:rPr>
                <w:color w:val="auto"/>
              </w:rPr>
            </w:pPr>
            <w:r w:rsidRPr="006234AA">
              <w:rPr>
                <w:color w:val="auto"/>
              </w:rPr>
              <w:t>Chứng khoán bị hủy niêm yêt, hủy giao dịch</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10591" w:type="dxa"/>
            <w:gridSpan w:val="18"/>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VIII. Các tài sản khác</w:t>
            </w: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17.</w:t>
            </w:r>
          </w:p>
        </w:tc>
        <w:tc>
          <w:tcPr>
            <w:tcW w:w="6363" w:type="dxa"/>
            <w:gridSpan w:val="6"/>
            <w:vAlign w:val="center"/>
          </w:tcPr>
          <w:p w:rsidR="00DB0200" w:rsidRPr="006234AA" w:rsidRDefault="00DB0200" w:rsidP="003C0546">
            <w:pPr>
              <w:pStyle w:val="Default"/>
              <w:spacing w:before="120" w:after="120"/>
              <w:rPr>
                <w:color w:val="auto"/>
              </w:rPr>
            </w:pPr>
            <w:r w:rsidRPr="006234AA">
              <w:rPr>
                <w:color w:val="auto"/>
              </w:rPr>
              <w:t>Cổ phần, phần vốn góp và các loại chứng khoán khác</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18</w:t>
            </w:r>
          </w:p>
        </w:tc>
        <w:tc>
          <w:tcPr>
            <w:tcW w:w="6363" w:type="dxa"/>
            <w:gridSpan w:val="6"/>
            <w:vAlign w:val="center"/>
          </w:tcPr>
          <w:p w:rsidR="00DB0200" w:rsidRPr="006234AA" w:rsidRDefault="00DB0200" w:rsidP="003C0546">
            <w:pPr>
              <w:pStyle w:val="Default"/>
              <w:spacing w:before="120" w:after="120"/>
              <w:rPr>
                <w:color w:val="auto"/>
              </w:rPr>
            </w:pPr>
            <w:r w:rsidRPr="006234AA">
              <w:rPr>
                <w:color w:val="auto"/>
              </w:rPr>
              <w:t>Các tài sản đầu tư khác</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10591" w:type="dxa"/>
            <w:gridSpan w:val="18"/>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IX. Rủi ro tăng thêm (nếu có) (</w:t>
            </w:r>
            <w:r w:rsidRPr="006234AA">
              <w:rPr>
                <w:b/>
                <w:i/>
                <w:color w:val="auto"/>
              </w:rPr>
              <w:t>được xác định trên cơ sở vốn chủ sở hữu đã trích lập đầy đủ các khoản dự phòng</w:t>
            </w:r>
            <w:r w:rsidRPr="006234AA">
              <w:rPr>
                <w:b/>
                <w:color w:val="auto"/>
              </w:rPr>
              <w:t>)</w:t>
            </w:r>
          </w:p>
        </w:tc>
      </w:tr>
      <w:tr w:rsidR="00DB0200" w:rsidRPr="006234AA" w:rsidTr="00D60CD2">
        <w:trPr>
          <w:trHeight w:val="477"/>
        </w:trPr>
        <w:tc>
          <w:tcPr>
            <w:tcW w:w="526" w:type="dxa"/>
            <w:vAlign w:val="center"/>
          </w:tcPr>
          <w:p w:rsidR="00DB0200" w:rsidRPr="006234AA" w:rsidRDefault="00DB0200" w:rsidP="003C0546">
            <w:pPr>
              <w:pStyle w:val="Default"/>
              <w:spacing w:before="120" w:after="120"/>
              <w:rPr>
                <w:color w:val="auto"/>
              </w:rPr>
            </w:pPr>
          </w:p>
        </w:tc>
        <w:tc>
          <w:tcPr>
            <w:tcW w:w="6363" w:type="dxa"/>
            <w:gridSpan w:val="6"/>
            <w:vAlign w:val="center"/>
          </w:tcPr>
          <w:p w:rsidR="00DB0200" w:rsidRPr="006234AA" w:rsidRDefault="00DB0200" w:rsidP="003C0546">
            <w:pPr>
              <w:pStyle w:val="Default"/>
              <w:spacing w:before="120" w:after="120"/>
              <w:rPr>
                <w:b/>
                <w:color w:val="auto"/>
              </w:rPr>
            </w:pPr>
            <w:r w:rsidRPr="006234AA">
              <w:rPr>
                <w:color w:val="auto"/>
              </w:rPr>
              <w:t>Mã chứng khoán</w:t>
            </w:r>
          </w:p>
        </w:tc>
        <w:tc>
          <w:tcPr>
            <w:tcW w:w="1306" w:type="dxa"/>
            <w:gridSpan w:val="5"/>
            <w:vAlign w:val="center"/>
          </w:tcPr>
          <w:p w:rsidR="00DB0200" w:rsidRPr="006234AA" w:rsidRDefault="00DB0200" w:rsidP="003C0546">
            <w:pPr>
              <w:pStyle w:val="Default"/>
              <w:spacing w:before="120" w:after="120"/>
              <w:jc w:val="center"/>
              <w:rPr>
                <w:color w:val="auto"/>
              </w:rPr>
            </w:pPr>
            <w:r w:rsidRPr="006234AA">
              <w:rPr>
                <w:color w:val="auto"/>
              </w:rPr>
              <w:t>Mức tăng thêm</w:t>
            </w:r>
          </w:p>
        </w:tc>
        <w:tc>
          <w:tcPr>
            <w:tcW w:w="1075" w:type="dxa"/>
            <w:gridSpan w:val="3"/>
            <w:vAlign w:val="center"/>
          </w:tcPr>
          <w:p w:rsidR="00DB0200" w:rsidRPr="006234AA" w:rsidRDefault="00DB0200" w:rsidP="003C0546">
            <w:pPr>
              <w:pStyle w:val="Default"/>
              <w:spacing w:before="120" w:after="120"/>
              <w:jc w:val="center"/>
              <w:rPr>
                <w:color w:val="auto"/>
              </w:rPr>
            </w:pPr>
            <w:r w:rsidRPr="006234AA">
              <w:rPr>
                <w:color w:val="auto"/>
              </w:rPr>
              <w:t>Quy mô</w:t>
            </w:r>
          </w:p>
          <w:p w:rsidR="00DB0200" w:rsidRPr="006234AA" w:rsidRDefault="00DB0200" w:rsidP="003C0546">
            <w:pPr>
              <w:pStyle w:val="Default"/>
              <w:spacing w:before="120" w:after="120"/>
              <w:jc w:val="center"/>
              <w:rPr>
                <w:color w:val="auto"/>
              </w:rPr>
            </w:pPr>
            <w:r w:rsidRPr="006234AA">
              <w:rPr>
                <w:color w:val="auto"/>
              </w:rPr>
              <w:t>rủi ro</w:t>
            </w:r>
          </w:p>
        </w:tc>
        <w:tc>
          <w:tcPr>
            <w:tcW w:w="1321" w:type="dxa"/>
            <w:gridSpan w:val="3"/>
            <w:vAlign w:val="center"/>
          </w:tcPr>
          <w:p w:rsidR="00DB0200" w:rsidRPr="006234AA" w:rsidRDefault="00DB0200" w:rsidP="003C0546">
            <w:pPr>
              <w:pStyle w:val="Default"/>
              <w:spacing w:before="120" w:after="120"/>
              <w:jc w:val="center"/>
              <w:rPr>
                <w:color w:val="auto"/>
              </w:rPr>
            </w:pPr>
            <w:r w:rsidRPr="006234AA">
              <w:rPr>
                <w:color w:val="auto"/>
              </w:rPr>
              <w:t>Giá trị rủi ro</w:t>
            </w: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1.</w:t>
            </w:r>
          </w:p>
        </w:tc>
        <w:tc>
          <w:tcPr>
            <w:tcW w:w="6363" w:type="dxa"/>
            <w:gridSpan w:val="6"/>
            <w:vAlign w:val="center"/>
          </w:tcPr>
          <w:p w:rsidR="00DB0200" w:rsidRPr="006234AA" w:rsidRDefault="00DB0200" w:rsidP="003C0546">
            <w:pPr>
              <w:pStyle w:val="Default"/>
              <w:spacing w:before="120" w:after="120"/>
              <w:rPr>
                <w:color w:val="auto"/>
              </w:rPr>
            </w:pPr>
            <w:r w:rsidRPr="006234AA">
              <w:rPr>
                <w:color w:val="auto"/>
              </w:rPr>
              <w:t>….</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26" w:type="dxa"/>
            <w:vAlign w:val="center"/>
          </w:tcPr>
          <w:p w:rsidR="00DB0200" w:rsidRPr="006234AA" w:rsidRDefault="00DB0200" w:rsidP="003C0546">
            <w:pPr>
              <w:pStyle w:val="Default"/>
              <w:spacing w:before="120" w:after="120"/>
              <w:jc w:val="center"/>
              <w:rPr>
                <w:color w:val="auto"/>
              </w:rPr>
            </w:pPr>
            <w:r w:rsidRPr="006234AA">
              <w:rPr>
                <w:color w:val="auto"/>
              </w:rPr>
              <w:t>2.</w:t>
            </w:r>
          </w:p>
        </w:tc>
        <w:tc>
          <w:tcPr>
            <w:tcW w:w="6363" w:type="dxa"/>
            <w:gridSpan w:val="6"/>
            <w:vAlign w:val="center"/>
          </w:tcPr>
          <w:p w:rsidR="00DB0200" w:rsidRPr="006234AA" w:rsidRDefault="00DB0200" w:rsidP="003C0546">
            <w:pPr>
              <w:pStyle w:val="Default"/>
              <w:spacing w:before="120" w:after="120"/>
              <w:rPr>
                <w:color w:val="auto"/>
              </w:rPr>
            </w:pPr>
            <w:r w:rsidRPr="006234AA">
              <w:rPr>
                <w:color w:val="auto"/>
              </w:rPr>
              <w:t>……..</w:t>
            </w:r>
          </w:p>
        </w:tc>
        <w:tc>
          <w:tcPr>
            <w:tcW w:w="1306" w:type="dxa"/>
            <w:gridSpan w:val="5"/>
            <w:vAlign w:val="center"/>
          </w:tcPr>
          <w:p w:rsidR="00DB0200" w:rsidRPr="006234AA" w:rsidRDefault="00DB0200" w:rsidP="003C0546">
            <w:pPr>
              <w:pStyle w:val="Default"/>
              <w:spacing w:before="120" w:after="120"/>
              <w:rPr>
                <w:color w:val="auto"/>
              </w:rPr>
            </w:pPr>
          </w:p>
        </w:tc>
        <w:tc>
          <w:tcPr>
            <w:tcW w:w="1075" w:type="dxa"/>
            <w:gridSpan w:val="3"/>
            <w:vAlign w:val="center"/>
          </w:tcPr>
          <w:p w:rsidR="00DB0200" w:rsidRPr="006234AA" w:rsidRDefault="00DB0200" w:rsidP="003C0546">
            <w:pPr>
              <w:pStyle w:val="Default"/>
              <w:spacing w:before="120" w:after="120"/>
              <w:rPr>
                <w:color w:val="auto"/>
              </w:rPr>
            </w:pPr>
          </w:p>
        </w:tc>
        <w:tc>
          <w:tcPr>
            <w:tcW w:w="1321" w:type="dxa"/>
            <w:gridSpan w:val="3"/>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9270" w:type="dxa"/>
            <w:gridSpan w:val="15"/>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A. TỔNG GIÁ TRỊ RỦI RO THỊ TRƯỜNG (A= I+II+III+IV+V+VI+VII+VIII+IX)</w:t>
            </w:r>
          </w:p>
        </w:tc>
        <w:tc>
          <w:tcPr>
            <w:tcW w:w="1321" w:type="dxa"/>
            <w:gridSpan w:val="3"/>
            <w:shd w:val="clear" w:color="auto" w:fill="auto"/>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10591" w:type="dxa"/>
            <w:gridSpan w:val="18"/>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B. RỦI RO THANH TOÁN</w:t>
            </w:r>
          </w:p>
        </w:tc>
      </w:tr>
      <w:tr w:rsidR="00DB0200" w:rsidRPr="006234AA" w:rsidTr="00D60CD2">
        <w:trPr>
          <w:trHeight w:val="477"/>
        </w:trPr>
        <w:tc>
          <w:tcPr>
            <w:tcW w:w="4680" w:type="dxa"/>
            <w:gridSpan w:val="4"/>
            <w:vMerge w:val="restart"/>
            <w:vAlign w:val="center"/>
          </w:tcPr>
          <w:p w:rsidR="00DB0200" w:rsidRPr="006234AA" w:rsidRDefault="00DB0200" w:rsidP="003C0546">
            <w:pPr>
              <w:pStyle w:val="Default"/>
              <w:spacing w:before="120" w:after="120"/>
              <w:jc w:val="center"/>
              <w:rPr>
                <w:b/>
                <w:color w:val="auto"/>
              </w:rPr>
            </w:pPr>
            <w:r w:rsidRPr="006234AA">
              <w:rPr>
                <w:b/>
                <w:color w:val="auto"/>
              </w:rPr>
              <w:t>Loại hình giao dịch</w:t>
            </w:r>
          </w:p>
        </w:tc>
        <w:tc>
          <w:tcPr>
            <w:tcW w:w="4770" w:type="dxa"/>
            <w:gridSpan w:val="13"/>
            <w:vAlign w:val="center"/>
          </w:tcPr>
          <w:p w:rsidR="00DB0200" w:rsidRPr="006234AA" w:rsidRDefault="00DB0200" w:rsidP="003C0546">
            <w:pPr>
              <w:pStyle w:val="Default"/>
              <w:spacing w:before="120" w:after="120"/>
              <w:jc w:val="center"/>
              <w:rPr>
                <w:b/>
                <w:color w:val="auto"/>
              </w:rPr>
            </w:pPr>
            <w:r w:rsidRPr="006234AA">
              <w:rPr>
                <w:b/>
                <w:color w:val="auto"/>
              </w:rPr>
              <w:t>Giá trị rủi ro</w:t>
            </w:r>
          </w:p>
        </w:tc>
        <w:tc>
          <w:tcPr>
            <w:tcW w:w="1141" w:type="dxa"/>
            <w:vAlign w:val="center"/>
          </w:tcPr>
          <w:p w:rsidR="00DB0200" w:rsidRPr="006234AA" w:rsidRDefault="00DB0200" w:rsidP="003C0546">
            <w:pPr>
              <w:pStyle w:val="Default"/>
              <w:spacing w:before="120" w:after="120"/>
              <w:jc w:val="center"/>
              <w:rPr>
                <w:b/>
                <w:color w:val="auto"/>
              </w:rPr>
            </w:pPr>
            <w:r w:rsidRPr="006234AA">
              <w:rPr>
                <w:b/>
                <w:color w:val="auto"/>
              </w:rPr>
              <w:t>Tổng giá trị rủi ro</w:t>
            </w:r>
          </w:p>
        </w:tc>
      </w:tr>
      <w:tr w:rsidR="00DB0200" w:rsidRPr="006234AA" w:rsidTr="00D60CD2">
        <w:trPr>
          <w:trHeight w:val="529"/>
        </w:trPr>
        <w:tc>
          <w:tcPr>
            <w:tcW w:w="4680" w:type="dxa"/>
            <w:gridSpan w:val="4"/>
            <w:vMerge/>
            <w:vAlign w:val="center"/>
          </w:tcPr>
          <w:p w:rsidR="00DB0200" w:rsidRPr="006234AA" w:rsidRDefault="00DB0200" w:rsidP="003C0546">
            <w:pPr>
              <w:pStyle w:val="Default"/>
              <w:spacing w:before="120" w:after="120"/>
              <w:jc w:val="center"/>
              <w:rPr>
                <w:b/>
                <w:color w:val="auto"/>
              </w:rPr>
            </w:pPr>
          </w:p>
        </w:tc>
        <w:tc>
          <w:tcPr>
            <w:tcW w:w="720" w:type="dxa"/>
            <w:vAlign w:val="center"/>
          </w:tcPr>
          <w:p w:rsidR="00DB0200" w:rsidRPr="006234AA" w:rsidRDefault="00DB0200" w:rsidP="003C0546">
            <w:pPr>
              <w:pStyle w:val="Default"/>
              <w:spacing w:before="120" w:after="120"/>
              <w:jc w:val="center"/>
              <w:rPr>
                <w:b/>
                <w:color w:val="auto"/>
              </w:rPr>
            </w:pPr>
            <w:r w:rsidRPr="006234AA">
              <w:rPr>
                <w:b/>
                <w:color w:val="auto"/>
              </w:rPr>
              <w:t>(1)</w:t>
            </w:r>
          </w:p>
        </w:tc>
        <w:tc>
          <w:tcPr>
            <w:tcW w:w="709" w:type="dxa"/>
            <w:vAlign w:val="center"/>
          </w:tcPr>
          <w:p w:rsidR="00DB0200" w:rsidRPr="006234AA" w:rsidRDefault="00DB0200" w:rsidP="003C0546">
            <w:pPr>
              <w:pStyle w:val="Default"/>
              <w:spacing w:before="120" w:after="120"/>
              <w:jc w:val="center"/>
              <w:rPr>
                <w:b/>
                <w:color w:val="auto"/>
              </w:rPr>
            </w:pPr>
            <w:r w:rsidRPr="006234AA">
              <w:rPr>
                <w:b/>
                <w:color w:val="auto"/>
              </w:rPr>
              <w:t>(2)</w:t>
            </w:r>
          </w:p>
        </w:tc>
        <w:tc>
          <w:tcPr>
            <w:tcW w:w="821" w:type="dxa"/>
            <w:gridSpan w:val="2"/>
            <w:vAlign w:val="center"/>
          </w:tcPr>
          <w:p w:rsidR="00DB0200" w:rsidRPr="006234AA" w:rsidRDefault="00DB0200" w:rsidP="003C0546">
            <w:pPr>
              <w:pStyle w:val="Default"/>
              <w:spacing w:before="120" w:after="120"/>
              <w:jc w:val="center"/>
              <w:rPr>
                <w:b/>
                <w:color w:val="auto"/>
              </w:rPr>
            </w:pPr>
            <w:r w:rsidRPr="006234AA">
              <w:rPr>
                <w:b/>
                <w:color w:val="auto"/>
              </w:rPr>
              <w:t>(3)</w:t>
            </w:r>
          </w:p>
        </w:tc>
        <w:tc>
          <w:tcPr>
            <w:tcW w:w="851" w:type="dxa"/>
            <w:vAlign w:val="center"/>
          </w:tcPr>
          <w:p w:rsidR="00DB0200" w:rsidRPr="006234AA" w:rsidRDefault="00DB0200" w:rsidP="003C0546">
            <w:pPr>
              <w:pStyle w:val="Default"/>
              <w:spacing w:before="120" w:after="120"/>
              <w:jc w:val="center"/>
              <w:rPr>
                <w:b/>
                <w:color w:val="auto"/>
              </w:rPr>
            </w:pPr>
            <w:r w:rsidRPr="006234AA">
              <w:rPr>
                <w:b/>
                <w:color w:val="auto"/>
              </w:rPr>
              <w:t>(4)</w:t>
            </w:r>
          </w:p>
        </w:tc>
        <w:tc>
          <w:tcPr>
            <w:tcW w:w="859" w:type="dxa"/>
            <w:gridSpan w:val="5"/>
            <w:vAlign w:val="center"/>
          </w:tcPr>
          <w:p w:rsidR="00DB0200" w:rsidRPr="006234AA" w:rsidRDefault="00DB0200" w:rsidP="003C0546">
            <w:pPr>
              <w:pStyle w:val="Default"/>
              <w:spacing w:before="120" w:after="120"/>
              <w:jc w:val="center"/>
              <w:rPr>
                <w:b/>
                <w:color w:val="auto"/>
              </w:rPr>
            </w:pPr>
            <w:r w:rsidRPr="006234AA">
              <w:rPr>
                <w:b/>
                <w:color w:val="auto"/>
              </w:rPr>
              <w:t>(5)</w:t>
            </w:r>
          </w:p>
        </w:tc>
        <w:tc>
          <w:tcPr>
            <w:tcW w:w="810" w:type="dxa"/>
            <w:gridSpan w:val="3"/>
            <w:vAlign w:val="center"/>
          </w:tcPr>
          <w:p w:rsidR="00DB0200" w:rsidRPr="006234AA" w:rsidRDefault="00DB0200" w:rsidP="003C0546">
            <w:pPr>
              <w:pStyle w:val="Default"/>
              <w:spacing w:before="120" w:after="120"/>
              <w:jc w:val="center"/>
              <w:rPr>
                <w:b/>
                <w:color w:val="auto"/>
              </w:rPr>
            </w:pPr>
            <w:r w:rsidRPr="006234AA">
              <w:rPr>
                <w:b/>
                <w:color w:val="auto"/>
              </w:rPr>
              <w:t>(6)</w:t>
            </w:r>
          </w:p>
        </w:tc>
        <w:tc>
          <w:tcPr>
            <w:tcW w:w="1141" w:type="dxa"/>
            <w:vAlign w:val="center"/>
          </w:tcPr>
          <w:p w:rsidR="00DB0200" w:rsidRPr="006234AA" w:rsidRDefault="00DB0200" w:rsidP="003C0546">
            <w:pPr>
              <w:pStyle w:val="Default"/>
              <w:spacing w:before="120" w:after="120"/>
              <w:rPr>
                <w:b/>
                <w:color w:val="auto"/>
              </w:rPr>
            </w:pPr>
          </w:p>
        </w:tc>
      </w:tr>
      <w:tr w:rsidR="00DB0200" w:rsidRPr="006234AA" w:rsidTr="00D60CD2">
        <w:trPr>
          <w:trHeight w:val="477"/>
        </w:trPr>
        <w:tc>
          <w:tcPr>
            <w:tcW w:w="10591" w:type="dxa"/>
            <w:gridSpan w:val="18"/>
            <w:shd w:val="clear" w:color="auto" w:fill="BFBFBF" w:themeFill="background1" w:themeFillShade="BF"/>
            <w:vAlign w:val="center"/>
          </w:tcPr>
          <w:p w:rsidR="00DB0200" w:rsidRPr="006234AA" w:rsidRDefault="00DB0200" w:rsidP="003C0546">
            <w:pPr>
              <w:pStyle w:val="Default"/>
              <w:spacing w:before="120" w:after="120"/>
              <w:rPr>
                <w:color w:val="auto"/>
              </w:rPr>
            </w:pPr>
            <w:r w:rsidRPr="006234AA">
              <w:rPr>
                <w:b/>
                <w:color w:val="auto"/>
              </w:rPr>
              <w:t>I. Rủi ro trước thời hạn thanh toán</w:t>
            </w: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1.</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Tiền gửi có kỳ hạn, các khoản tiền cho vay không có tài sản bảo đảm  và các khoản phải thu từ hoạt động giao dịch và nghiệp vụ kinh doanh chứng khoán</w:t>
            </w:r>
          </w:p>
        </w:tc>
        <w:tc>
          <w:tcPr>
            <w:tcW w:w="720" w:type="dxa"/>
            <w:vAlign w:val="center"/>
          </w:tcPr>
          <w:p w:rsidR="00DB0200" w:rsidRPr="006234AA" w:rsidRDefault="00DB0200" w:rsidP="003C0546">
            <w:pPr>
              <w:pStyle w:val="Default"/>
              <w:spacing w:before="120" w:after="120"/>
              <w:rPr>
                <w:color w:val="auto"/>
              </w:rPr>
            </w:pPr>
          </w:p>
        </w:tc>
        <w:tc>
          <w:tcPr>
            <w:tcW w:w="709" w:type="dxa"/>
            <w:vAlign w:val="center"/>
          </w:tcPr>
          <w:p w:rsidR="00DB0200" w:rsidRPr="006234AA" w:rsidRDefault="00DB0200" w:rsidP="003C0546">
            <w:pPr>
              <w:pStyle w:val="Default"/>
              <w:spacing w:before="120" w:after="120"/>
              <w:rPr>
                <w:color w:val="auto"/>
              </w:rPr>
            </w:pPr>
          </w:p>
        </w:tc>
        <w:tc>
          <w:tcPr>
            <w:tcW w:w="821" w:type="dxa"/>
            <w:gridSpan w:val="2"/>
            <w:vAlign w:val="center"/>
          </w:tcPr>
          <w:p w:rsidR="00DB0200" w:rsidRPr="006234AA" w:rsidRDefault="00DB0200" w:rsidP="003C0546">
            <w:pPr>
              <w:pStyle w:val="Default"/>
              <w:spacing w:before="120" w:after="120"/>
              <w:rPr>
                <w:color w:val="auto"/>
              </w:rPr>
            </w:pPr>
          </w:p>
        </w:tc>
        <w:tc>
          <w:tcPr>
            <w:tcW w:w="851" w:type="dxa"/>
            <w:vAlign w:val="center"/>
          </w:tcPr>
          <w:p w:rsidR="00DB0200" w:rsidRPr="006234AA" w:rsidRDefault="00DB0200" w:rsidP="003C0546">
            <w:pPr>
              <w:pStyle w:val="Default"/>
              <w:spacing w:before="120" w:after="120"/>
              <w:rPr>
                <w:color w:val="auto"/>
              </w:rPr>
            </w:pPr>
          </w:p>
        </w:tc>
        <w:tc>
          <w:tcPr>
            <w:tcW w:w="859" w:type="dxa"/>
            <w:gridSpan w:val="5"/>
            <w:vAlign w:val="center"/>
          </w:tcPr>
          <w:p w:rsidR="00DB0200" w:rsidRPr="006234AA" w:rsidRDefault="00DB0200" w:rsidP="003C0546">
            <w:pPr>
              <w:pStyle w:val="Default"/>
              <w:spacing w:before="120" w:after="120"/>
              <w:rPr>
                <w:color w:val="auto"/>
              </w:rPr>
            </w:pPr>
          </w:p>
        </w:tc>
        <w:tc>
          <w:tcPr>
            <w:tcW w:w="810" w:type="dxa"/>
            <w:gridSpan w:val="3"/>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2.</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Cho vay chứng khoán/Các thỏa thuận kinh tế có cùng bản chất</w:t>
            </w:r>
          </w:p>
        </w:tc>
        <w:tc>
          <w:tcPr>
            <w:tcW w:w="720" w:type="dxa"/>
            <w:vAlign w:val="center"/>
          </w:tcPr>
          <w:p w:rsidR="00DB0200" w:rsidRPr="006234AA" w:rsidRDefault="00DB0200" w:rsidP="003C0546">
            <w:pPr>
              <w:pStyle w:val="Default"/>
              <w:spacing w:before="120" w:after="120"/>
              <w:rPr>
                <w:color w:val="auto"/>
              </w:rPr>
            </w:pPr>
          </w:p>
        </w:tc>
        <w:tc>
          <w:tcPr>
            <w:tcW w:w="709" w:type="dxa"/>
            <w:vAlign w:val="center"/>
          </w:tcPr>
          <w:p w:rsidR="00DB0200" w:rsidRPr="006234AA" w:rsidRDefault="00DB0200" w:rsidP="003C0546">
            <w:pPr>
              <w:pStyle w:val="Default"/>
              <w:spacing w:before="120" w:after="120"/>
              <w:rPr>
                <w:color w:val="auto"/>
              </w:rPr>
            </w:pPr>
          </w:p>
        </w:tc>
        <w:tc>
          <w:tcPr>
            <w:tcW w:w="821" w:type="dxa"/>
            <w:gridSpan w:val="2"/>
            <w:vAlign w:val="center"/>
          </w:tcPr>
          <w:p w:rsidR="00DB0200" w:rsidRPr="006234AA" w:rsidRDefault="00DB0200" w:rsidP="003C0546">
            <w:pPr>
              <w:pStyle w:val="Default"/>
              <w:spacing w:before="120" w:after="120"/>
              <w:rPr>
                <w:color w:val="auto"/>
              </w:rPr>
            </w:pPr>
          </w:p>
        </w:tc>
        <w:tc>
          <w:tcPr>
            <w:tcW w:w="851" w:type="dxa"/>
            <w:vAlign w:val="center"/>
          </w:tcPr>
          <w:p w:rsidR="00DB0200" w:rsidRPr="006234AA" w:rsidRDefault="00DB0200" w:rsidP="003C0546">
            <w:pPr>
              <w:pStyle w:val="Default"/>
              <w:spacing w:before="120" w:after="120"/>
              <w:rPr>
                <w:color w:val="auto"/>
              </w:rPr>
            </w:pPr>
          </w:p>
        </w:tc>
        <w:tc>
          <w:tcPr>
            <w:tcW w:w="859" w:type="dxa"/>
            <w:gridSpan w:val="5"/>
            <w:vAlign w:val="center"/>
          </w:tcPr>
          <w:p w:rsidR="00DB0200" w:rsidRPr="006234AA" w:rsidRDefault="00DB0200" w:rsidP="003C0546">
            <w:pPr>
              <w:pStyle w:val="Default"/>
              <w:spacing w:before="120" w:after="120"/>
              <w:rPr>
                <w:color w:val="auto"/>
              </w:rPr>
            </w:pPr>
          </w:p>
        </w:tc>
        <w:tc>
          <w:tcPr>
            <w:tcW w:w="810" w:type="dxa"/>
            <w:gridSpan w:val="3"/>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3.</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Vay chứng khoán/Các thỏa thuận kinh tế có cùng bản chất</w:t>
            </w:r>
          </w:p>
        </w:tc>
        <w:tc>
          <w:tcPr>
            <w:tcW w:w="720" w:type="dxa"/>
            <w:vAlign w:val="center"/>
          </w:tcPr>
          <w:p w:rsidR="00DB0200" w:rsidRPr="006234AA" w:rsidRDefault="00DB0200" w:rsidP="003C0546">
            <w:pPr>
              <w:pStyle w:val="Default"/>
              <w:spacing w:before="120" w:after="120"/>
              <w:rPr>
                <w:color w:val="auto"/>
              </w:rPr>
            </w:pPr>
          </w:p>
        </w:tc>
        <w:tc>
          <w:tcPr>
            <w:tcW w:w="709" w:type="dxa"/>
            <w:vAlign w:val="center"/>
          </w:tcPr>
          <w:p w:rsidR="00DB0200" w:rsidRPr="006234AA" w:rsidRDefault="00DB0200" w:rsidP="003C0546">
            <w:pPr>
              <w:pStyle w:val="Default"/>
              <w:spacing w:before="120" w:after="120"/>
              <w:rPr>
                <w:color w:val="auto"/>
              </w:rPr>
            </w:pPr>
          </w:p>
        </w:tc>
        <w:tc>
          <w:tcPr>
            <w:tcW w:w="821" w:type="dxa"/>
            <w:gridSpan w:val="2"/>
            <w:vAlign w:val="center"/>
          </w:tcPr>
          <w:p w:rsidR="00DB0200" w:rsidRPr="006234AA" w:rsidRDefault="00DB0200" w:rsidP="003C0546">
            <w:pPr>
              <w:pStyle w:val="Default"/>
              <w:spacing w:before="120" w:after="120"/>
              <w:rPr>
                <w:color w:val="auto"/>
              </w:rPr>
            </w:pPr>
          </w:p>
        </w:tc>
        <w:tc>
          <w:tcPr>
            <w:tcW w:w="851" w:type="dxa"/>
            <w:vAlign w:val="center"/>
          </w:tcPr>
          <w:p w:rsidR="00DB0200" w:rsidRPr="006234AA" w:rsidRDefault="00DB0200" w:rsidP="003C0546">
            <w:pPr>
              <w:pStyle w:val="Default"/>
              <w:spacing w:before="120" w:after="120"/>
              <w:rPr>
                <w:color w:val="auto"/>
              </w:rPr>
            </w:pPr>
          </w:p>
        </w:tc>
        <w:tc>
          <w:tcPr>
            <w:tcW w:w="859" w:type="dxa"/>
            <w:gridSpan w:val="5"/>
            <w:vAlign w:val="center"/>
          </w:tcPr>
          <w:p w:rsidR="00DB0200" w:rsidRPr="006234AA" w:rsidRDefault="00DB0200" w:rsidP="003C0546">
            <w:pPr>
              <w:pStyle w:val="Default"/>
              <w:spacing w:before="120" w:after="120"/>
              <w:rPr>
                <w:color w:val="auto"/>
              </w:rPr>
            </w:pPr>
          </w:p>
        </w:tc>
        <w:tc>
          <w:tcPr>
            <w:tcW w:w="810" w:type="dxa"/>
            <w:gridSpan w:val="3"/>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4.</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Hợp đồng mua chứng khoán có cam kết bán lại/Các thỏa thuận kinh tế có cùng bản chất</w:t>
            </w:r>
          </w:p>
        </w:tc>
        <w:tc>
          <w:tcPr>
            <w:tcW w:w="720" w:type="dxa"/>
            <w:vAlign w:val="center"/>
          </w:tcPr>
          <w:p w:rsidR="00DB0200" w:rsidRPr="006234AA" w:rsidRDefault="00DB0200" w:rsidP="003C0546">
            <w:pPr>
              <w:pStyle w:val="Default"/>
              <w:spacing w:before="120" w:after="120"/>
              <w:rPr>
                <w:color w:val="auto"/>
              </w:rPr>
            </w:pPr>
          </w:p>
        </w:tc>
        <w:tc>
          <w:tcPr>
            <w:tcW w:w="709" w:type="dxa"/>
            <w:vAlign w:val="center"/>
          </w:tcPr>
          <w:p w:rsidR="00DB0200" w:rsidRPr="006234AA" w:rsidRDefault="00DB0200" w:rsidP="003C0546">
            <w:pPr>
              <w:pStyle w:val="Default"/>
              <w:spacing w:before="120" w:after="120"/>
              <w:rPr>
                <w:color w:val="auto"/>
              </w:rPr>
            </w:pPr>
          </w:p>
        </w:tc>
        <w:tc>
          <w:tcPr>
            <w:tcW w:w="821" w:type="dxa"/>
            <w:gridSpan w:val="2"/>
            <w:vAlign w:val="center"/>
          </w:tcPr>
          <w:p w:rsidR="00DB0200" w:rsidRPr="006234AA" w:rsidRDefault="00DB0200" w:rsidP="003C0546">
            <w:pPr>
              <w:pStyle w:val="Default"/>
              <w:spacing w:before="120" w:after="120"/>
              <w:rPr>
                <w:color w:val="auto"/>
              </w:rPr>
            </w:pPr>
          </w:p>
        </w:tc>
        <w:tc>
          <w:tcPr>
            <w:tcW w:w="851" w:type="dxa"/>
            <w:vAlign w:val="center"/>
          </w:tcPr>
          <w:p w:rsidR="00DB0200" w:rsidRPr="006234AA" w:rsidRDefault="00DB0200" w:rsidP="003C0546">
            <w:pPr>
              <w:pStyle w:val="Default"/>
              <w:spacing w:before="120" w:after="120"/>
              <w:rPr>
                <w:color w:val="auto"/>
              </w:rPr>
            </w:pPr>
          </w:p>
        </w:tc>
        <w:tc>
          <w:tcPr>
            <w:tcW w:w="859" w:type="dxa"/>
            <w:gridSpan w:val="5"/>
            <w:vAlign w:val="center"/>
          </w:tcPr>
          <w:p w:rsidR="00DB0200" w:rsidRPr="006234AA" w:rsidRDefault="00DB0200" w:rsidP="003C0546">
            <w:pPr>
              <w:pStyle w:val="Default"/>
              <w:spacing w:before="120" w:after="120"/>
              <w:rPr>
                <w:color w:val="auto"/>
              </w:rPr>
            </w:pPr>
          </w:p>
        </w:tc>
        <w:tc>
          <w:tcPr>
            <w:tcW w:w="810" w:type="dxa"/>
            <w:gridSpan w:val="3"/>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5.</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Hợp đồng bán chứng khoán có cam kết mua lại/Các thỏa thuận kinh tế có cùng bản chất</w:t>
            </w:r>
          </w:p>
        </w:tc>
        <w:tc>
          <w:tcPr>
            <w:tcW w:w="720" w:type="dxa"/>
            <w:vAlign w:val="center"/>
          </w:tcPr>
          <w:p w:rsidR="00DB0200" w:rsidRPr="006234AA" w:rsidRDefault="00DB0200" w:rsidP="003C0546">
            <w:pPr>
              <w:pStyle w:val="Default"/>
              <w:spacing w:before="120" w:after="120"/>
              <w:rPr>
                <w:color w:val="auto"/>
              </w:rPr>
            </w:pPr>
          </w:p>
        </w:tc>
        <w:tc>
          <w:tcPr>
            <w:tcW w:w="709" w:type="dxa"/>
            <w:vAlign w:val="center"/>
          </w:tcPr>
          <w:p w:rsidR="00DB0200" w:rsidRPr="006234AA" w:rsidRDefault="00DB0200" w:rsidP="003C0546">
            <w:pPr>
              <w:pStyle w:val="Default"/>
              <w:spacing w:before="120" w:after="120"/>
              <w:rPr>
                <w:color w:val="auto"/>
              </w:rPr>
            </w:pPr>
          </w:p>
        </w:tc>
        <w:tc>
          <w:tcPr>
            <w:tcW w:w="821" w:type="dxa"/>
            <w:gridSpan w:val="2"/>
            <w:vAlign w:val="center"/>
          </w:tcPr>
          <w:p w:rsidR="00DB0200" w:rsidRPr="006234AA" w:rsidRDefault="00DB0200" w:rsidP="003C0546">
            <w:pPr>
              <w:pStyle w:val="Default"/>
              <w:spacing w:before="120" w:after="120"/>
              <w:rPr>
                <w:color w:val="auto"/>
              </w:rPr>
            </w:pPr>
          </w:p>
        </w:tc>
        <w:tc>
          <w:tcPr>
            <w:tcW w:w="851" w:type="dxa"/>
            <w:vAlign w:val="center"/>
          </w:tcPr>
          <w:p w:rsidR="00DB0200" w:rsidRPr="006234AA" w:rsidRDefault="00DB0200" w:rsidP="003C0546">
            <w:pPr>
              <w:pStyle w:val="Default"/>
              <w:spacing w:before="120" w:after="120"/>
              <w:rPr>
                <w:color w:val="auto"/>
              </w:rPr>
            </w:pPr>
          </w:p>
        </w:tc>
        <w:tc>
          <w:tcPr>
            <w:tcW w:w="859" w:type="dxa"/>
            <w:gridSpan w:val="5"/>
            <w:vAlign w:val="center"/>
          </w:tcPr>
          <w:p w:rsidR="00DB0200" w:rsidRPr="006234AA" w:rsidRDefault="00DB0200" w:rsidP="003C0546">
            <w:pPr>
              <w:pStyle w:val="Default"/>
              <w:spacing w:before="120" w:after="120"/>
              <w:rPr>
                <w:color w:val="auto"/>
              </w:rPr>
            </w:pPr>
          </w:p>
        </w:tc>
        <w:tc>
          <w:tcPr>
            <w:tcW w:w="810" w:type="dxa"/>
            <w:gridSpan w:val="3"/>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lastRenderedPageBreak/>
              <w:t>6.</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 xml:space="preserve">Hợp đồng cho vay mua ký quỹ (cho khách hàng vay mua chứng khoán)/Các thỏa thuận kinh tế có cùng bản chất </w:t>
            </w:r>
          </w:p>
          <w:p w:rsidR="00DB0200" w:rsidRPr="006234AA" w:rsidRDefault="00DB0200" w:rsidP="003C0546">
            <w:pPr>
              <w:tabs>
                <w:tab w:val="left" w:pos="1080"/>
              </w:tabs>
              <w:spacing w:after="120"/>
              <w:rPr>
                <w:sz w:val="10"/>
                <w:szCs w:val="24"/>
              </w:rPr>
            </w:pPr>
          </w:p>
        </w:tc>
        <w:tc>
          <w:tcPr>
            <w:tcW w:w="720" w:type="dxa"/>
            <w:vAlign w:val="center"/>
          </w:tcPr>
          <w:p w:rsidR="00DB0200" w:rsidRPr="006234AA" w:rsidRDefault="00DB0200" w:rsidP="003C0546">
            <w:pPr>
              <w:pStyle w:val="Default"/>
              <w:spacing w:before="120" w:after="120"/>
              <w:rPr>
                <w:color w:val="auto"/>
              </w:rPr>
            </w:pPr>
          </w:p>
        </w:tc>
        <w:tc>
          <w:tcPr>
            <w:tcW w:w="709" w:type="dxa"/>
            <w:vAlign w:val="center"/>
          </w:tcPr>
          <w:p w:rsidR="00DB0200" w:rsidRPr="006234AA" w:rsidRDefault="00DB0200" w:rsidP="003C0546">
            <w:pPr>
              <w:pStyle w:val="Default"/>
              <w:spacing w:before="120" w:after="120"/>
              <w:rPr>
                <w:color w:val="auto"/>
              </w:rPr>
            </w:pPr>
          </w:p>
        </w:tc>
        <w:tc>
          <w:tcPr>
            <w:tcW w:w="821" w:type="dxa"/>
            <w:gridSpan w:val="2"/>
            <w:vAlign w:val="center"/>
          </w:tcPr>
          <w:p w:rsidR="00DB0200" w:rsidRPr="006234AA" w:rsidRDefault="00DB0200" w:rsidP="003C0546">
            <w:pPr>
              <w:pStyle w:val="Default"/>
              <w:spacing w:before="120" w:after="120"/>
              <w:rPr>
                <w:color w:val="auto"/>
              </w:rPr>
            </w:pPr>
          </w:p>
        </w:tc>
        <w:tc>
          <w:tcPr>
            <w:tcW w:w="851" w:type="dxa"/>
            <w:vAlign w:val="center"/>
          </w:tcPr>
          <w:p w:rsidR="00DB0200" w:rsidRPr="006234AA" w:rsidRDefault="00DB0200" w:rsidP="003C0546">
            <w:pPr>
              <w:pStyle w:val="Default"/>
              <w:spacing w:before="120" w:after="120"/>
              <w:rPr>
                <w:color w:val="auto"/>
              </w:rPr>
            </w:pPr>
          </w:p>
        </w:tc>
        <w:tc>
          <w:tcPr>
            <w:tcW w:w="859" w:type="dxa"/>
            <w:gridSpan w:val="5"/>
            <w:vAlign w:val="center"/>
          </w:tcPr>
          <w:p w:rsidR="00DB0200" w:rsidRPr="006234AA" w:rsidRDefault="00DB0200" w:rsidP="003C0546">
            <w:pPr>
              <w:pStyle w:val="Default"/>
              <w:spacing w:before="120" w:after="120"/>
              <w:rPr>
                <w:color w:val="auto"/>
              </w:rPr>
            </w:pPr>
          </w:p>
        </w:tc>
        <w:tc>
          <w:tcPr>
            <w:tcW w:w="810" w:type="dxa"/>
            <w:gridSpan w:val="3"/>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7.</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 xml:space="preserve">Hợp đồng chứng khoán phái sinh </w:t>
            </w:r>
          </w:p>
          <w:p w:rsidR="00DB0200" w:rsidRPr="006234AA" w:rsidRDefault="00DB0200" w:rsidP="003C0546">
            <w:pPr>
              <w:tabs>
                <w:tab w:val="left" w:pos="1080"/>
              </w:tabs>
              <w:spacing w:after="120"/>
              <w:rPr>
                <w:sz w:val="10"/>
                <w:szCs w:val="24"/>
              </w:rPr>
            </w:pPr>
          </w:p>
        </w:tc>
        <w:tc>
          <w:tcPr>
            <w:tcW w:w="720" w:type="dxa"/>
            <w:vAlign w:val="center"/>
          </w:tcPr>
          <w:p w:rsidR="00DB0200" w:rsidRPr="006234AA" w:rsidRDefault="00DB0200" w:rsidP="003C0546">
            <w:pPr>
              <w:pStyle w:val="Default"/>
              <w:spacing w:before="120" w:after="120"/>
              <w:rPr>
                <w:color w:val="auto"/>
              </w:rPr>
            </w:pPr>
          </w:p>
        </w:tc>
        <w:tc>
          <w:tcPr>
            <w:tcW w:w="709" w:type="dxa"/>
            <w:vAlign w:val="center"/>
          </w:tcPr>
          <w:p w:rsidR="00DB0200" w:rsidRPr="006234AA" w:rsidRDefault="00DB0200" w:rsidP="003C0546">
            <w:pPr>
              <w:pStyle w:val="Default"/>
              <w:spacing w:before="120" w:after="120"/>
              <w:rPr>
                <w:color w:val="auto"/>
              </w:rPr>
            </w:pPr>
          </w:p>
        </w:tc>
        <w:tc>
          <w:tcPr>
            <w:tcW w:w="821" w:type="dxa"/>
            <w:gridSpan w:val="2"/>
            <w:vAlign w:val="center"/>
          </w:tcPr>
          <w:p w:rsidR="00DB0200" w:rsidRPr="006234AA" w:rsidRDefault="00DB0200" w:rsidP="003C0546">
            <w:pPr>
              <w:pStyle w:val="Default"/>
              <w:spacing w:before="120" w:after="120"/>
              <w:rPr>
                <w:color w:val="auto"/>
              </w:rPr>
            </w:pPr>
          </w:p>
        </w:tc>
        <w:tc>
          <w:tcPr>
            <w:tcW w:w="851" w:type="dxa"/>
            <w:vAlign w:val="center"/>
          </w:tcPr>
          <w:p w:rsidR="00DB0200" w:rsidRPr="006234AA" w:rsidRDefault="00DB0200" w:rsidP="003C0546">
            <w:pPr>
              <w:pStyle w:val="Default"/>
              <w:spacing w:before="120" w:after="120"/>
              <w:rPr>
                <w:color w:val="auto"/>
              </w:rPr>
            </w:pPr>
          </w:p>
        </w:tc>
        <w:tc>
          <w:tcPr>
            <w:tcW w:w="859" w:type="dxa"/>
            <w:gridSpan w:val="5"/>
            <w:vAlign w:val="center"/>
          </w:tcPr>
          <w:p w:rsidR="00DB0200" w:rsidRPr="006234AA" w:rsidRDefault="00DB0200" w:rsidP="003C0546">
            <w:pPr>
              <w:pStyle w:val="Default"/>
              <w:spacing w:before="120" w:after="120"/>
              <w:rPr>
                <w:color w:val="auto"/>
              </w:rPr>
            </w:pPr>
          </w:p>
        </w:tc>
        <w:tc>
          <w:tcPr>
            <w:tcW w:w="810" w:type="dxa"/>
            <w:gridSpan w:val="3"/>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10591" w:type="dxa"/>
            <w:gridSpan w:val="18"/>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II. Rủi ro quá thời hạn thanh toán</w:t>
            </w:r>
          </w:p>
        </w:tc>
      </w:tr>
      <w:tr w:rsidR="00DB0200" w:rsidRPr="006234AA" w:rsidTr="00D60CD2">
        <w:trPr>
          <w:trHeight w:val="70"/>
        </w:trPr>
        <w:tc>
          <w:tcPr>
            <w:tcW w:w="561" w:type="dxa"/>
            <w:gridSpan w:val="2"/>
            <w:vAlign w:val="center"/>
          </w:tcPr>
          <w:p w:rsidR="00DB0200" w:rsidRPr="006234AA" w:rsidRDefault="00DB0200" w:rsidP="003C0546">
            <w:pPr>
              <w:pStyle w:val="Default"/>
              <w:spacing w:before="120" w:after="120"/>
              <w:rPr>
                <w:color w:val="auto"/>
              </w:rPr>
            </w:pPr>
          </w:p>
        </w:tc>
        <w:tc>
          <w:tcPr>
            <w:tcW w:w="4119" w:type="dxa"/>
            <w:gridSpan w:val="2"/>
            <w:vAlign w:val="center"/>
          </w:tcPr>
          <w:p w:rsidR="00DB0200" w:rsidRPr="006234AA" w:rsidRDefault="00DB0200" w:rsidP="003C0546">
            <w:pPr>
              <w:tabs>
                <w:tab w:val="left" w:pos="1080"/>
              </w:tabs>
              <w:spacing w:after="120"/>
              <w:jc w:val="center"/>
              <w:rPr>
                <w:sz w:val="24"/>
                <w:szCs w:val="24"/>
              </w:rPr>
            </w:pPr>
            <w:r w:rsidRPr="006234AA">
              <w:rPr>
                <w:b/>
                <w:sz w:val="24"/>
                <w:szCs w:val="24"/>
              </w:rPr>
              <w:t>Thời gian quá hạn</w:t>
            </w:r>
          </w:p>
        </w:tc>
        <w:tc>
          <w:tcPr>
            <w:tcW w:w="3375" w:type="dxa"/>
            <w:gridSpan w:val="7"/>
            <w:vAlign w:val="center"/>
          </w:tcPr>
          <w:p w:rsidR="00DB0200" w:rsidRPr="006234AA" w:rsidRDefault="00DB0200" w:rsidP="003C0546">
            <w:pPr>
              <w:pStyle w:val="Default"/>
              <w:spacing w:before="120" w:after="120"/>
              <w:jc w:val="center"/>
              <w:rPr>
                <w:b/>
                <w:color w:val="auto"/>
              </w:rPr>
            </w:pPr>
            <w:r w:rsidRPr="006234AA">
              <w:rPr>
                <w:b/>
                <w:color w:val="auto"/>
              </w:rPr>
              <w:t>Hệ số rủi ro</w:t>
            </w:r>
          </w:p>
        </w:tc>
        <w:tc>
          <w:tcPr>
            <w:tcW w:w="1395" w:type="dxa"/>
            <w:gridSpan w:val="6"/>
            <w:vAlign w:val="center"/>
          </w:tcPr>
          <w:p w:rsidR="00DB0200" w:rsidRPr="006234AA" w:rsidRDefault="00DB0200" w:rsidP="003C0546">
            <w:pPr>
              <w:pStyle w:val="Default"/>
              <w:spacing w:before="120" w:after="120"/>
              <w:jc w:val="center"/>
              <w:rPr>
                <w:b/>
                <w:color w:val="auto"/>
              </w:rPr>
            </w:pPr>
            <w:r w:rsidRPr="006234AA">
              <w:rPr>
                <w:b/>
                <w:color w:val="auto"/>
              </w:rPr>
              <w:t>Quy mô rủi ro</w:t>
            </w:r>
          </w:p>
        </w:tc>
        <w:tc>
          <w:tcPr>
            <w:tcW w:w="1141" w:type="dxa"/>
            <w:vAlign w:val="center"/>
          </w:tcPr>
          <w:p w:rsidR="00DB0200" w:rsidRPr="006234AA" w:rsidRDefault="00DB0200" w:rsidP="003C0546">
            <w:pPr>
              <w:pStyle w:val="Default"/>
              <w:spacing w:before="120" w:after="120"/>
              <w:jc w:val="center"/>
              <w:rPr>
                <w:b/>
                <w:color w:val="auto"/>
              </w:rPr>
            </w:pPr>
            <w:r w:rsidRPr="006234AA">
              <w:rPr>
                <w:b/>
                <w:color w:val="auto"/>
              </w:rPr>
              <w:t>Giá trị</w:t>
            </w:r>
          </w:p>
          <w:p w:rsidR="00DB0200" w:rsidRPr="006234AA" w:rsidRDefault="00DB0200" w:rsidP="003C0546">
            <w:pPr>
              <w:pStyle w:val="Default"/>
              <w:spacing w:before="120" w:after="120"/>
              <w:jc w:val="center"/>
              <w:rPr>
                <w:b/>
                <w:color w:val="auto"/>
              </w:rPr>
            </w:pPr>
            <w:r w:rsidRPr="006234AA">
              <w:rPr>
                <w:b/>
                <w:color w:val="auto"/>
              </w:rPr>
              <w:t>rủi ro</w:t>
            </w: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1.</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0-15 ngày sau thời hạn thanh toán, chuyển giao chứng khoán</w:t>
            </w:r>
          </w:p>
        </w:tc>
        <w:tc>
          <w:tcPr>
            <w:tcW w:w="3375" w:type="dxa"/>
            <w:gridSpan w:val="7"/>
            <w:vAlign w:val="center"/>
          </w:tcPr>
          <w:p w:rsidR="00DB0200" w:rsidRPr="006234AA" w:rsidRDefault="00DB0200" w:rsidP="003C0546">
            <w:pPr>
              <w:pStyle w:val="Default"/>
              <w:spacing w:before="120" w:after="120"/>
              <w:rPr>
                <w:color w:val="auto"/>
              </w:rPr>
            </w:pPr>
          </w:p>
        </w:tc>
        <w:tc>
          <w:tcPr>
            <w:tcW w:w="1395" w:type="dxa"/>
            <w:gridSpan w:val="6"/>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2.</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16 – 30 ngày sau thời hạn thanh toán, chuyển giao chứng khoán</w:t>
            </w:r>
          </w:p>
        </w:tc>
        <w:tc>
          <w:tcPr>
            <w:tcW w:w="3375" w:type="dxa"/>
            <w:gridSpan w:val="7"/>
            <w:vAlign w:val="center"/>
          </w:tcPr>
          <w:p w:rsidR="00DB0200" w:rsidRPr="006234AA" w:rsidRDefault="00DB0200" w:rsidP="003C0546">
            <w:pPr>
              <w:pStyle w:val="Default"/>
              <w:spacing w:before="120" w:after="120"/>
              <w:rPr>
                <w:color w:val="auto"/>
              </w:rPr>
            </w:pPr>
          </w:p>
        </w:tc>
        <w:tc>
          <w:tcPr>
            <w:tcW w:w="1395" w:type="dxa"/>
            <w:gridSpan w:val="6"/>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3.</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31 – 60 ngày sau thời hạn thanh toán, chuyển giao chứng khoán</w:t>
            </w:r>
          </w:p>
        </w:tc>
        <w:tc>
          <w:tcPr>
            <w:tcW w:w="3375" w:type="dxa"/>
            <w:gridSpan w:val="7"/>
            <w:vAlign w:val="center"/>
          </w:tcPr>
          <w:p w:rsidR="00DB0200" w:rsidRPr="006234AA" w:rsidRDefault="00DB0200" w:rsidP="003C0546">
            <w:pPr>
              <w:pStyle w:val="Default"/>
              <w:spacing w:before="120" w:after="120"/>
              <w:rPr>
                <w:color w:val="auto"/>
              </w:rPr>
            </w:pPr>
          </w:p>
        </w:tc>
        <w:tc>
          <w:tcPr>
            <w:tcW w:w="1395" w:type="dxa"/>
            <w:gridSpan w:val="6"/>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4.</w:t>
            </w:r>
          </w:p>
        </w:tc>
        <w:tc>
          <w:tcPr>
            <w:tcW w:w="4119" w:type="dxa"/>
            <w:gridSpan w:val="2"/>
            <w:vAlign w:val="center"/>
          </w:tcPr>
          <w:p w:rsidR="00DB0200" w:rsidRPr="006234AA" w:rsidRDefault="00DB0200" w:rsidP="003C0546">
            <w:pPr>
              <w:tabs>
                <w:tab w:val="left" w:pos="1080"/>
              </w:tabs>
              <w:spacing w:after="120"/>
              <w:ind w:firstLine="0"/>
              <w:rPr>
                <w:sz w:val="24"/>
                <w:szCs w:val="24"/>
              </w:rPr>
            </w:pPr>
            <w:r w:rsidRPr="006234AA">
              <w:rPr>
                <w:sz w:val="24"/>
                <w:szCs w:val="24"/>
              </w:rPr>
              <w:t>Từ 60 ngày trở đi</w:t>
            </w:r>
          </w:p>
        </w:tc>
        <w:tc>
          <w:tcPr>
            <w:tcW w:w="3375" w:type="dxa"/>
            <w:gridSpan w:val="7"/>
            <w:vAlign w:val="center"/>
          </w:tcPr>
          <w:p w:rsidR="00DB0200" w:rsidRPr="006234AA" w:rsidRDefault="00DB0200" w:rsidP="003C0546">
            <w:pPr>
              <w:pStyle w:val="Default"/>
              <w:spacing w:before="120" w:after="120"/>
              <w:rPr>
                <w:color w:val="auto"/>
              </w:rPr>
            </w:pPr>
          </w:p>
        </w:tc>
        <w:tc>
          <w:tcPr>
            <w:tcW w:w="1395" w:type="dxa"/>
            <w:gridSpan w:val="6"/>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10591" w:type="dxa"/>
            <w:gridSpan w:val="18"/>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III. Rủi ro tăng thêm (nếu có)</w:t>
            </w: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rPr>
                <w:color w:val="auto"/>
              </w:rPr>
            </w:pPr>
          </w:p>
        </w:tc>
        <w:tc>
          <w:tcPr>
            <w:tcW w:w="4119" w:type="dxa"/>
            <w:gridSpan w:val="2"/>
            <w:vAlign w:val="center"/>
          </w:tcPr>
          <w:p w:rsidR="00DB0200" w:rsidRPr="006234AA" w:rsidRDefault="00DB0200" w:rsidP="003C0546">
            <w:pPr>
              <w:tabs>
                <w:tab w:val="left" w:pos="1080"/>
              </w:tabs>
              <w:spacing w:after="120"/>
              <w:jc w:val="center"/>
              <w:rPr>
                <w:b/>
                <w:sz w:val="24"/>
                <w:szCs w:val="24"/>
              </w:rPr>
            </w:pPr>
            <w:r w:rsidRPr="006234AA">
              <w:rPr>
                <w:b/>
                <w:sz w:val="24"/>
                <w:szCs w:val="24"/>
              </w:rPr>
              <w:t>Chi tiết tới từng khoản vay, tới từng đối tác</w:t>
            </w:r>
          </w:p>
        </w:tc>
        <w:tc>
          <w:tcPr>
            <w:tcW w:w="3375" w:type="dxa"/>
            <w:gridSpan w:val="7"/>
            <w:vAlign w:val="center"/>
          </w:tcPr>
          <w:p w:rsidR="00DB0200" w:rsidRPr="006234AA" w:rsidRDefault="00DB0200" w:rsidP="003C0546">
            <w:pPr>
              <w:pStyle w:val="Default"/>
              <w:spacing w:before="120" w:after="120"/>
              <w:jc w:val="center"/>
              <w:rPr>
                <w:b/>
                <w:color w:val="auto"/>
              </w:rPr>
            </w:pPr>
            <w:r w:rsidRPr="006234AA">
              <w:rPr>
                <w:b/>
                <w:color w:val="auto"/>
              </w:rPr>
              <w:t>Mức tăng thêm</w:t>
            </w:r>
          </w:p>
        </w:tc>
        <w:tc>
          <w:tcPr>
            <w:tcW w:w="1395" w:type="dxa"/>
            <w:gridSpan w:val="6"/>
            <w:vAlign w:val="center"/>
          </w:tcPr>
          <w:p w:rsidR="00DB0200" w:rsidRPr="006234AA" w:rsidRDefault="00DB0200" w:rsidP="003C0546">
            <w:pPr>
              <w:pStyle w:val="Default"/>
              <w:spacing w:before="120" w:after="120"/>
              <w:jc w:val="center"/>
              <w:rPr>
                <w:b/>
                <w:color w:val="auto"/>
              </w:rPr>
            </w:pPr>
            <w:r w:rsidRPr="006234AA">
              <w:rPr>
                <w:b/>
                <w:color w:val="auto"/>
              </w:rPr>
              <w:t>Quy mô rủi ro</w:t>
            </w:r>
          </w:p>
        </w:tc>
        <w:tc>
          <w:tcPr>
            <w:tcW w:w="1141" w:type="dxa"/>
            <w:vAlign w:val="center"/>
          </w:tcPr>
          <w:p w:rsidR="00DB0200" w:rsidRPr="006234AA" w:rsidRDefault="00DB0200" w:rsidP="003C0546">
            <w:pPr>
              <w:pStyle w:val="Default"/>
              <w:spacing w:before="120" w:after="120"/>
              <w:jc w:val="center"/>
              <w:rPr>
                <w:b/>
                <w:color w:val="auto"/>
              </w:rPr>
            </w:pPr>
            <w:r w:rsidRPr="006234AA">
              <w:rPr>
                <w:b/>
                <w:color w:val="auto"/>
              </w:rPr>
              <w:t xml:space="preserve">Giá trị </w:t>
            </w:r>
          </w:p>
          <w:p w:rsidR="00DB0200" w:rsidRPr="006234AA" w:rsidRDefault="00DB0200" w:rsidP="003C0546">
            <w:pPr>
              <w:pStyle w:val="Default"/>
              <w:spacing w:before="120" w:after="120"/>
              <w:jc w:val="center"/>
              <w:rPr>
                <w:b/>
                <w:color w:val="auto"/>
              </w:rPr>
            </w:pPr>
            <w:r w:rsidRPr="006234AA">
              <w:rPr>
                <w:b/>
                <w:color w:val="auto"/>
              </w:rPr>
              <w:t>rủi ro</w:t>
            </w:r>
          </w:p>
        </w:tc>
      </w:tr>
      <w:tr w:rsidR="00DB0200" w:rsidRPr="006234AA" w:rsidTr="00D60CD2">
        <w:trPr>
          <w:trHeight w:val="477"/>
        </w:trPr>
        <w:tc>
          <w:tcPr>
            <w:tcW w:w="561" w:type="dxa"/>
            <w:gridSpan w:val="2"/>
            <w:vAlign w:val="center"/>
          </w:tcPr>
          <w:p w:rsidR="00DB0200" w:rsidRPr="006234AA" w:rsidRDefault="00DB0200" w:rsidP="003C0546">
            <w:pPr>
              <w:pStyle w:val="Default"/>
              <w:spacing w:before="120" w:after="120"/>
              <w:jc w:val="center"/>
              <w:rPr>
                <w:color w:val="auto"/>
              </w:rPr>
            </w:pPr>
            <w:r w:rsidRPr="006234AA">
              <w:rPr>
                <w:color w:val="auto"/>
              </w:rPr>
              <w:t>1</w:t>
            </w:r>
          </w:p>
        </w:tc>
        <w:tc>
          <w:tcPr>
            <w:tcW w:w="4119" w:type="dxa"/>
            <w:gridSpan w:val="2"/>
            <w:vAlign w:val="center"/>
          </w:tcPr>
          <w:p w:rsidR="00DB0200" w:rsidRPr="006234AA" w:rsidRDefault="00DB0200" w:rsidP="003C0546">
            <w:pPr>
              <w:tabs>
                <w:tab w:val="left" w:pos="1080"/>
              </w:tabs>
              <w:spacing w:after="120"/>
              <w:rPr>
                <w:sz w:val="24"/>
                <w:szCs w:val="24"/>
              </w:rPr>
            </w:pPr>
            <w:r w:rsidRPr="006234AA">
              <w:rPr>
                <w:sz w:val="24"/>
                <w:szCs w:val="24"/>
              </w:rPr>
              <w:t>…….</w:t>
            </w:r>
          </w:p>
        </w:tc>
        <w:tc>
          <w:tcPr>
            <w:tcW w:w="3375" w:type="dxa"/>
            <w:gridSpan w:val="7"/>
            <w:vAlign w:val="center"/>
          </w:tcPr>
          <w:p w:rsidR="00DB0200" w:rsidRPr="006234AA" w:rsidRDefault="00DB0200" w:rsidP="003C0546">
            <w:pPr>
              <w:pStyle w:val="Default"/>
              <w:spacing w:before="120" w:after="120"/>
              <w:rPr>
                <w:color w:val="auto"/>
              </w:rPr>
            </w:pPr>
          </w:p>
        </w:tc>
        <w:tc>
          <w:tcPr>
            <w:tcW w:w="1395" w:type="dxa"/>
            <w:gridSpan w:val="6"/>
            <w:vAlign w:val="center"/>
          </w:tcPr>
          <w:p w:rsidR="00DB0200" w:rsidRPr="006234AA" w:rsidRDefault="00DB0200" w:rsidP="003C0546">
            <w:pPr>
              <w:pStyle w:val="Default"/>
              <w:spacing w:before="120" w:after="120"/>
              <w:rPr>
                <w:color w:val="auto"/>
              </w:rPr>
            </w:pPr>
          </w:p>
        </w:tc>
        <w:tc>
          <w:tcPr>
            <w:tcW w:w="1141" w:type="dxa"/>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9450" w:type="dxa"/>
            <w:gridSpan w:val="17"/>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B. TỔNG GIÁ TRỊ RỦI RO THANH TOÁN (B=I+II+III)</w:t>
            </w:r>
          </w:p>
        </w:tc>
        <w:tc>
          <w:tcPr>
            <w:tcW w:w="1141" w:type="dxa"/>
            <w:shd w:val="clear" w:color="auto" w:fill="auto"/>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10591" w:type="dxa"/>
            <w:gridSpan w:val="18"/>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C. RỦI RO HOẠT ĐỘNG (TÍNH TRONG VÒNG 12 THÁNG)</w:t>
            </w:r>
          </w:p>
        </w:tc>
      </w:tr>
      <w:tr w:rsidR="00DB0200" w:rsidRPr="006234AA" w:rsidTr="00D60CD2">
        <w:trPr>
          <w:trHeight w:val="477"/>
        </w:trPr>
        <w:tc>
          <w:tcPr>
            <w:tcW w:w="668" w:type="dxa"/>
            <w:gridSpan w:val="3"/>
            <w:vAlign w:val="center"/>
          </w:tcPr>
          <w:p w:rsidR="00DB0200" w:rsidRPr="006234AA" w:rsidRDefault="00DB0200" w:rsidP="003C0546">
            <w:pPr>
              <w:pStyle w:val="Default"/>
              <w:spacing w:before="120" w:after="120"/>
              <w:rPr>
                <w:b/>
                <w:color w:val="auto"/>
              </w:rPr>
            </w:pPr>
            <w:r w:rsidRPr="006234AA">
              <w:rPr>
                <w:b/>
                <w:color w:val="auto"/>
              </w:rPr>
              <w:t>I.</w:t>
            </w:r>
          </w:p>
        </w:tc>
        <w:tc>
          <w:tcPr>
            <w:tcW w:w="7952" w:type="dxa"/>
            <w:gridSpan w:val="10"/>
            <w:vAlign w:val="center"/>
          </w:tcPr>
          <w:p w:rsidR="00DB0200" w:rsidRPr="006234AA" w:rsidRDefault="00DB0200" w:rsidP="003C0546">
            <w:pPr>
              <w:pStyle w:val="Default"/>
              <w:spacing w:before="120" w:after="120"/>
              <w:rPr>
                <w:b/>
                <w:color w:val="auto"/>
              </w:rPr>
            </w:pPr>
            <w:r w:rsidRPr="006234AA">
              <w:rPr>
                <w:b/>
                <w:color w:val="auto"/>
              </w:rPr>
              <w:t>Tổng chi phí hoạt động phát sinh trong vòng 12 tháng</w:t>
            </w:r>
          </w:p>
        </w:tc>
        <w:tc>
          <w:tcPr>
            <w:tcW w:w="1971" w:type="dxa"/>
            <w:gridSpan w:val="5"/>
            <w:vAlign w:val="center"/>
          </w:tcPr>
          <w:p w:rsidR="00DB0200" w:rsidRPr="006234AA" w:rsidRDefault="00DB0200" w:rsidP="003C0546">
            <w:pPr>
              <w:pStyle w:val="Default"/>
              <w:spacing w:before="120" w:after="120"/>
              <w:jc w:val="center"/>
              <w:rPr>
                <w:b/>
                <w:color w:val="auto"/>
              </w:rPr>
            </w:pPr>
            <w:r w:rsidRPr="006234AA">
              <w:rPr>
                <w:b/>
                <w:color w:val="auto"/>
              </w:rPr>
              <w:t>Giá trị</w:t>
            </w:r>
          </w:p>
        </w:tc>
      </w:tr>
      <w:tr w:rsidR="00DB0200" w:rsidRPr="006234AA" w:rsidTr="00D60CD2">
        <w:trPr>
          <w:trHeight w:val="477"/>
        </w:trPr>
        <w:tc>
          <w:tcPr>
            <w:tcW w:w="668" w:type="dxa"/>
            <w:gridSpan w:val="3"/>
            <w:vAlign w:val="center"/>
          </w:tcPr>
          <w:p w:rsidR="00DB0200" w:rsidRPr="006234AA" w:rsidRDefault="00DB0200" w:rsidP="003C0546">
            <w:pPr>
              <w:pStyle w:val="Default"/>
              <w:spacing w:before="120" w:after="120"/>
              <w:rPr>
                <w:b/>
                <w:color w:val="auto"/>
              </w:rPr>
            </w:pPr>
            <w:r w:rsidRPr="006234AA">
              <w:rPr>
                <w:b/>
                <w:color w:val="auto"/>
              </w:rPr>
              <w:t>II.</w:t>
            </w:r>
          </w:p>
        </w:tc>
        <w:tc>
          <w:tcPr>
            <w:tcW w:w="7952" w:type="dxa"/>
            <w:gridSpan w:val="10"/>
            <w:vAlign w:val="center"/>
          </w:tcPr>
          <w:p w:rsidR="00DB0200" w:rsidRPr="006234AA" w:rsidRDefault="00DB0200" w:rsidP="003C0546">
            <w:pPr>
              <w:tabs>
                <w:tab w:val="left" w:pos="1080"/>
              </w:tabs>
              <w:spacing w:after="120"/>
              <w:ind w:firstLine="0"/>
              <w:rPr>
                <w:sz w:val="24"/>
                <w:szCs w:val="24"/>
              </w:rPr>
            </w:pPr>
            <w:r w:rsidRPr="006234AA">
              <w:rPr>
                <w:sz w:val="24"/>
                <w:szCs w:val="24"/>
              </w:rPr>
              <w:t>Các khoản giảm trừ khỏi tổng chi phí</w:t>
            </w:r>
          </w:p>
          <w:p w:rsidR="00DB0200" w:rsidRPr="006234AA" w:rsidRDefault="00DB0200" w:rsidP="003C0546">
            <w:pPr>
              <w:tabs>
                <w:tab w:val="left" w:pos="1080"/>
              </w:tabs>
              <w:spacing w:after="120"/>
              <w:ind w:firstLine="0"/>
              <w:rPr>
                <w:sz w:val="24"/>
                <w:szCs w:val="24"/>
              </w:rPr>
            </w:pPr>
            <w:r w:rsidRPr="006234AA">
              <w:rPr>
                <w:sz w:val="24"/>
                <w:szCs w:val="24"/>
              </w:rPr>
              <w:t>1. Chi phí khấu hao</w:t>
            </w:r>
          </w:p>
          <w:p w:rsidR="00DB0200" w:rsidRPr="006234AA" w:rsidRDefault="00DB0200" w:rsidP="003C0546">
            <w:pPr>
              <w:tabs>
                <w:tab w:val="left" w:pos="1080"/>
              </w:tabs>
              <w:spacing w:after="120"/>
              <w:ind w:firstLine="0"/>
              <w:rPr>
                <w:sz w:val="24"/>
                <w:szCs w:val="24"/>
              </w:rPr>
            </w:pPr>
            <w:r w:rsidRPr="006234AA">
              <w:rPr>
                <w:sz w:val="24"/>
                <w:szCs w:val="24"/>
              </w:rPr>
              <w:t>2. Dự phòng giảm giá đầu tư chứng khoán ngắn hạn</w:t>
            </w:r>
          </w:p>
          <w:p w:rsidR="00DB0200" w:rsidRPr="006234AA" w:rsidRDefault="00DB0200" w:rsidP="003C0546">
            <w:pPr>
              <w:tabs>
                <w:tab w:val="left" w:pos="1080"/>
              </w:tabs>
              <w:spacing w:after="120"/>
              <w:ind w:firstLine="0"/>
              <w:rPr>
                <w:sz w:val="24"/>
                <w:szCs w:val="24"/>
              </w:rPr>
            </w:pPr>
            <w:r w:rsidRPr="006234AA">
              <w:rPr>
                <w:sz w:val="24"/>
                <w:szCs w:val="24"/>
              </w:rPr>
              <w:t>3. Dự phòng giảm giá đầu tư chứng khoán dài hạn</w:t>
            </w:r>
          </w:p>
          <w:p w:rsidR="00DB0200" w:rsidRPr="006234AA" w:rsidRDefault="00DB0200" w:rsidP="003C0546">
            <w:pPr>
              <w:tabs>
                <w:tab w:val="left" w:pos="1080"/>
              </w:tabs>
              <w:spacing w:after="120"/>
              <w:ind w:firstLine="0"/>
              <w:rPr>
                <w:sz w:val="24"/>
                <w:szCs w:val="24"/>
              </w:rPr>
            </w:pPr>
            <w:r w:rsidRPr="006234AA">
              <w:t xml:space="preserve"> 4. Dự phòng phải thu khó đòi</w:t>
            </w:r>
          </w:p>
        </w:tc>
        <w:tc>
          <w:tcPr>
            <w:tcW w:w="1971" w:type="dxa"/>
            <w:gridSpan w:val="5"/>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668" w:type="dxa"/>
            <w:gridSpan w:val="3"/>
            <w:vAlign w:val="center"/>
          </w:tcPr>
          <w:p w:rsidR="00DB0200" w:rsidRPr="006234AA" w:rsidRDefault="00DB0200" w:rsidP="003C0546">
            <w:pPr>
              <w:pStyle w:val="Default"/>
              <w:spacing w:before="120" w:after="120"/>
              <w:rPr>
                <w:b/>
                <w:color w:val="auto"/>
              </w:rPr>
            </w:pPr>
            <w:r w:rsidRPr="006234AA">
              <w:rPr>
                <w:b/>
                <w:color w:val="auto"/>
              </w:rPr>
              <w:t>III.</w:t>
            </w:r>
          </w:p>
        </w:tc>
        <w:tc>
          <w:tcPr>
            <w:tcW w:w="7952" w:type="dxa"/>
            <w:gridSpan w:val="10"/>
            <w:vAlign w:val="center"/>
          </w:tcPr>
          <w:p w:rsidR="00DB0200" w:rsidRPr="006234AA" w:rsidRDefault="00DB0200" w:rsidP="003C0546">
            <w:pPr>
              <w:pStyle w:val="Default"/>
              <w:spacing w:before="120" w:after="120"/>
              <w:rPr>
                <w:b/>
                <w:color w:val="auto"/>
              </w:rPr>
            </w:pPr>
            <w:r w:rsidRPr="006234AA">
              <w:rPr>
                <w:b/>
                <w:color w:val="auto"/>
              </w:rPr>
              <w:t>Tổng chi phí sau khi giảm trừ (III = I – II)</w:t>
            </w:r>
          </w:p>
        </w:tc>
        <w:tc>
          <w:tcPr>
            <w:tcW w:w="1971" w:type="dxa"/>
            <w:gridSpan w:val="5"/>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668" w:type="dxa"/>
            <w:gridSpan w:val="3"/>
            <w:vAlign w:val="center"/>
          </w:tcPr>
          <w:p w:rsidR="00DB0200" w:rsidRPr="006234AA" w:rsidRDefault="00DB0200" w:rsidP="003C0546">
            <w:pPr>
              <w:pStyle w:val="Default"/>
              <w:spacing w:before="120" w:after="120"/>
              <w:rPr>
                <w:b/>
                <w:color w:val="auto"/>
              </w:rPr>
            </w:pPr>
            <w:r w:rsidRPr="006234AA">
              <w:rPr>
                <w:b/>
                <w:color w:val="auto"/>
              </w:rPr>
              <w:t>IV.</w:t>
            </w:r>
          </w:p>
        </w:tc>
        <w:tc>
          <w:tcPr>
            <w:tcW w:w="7952" w:type="dxa"/>
            <w:gridSpan w:val="10"/>
            <w:vAlign w:val="center"/>
          </w:tcPr>
          <w:p w:rsidR="00DB0200" w:rsidRPr="006234AA" w:rsidRDefault="00DB0200" w:rsidP="003C0546">
            <w:pPr>
              <w:pStyle w:val="Default"/>
              <w:spacing w:before="120" w:after="120"/>
              <w:rPr>
                <w:color w:val="auto"/>
              </w:rPr>
            </w:pPr>
            <w:r w:rsidRPr="006234AA">
              <w:rPr>
                <w:color w:val="auto"/>
              </w:rPr>
              <w:t>25% Tổng chi phí sau khi giảm trừ (IV = 25% III)</w:t>
            </w:r>
          </w:p>
        </w:tc>
        <w:tc>
          <w:tcPr>
            <w:tcW w:w="1971" w:type="dxa"/>
            <w:gridSpan w:val="5"/>
            <w:vAlign w:val="center"/>
          </w:tcPr>
          <w:p w:rsidR="00DB0200" w:rsidRPr="006234AA" w:rsidRDefault="00DB0200" w:rsidP="003C0546">
            <w:pPr>
              <w:pStyle w:val="Default"/>
              <w:spacing w:before="120" w:after="120"/>
              <w:rPr>
                <w:color w:val="auto"/>
              </w:rPr>
            </w:pPr>
          </w:p>
        </w:tc>
      </w:tr>
      <w:tr w:rsidR="00DB0200" w:rsidRPr="006234AA" w:rsidTr="00D60CD2">
        <w:trPr>
          <w:trHeight w:val="344"/>
        </w:trPr>
        <w:tc>
          <w:tcPr>
            <w:tcW w:w="668" w:type="dxa"/>
            <w:gridSpan w:val="3"/>
            <w:vAlign w:val="center"/>
          </w:tcPr>
          <w:p w:rsidR="00DB0200" w:rsidRPr="006234AA" w:rsidRDefault="00DB0200" w:rsidP="003C0546">
            <w:pPr>
              <w:pStyle w:val="Default"/>
              <w:spacing w:before="120" w:after="120"/>
              <w:rPr>
                <w:b/>
                <w:color w:val="auto"/>
              </w:rPr>
            </w:pPr>
            <w:r w:rsidRPr="006234AA">
              <w:rPr>
                <w:b/>
                <w:color w:val="auto"/>
              </w:rPr>
              <w:t>V.</w:t>
            </w:r>
          </w:p>
        </w:tc>
        <w:tc>
          <w:tcPr>
            <w:tcW w:w="7952" w:type="dxa"/>
            <w:gridSpan w:val="10"/>
            <w:vAlign w:val="center"/>
          </w:tcPr>
          <w:p w:rsidR="00DB0200" w:rsidRPr="006234AA" w:rsidRDefault="00DB0200" w:rsidP="003C0546">
            <w:pPr>
              <w:pStyle w:val="Default"/>
              <w:spacing w:before="120" w:after="120"/>
              <w:rPr>
                <w:color w:val="auto"/>
              </w:rPr>
            </w:pPr>
            <w:r w:rsidRPr="006234AA">
              <w:rPr>
                <w:color w:val="auto"/>
              </w:rPr>
              <w:t>20% Vốn pháp định của tổ chức kinh doanh chứng khoán</w:t>
            </w:r>
          </w:p>
        </w:tc>
        <w:tc>
          <w:tcPr>
            <w:tcW w:w="1971" w:type="dxa"/>
            <w:gridSpan w:val="5"/>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8620" w:type="dxa"/>
            <w:gridSpan w:val="13"/>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lastRenderedPageBreak/>
              <w:t>C. TỔNG GIÁ TRỊ RỦI RO HOẠT ĐỘNG (C=Max {IV, V})</w:t>
            </w:r>
          </w:p>
        </w:tc>
        <w:tc>
          <w:tcPr>
            <w:tcW w:w="1971" w:type="dxa"/>
            <w:gridSpan w:val="5"/>
            <w:vAlign w:val="center"/>
          </w:tcPr>
          <w:p w:rsidR="00DB0200" w:rsidRPr="006234AA" w:rsidRDefault="00DB0200" w:rsidP="003C0546">
            <w:pPr>
              <w:pStyle w:val="Default"/>
              <w:spacing w:before="120" w:after="120"/>
              <w:rPr>
                <w:color w:val="auto"/>
              </w:rPr>
            </w:pPr>
          </w:p>
        </w:tc>
      </w:tr>
      <w:tr w:rsidR="00DB0200" w:rsidRPr="006234AA" w:rsidTr="00D60CD2">
        <w:trPr>
          <w:trHeight w:val="477"/>
        </w:trPr>
        <w:tc>
          <w:tcPr>
            <w:tcW w:w="8620" w:type="dxa"/>
            <w:gridSpan w:val="13"/>
            <w:shd w:val="clear" w:color="auto" w:fill="BFBFBF" w:themeFill="background1" w:themeFillShade="BF"/>
            <w:vAlign w:val="center"/>
          </w:tcPr>
          <w:p w:rsidR="00DB0200" w:rsidRPr="006234AA" w:rsidRDefault="00DB0200" w:rsidP="003C0546">
            <w:pPr>
              <w:pStyle w:val="Default"/>
              <w:spacing w:before="120" w:after="120"/>
              <w:rPr>
                <w:b/>
                <w:color w:val="auto"/>
              </w:rPr>
            </w:pPr>
            <w:r w:rsidRPr="006234AA">
              <w:rPr>
                <w:b/>
                <w:color w:val="auto"/>
              </w:rPr>
              <w:t>D. TỔNG GIÁ TRỊ RỦI RO (A+B+C)</w:t>
            </w:r>
          </w:p>
        </w:tc>
        <w:tc>
          <w:tcPr>
            <w:tcW w:w="1971" w:type="dxa"/>
            <w:gridSpan w:val="5"/>
            <w:vAlign w:val="center"/>
          </w:tcPr>
          <w:p w:rsidR="00DB0200" w:rsidRPr="006234AA" w:rsidRDefault="00DB0200" w:rsidP="003C0546">
            <w:pPr>
              <w:pStyle w:val="Default"/>
              <w:spacing w:before="120" w:after="120"/>
              <w:rPr>
                <w:color w:val="auto"/>
              </w:rPr>
            </w:pPr>
          </w:p>
        </w:tc>
      </w:tr>
    </w:tbl>
    <w:p w:rsidR="00DB0200" w:rsidRPr="006234AA" w:rsidRDefault="00DB0200" w:rsidP="003C0546">
      <w:pPr>
        <w:spacing w:after="120"/>
        <w:rPr>
          <w:b/>
          <w:sz w:val="24"/>
          <w:szCs w:val="24"/>
          <w:lang w:val="nl-NL"/>
        </w:rPr>
      </w:pPr>
    </w:p>
    <w:p w:rsidR="00DB0200" w:rsidRPr="006234AA" w:rsidRDefault="00DB0200" w:rsidP="003C0546">
      <w:pPr>
        <w:spacing w:after="120"/>
        <w:rPr>
          <w:b/>
          <w:sz w:val="24"/>
          <w:szCs w:val="24"/>
          <w:lang w:val="nl-NL"/>
        </w:rPr>
      </w:pPr>
      <w:r w:rsidRPr="006234AA">
        <w:rPr>
          <w:b/>
          <w:sz w:val="24"/>
          <w:szCs w:val="24"/>
          <w:lang w:val="nl-NL"/>
        </w:rPr>
        <w:t xml:space="preserve">Ghi chú: </w:t>
      </w:r>
    </w:p>
    <w:p w:rsidR="00DB0200" w:rsidRPr="006234AA" w:rsidRDefault="00DB0200" w:rsidP="003C0546">
      <w:pPr>
        <w:spacing w:after="120"/>
        <w:rPr>
          <w:sz w:val="24"/>
          <w:szCs w:val="24"/>
          <w:lang w:val="nl-NL"/>
        </w:rPr>
      </w:pPr>
      <w:r w:rsidRPr="006234AA">
        <w:rPr>
          <w:b/>
          <w:sz w:val="24"/>
          <w:szCs w:val="24"/>
          <w:lang w:val="nl-NL"/>
        </w:rPr>
        <w:t>(</w:t>
      </w:r>
      <w:r w:rsidRPr="006234AA">
        <w:rPr>
          <w:sz w:val="24"/>
          <w:szCs w:val="24"/>
          <w:lang w:val="nl-NL"/>
        </w:rPr>
        <w:t xml:space="preserve">1): Giá trị rủi ro thanh toán đối với Chính phủ, các tổ chức phát hành được Chính phủ bảo lãnh, Bộ Tài chính bảo lãnh, Ngân hàng Nhà nước, Chính phủ và Ngân hàng Trung ương các nước thuộc khối OECD; Ủy ban Nhân dân tỉnh, thành phố trực thuộc Trung ương; </w:t>
      </w:r>
    </w:p>
    <w:p w:rsidR="00DB0200" w:rsidRPr="006234AA" w:rsidRDefault="00DB0200" w:rsidP="003C0546">
      <w:pPr>
        <w:spacing w:after="120"/>
        <w:rPr>
          <w:sz w:val="24"/>
          <w:szCs w:val="24"/>
          <w:lang w:val="nl-NL"/>
        </w:rPr>
      </w:pPr>
      <w:r w:rsidRPr="006234AA">
        <w:rPr>
          <w:sz w:val="24"/>
          <w:szCs w:val="24"/>
          <w:lang w:val="nl-NL"/>
        </w:rPr>
        <w:t>(2): Giá trị rủi ro thanh toán đối với Sở Giao dịch Chứng khoán, Trung tâm Lưu ký Chứng khoán</w:t>
      </w:r>
    </w:p>
    <w:p w:rsidR="00DB0200" w:rsidRPr="006234AA" w:rsidRDefault="00DB0200" w:rsidP="003C0546">
      <w:pPr>
        <w:spacing w:after="120"/>
        <w:rPr>
          <w:sz w:val="24"/>
          <w:szCs w:val="24"/>
          <w:lang w:val="nl-NL"/>
        </w:rPr>
      </w:pPr>
      <w:r w:rsidRPr="006234AA">
        <w:rPr>
          <w:sz w:val="24"/>
          <w:szCs w:val="24"/>
          <w:lang w:val="nl-NL"/>
        </w:rPr>
        <w:t>(3): Giá trị rủi ro thanh toán đối với Tổ chức tín dụng, tổ chức tài chính, tổ chức kinh doanh chứng khoán được thành lập ở các nước thuộc khối OECD</w:t>
      </w:r>
    </w:p>
    <w:p w:rsidR="00DB0200" w:rsidRPr="006234AA" w:rsidRDefault="00DB0200" w:rsidP="003C0546">
      <w:pPr>
        <w:spacing w:after="120"/>
        <w:rPr>
          <w:sz w:val="24"/>
          <w:szCs w:val="24"/>
          <w:lang w:val="nl-NL"/>
        </w:rPr>
      </w:pPr>
      <w:r w:rsidRPr="006234AA">
        <w:rPr>
          <w:sz w:val="24"/>
          <w:szCs w:val="24"/>
          <w:lang w:val="nl-NL"/>
        </w:rPr>
        <w:t>(4): Giá trị rủi ro thanh toán đối với Tỏ chức tín dụng, tổ chức tài chính, tổ chức kinh doanh chứng khoán được thành lập ngoài các nước OECD</w:t>
      </w:r>
    </w:p>
    <w:p w:rsidR="00DB0200" w:rsidRPr="006234AA" w:rsidRDefault="00DB0200" w:rsidP="003C0546">
      <w:pPr>
        <w:spacing w:after="120"/>
        <w:rPr>
          <w:sz w:val="24"/>
          <w:szCs w:val="24"/>
          <w:lang w:val="nl-NL"/>
        </w:rPr>
      </w:pPr>
      <w:r w:rsidRPr="006234AA">
        <w:rPr>
          <w:sz w:val="24"/>
          <w:szCs w:val="24"/>
          <w:lang w:val="nl-NL"/>
        </w:rPr>
        <w:t xml:space="preserve">(5): Giá trị rủi ro thanh toán đối với Tổ chức tín dụng, tổ chức tài chính, tổ chức kinh doanh chứng khoán thành lập và hoạt động tại Việt Nam </w:t>
      </w:r>
    </w:p>
    <w:p w:rsidR="00DB0200" w:rsidRPr="006234AA" w:rsidRDefault="00DB0200" w:rsidP="003C0546">
      <w:pPr>
        <w:spacing w:after="120"/>
        <w:rPr>
          <w:sz w:val="24"/>
          <w:szCs w:val="24"/>
          <w:lang w:val="nl-NL"/>
        </w:rPr>
      </w:pPr>
      <w:r w:rsidRPr="006234AA">
        <w:rPr>
          <w:sz w:val="24"/>
          <w:szCs w:val="24"/>
          <w:lang w:val="nl-NL"/>
        </w:rPr>
        <w:t>(6): Giá trị rủi ro thanh toán đối với các tổ chức cá nhân khác</w:t>
      </w:r>
    </w:p>
    <w:p w:rsidR="00DB0200" w:rsidRPr="006234AA" w:rsidRDefault="00DB0200" w:rsidP="003C0546">
      <w:pPr>
        <w:spacing w:after="120"/>
        <w:ind w:firstLine="0"/>
        <w:jc w:val="left"/>
        <w:rPr>
          <w:b/>
          <w:sz w:val="24"/>
          <w:szCs w:val="24"/>
          <w:lang w:val="nl-NL"/>
        </w:rPr>
      </w:pPr>
      <w:r w:rsidRPr="006234AA">
        <w:rPr>
          <w:b/>
          <w:sz w:val="24"/>
          <w:szCs w:val="24"/>
          <w:lang w:val="nl-NL"/>
        </w:rPr>
        <w:br w:type="page"/>
      </w:r>
    </w:p>
    <w:p w:rsidR="00DB0200" w:rsidRPr="006234AA" w:rsidRDefault="00DB0200" w:rsidP="003C0546">
      <w:pPr>
        <w:spacing w:after="120"/>
        <w:ind w:firstLine="0"/>
        <w:rPr>
          <w:b/>
          <w:sz w:val="24"/>
          <w:szCs w:val="24"/>
          <w:lang w:val="nl-NL"/>
        </w:rPr>
      </w:pPr>
      <w:r w:rsidRPr="006234AA">
        <w:rPr>
          <w:b/>
          <w:sz w:val="24"/>
          <w:szCs w:val="24"/>
          <w:lang w:val="nl-NL"/>
        </w:rPr>
        <w:lastRenderedPageBreak/>
        <w:t>III. BẢNG TỔNG HỢP CÁC CHỈ TIÊU RỦI RO VÀ VỐN KHẢ DỤNG</w:t>
      </w:r>
    </w:p>
    <w:p w:rsidR="00DB0200" w:rsidRPr="006234AA" w:rsidRDefault="00DB0200" w:rsidP="003C0546">
      <w:pPr>
        <w:spacing w:after="120"/>
        <w:ind w:left="720"/>
        <w:rPr>
          <w:b/>
          <w:sz w:val="24"/>
          <w:szCs w:val="24"/>
          <w:lang w:val="nl-NL"/>
        </w:rPr>
      </w:pPr>
    </w:p>
    <w:tbl>
      <w:tblPr>
        <w:tblW w:w="9498" w:type="dxa"/>
        <w:tblInd w:w="-34" w:type="dxa"/>
        <w:tblLook w:val="04A0"/>
      </w:tblPr>
      <w:tblGrid>
        <w:gridCol w:w="851"/>
        <w:gridCol w:w="4961"/>
        <w:gridCol w:w="1720"/>
        <w:gridCol w:w="1966"/>
      </w:tblGrid>
      <w:tr w:rsidR="00DB0200" w:rsidRPr="006234AA" w:rsidTr="00D60CD2">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0200" w:rsidRPr="006234AA" w:rsidRDefault="00DB0200" w:rsidP="003C0546">
            <w:pPr>
              <w:spacing w:after="120"/>
              <w:ind w:firstLine="0"/>
              <w:rPr>
                <w:b/>
                <w:bCs/>
                <w:sz w:val="24"/>
                <w:szCs w:val="24"/>
                <w:lang w:val="vi-VN" w:eastAsia="vi-VN"/>
              </w:rPr>
            </w:pPr>
            <w:r w:rsidRPr="006234AA">
              <w:rPr>
                <w:b/>
                <w:bCs/>
                <w:sz w:val="24"/>
                <w:szCs w:val="24"/>
                <w:lang w:val="nl-NL" w:eastAsia="vi-VN"/>
              </w:rPr>
              <w:t>STT</w:t>
            </w:r>
          </w:p>
        </w:tc>
        <w:tc>
          <w:tcPr>
            <w:tcW w:w="4961" w:type="dxa"/>
            <w:tcBorders>
              <w:top w:val="single" w:sz="4" w:space="0" w:color="auto"/>
              <w:left w:val="nil"/>
              <w:bottom w:val="single" w:sz="4" w:space="0" w:color="auto"/>
              <w:right w:val="single" w:sz="4" w:space="0" w:color="auto"/>
            </w:tcBorders>
            <w:shd w:val="clear" w:color="auto" w:fill="auto"/>
            <w:vAlign w:val="center"/>
          </w:tcPr>
          <w:p w:rsidR="00DB0200" w:rsidRPr="006234AA" w:rsidRDefault="00DB0200" w:rsidP="003C0546">
            <w:pPr>
              <w:spacing w:after="120"/>
              <w:jc w:val="center"/>
              <w:rPr>
                <w:b/>
                <w:bCs/>
                <w:sz w:val="24"/>
                <w:szCs w:val="24"/>
                <w:lang w:eastAsia="vi-VN"/>
              </w:rPr>
            </w:pPr>
            <w:r w:rsidRPr="006234AA">
              <w:rPr>
                <w:b/>
                <w:bCs/>
                <w:sz w:val="24"/>
                <w:szCs w:val="24"/>
                <w:lang w:eastAsia="vi-VN"/>
              </w:rPr>
              <w:t>Các chỉ tiêu</w:t>
            </w:r>
          </w:p>
        </w:tc>
        <w:tc>
          <w:tcPr>
            <w:tcW w:w="1720" w:type="dxa"/>
            <w:tcBorders>
              <w:top w:val="single" w:sz="4" w:space="0" w:color="auto"/>
              <w:left w:val="nil"/>
              <w:bottom w:val="single" w:sz="4" w:space="0" w:color="auto"/>
              <w:right w:val="single" w:sz="4" w:space="0" w:color="auto"/>
            </w:tcBorders>
            <w:shd w:val="clear" w:color="auto" w:fill="auto"/>
            <w:vAlign w:val="center"/>
          </w:tcPr>
          <w:p w:rsidR="00DB0200" w:rsidRPr="006234AA" w:rsidRDefault="00DB0200" w:rsidP="003C0546">
            <w:pPr>
              <w:spacing w:after="120"/>
              <w:jc w:val="center"/>
              <w:rPr>
                <w:b/>
                <w:bCs/>
                <w:sz w:val="24"/>
                <w:szCs w:val="24"/>
                <w:lang w:eastAsia="vi-VN"/>
              </w:rPr>
            </w:pPr>
            <w:r w:rsidRPr="006234AA">
              <w:rPr>
                <w:b/>
                <w:bCs/>
                <w:sz w:val="24"/>
                <w:szCs w:val="24"/>
                <w:lang w:eastAsia="vi-VN"/>
              </w:rPr>
              <w:t>Giá trị rủi ro/vốn khả dụng</w:t>
            </w:r>
          </w:p>
        </w:tc>
        <w:tc>
          <w:tcPr>
            <w:tcW w:w="1966" w:type="dxa"/>
            <w:tcBorders>
              <w:top w:val="single" w:sz="4" w:space="0" w:color="auto"/>
              <w:left w:val="nil"/>
              <w:bottom w:val="single" w:sz="4" w:space="0" w:color="auto"/>
              <w:right w:val="single" w:sz="4" w:space="0" w:color="auto"/>
            </w:tcBorders>
            <w:shd w:val="clear" w:color="auto" w:fill="auto"/>
            <w:noWrap/>
            <w:vAlign w:val="center"/>
          </w:tcPr>
          <w:p w:rsidR="00DB0200" w:rsidRPr="006234AA" w:rsidRDefault="00DB0200" w:rsidP="003C0546">
            <w:pPr>
              <w:spacing w:after="120"/>
              <w:jc w:val="center"/>
              <w:rPr>
                <w:b/>
                <w:bCs/>
                <w:sz w:val="24"/>
                <w:szCs w:val="24"/>
                <w:lang w:eastAsia="vi-VN"/>
              </w:rPr>
            </w:pPr>
            <w:r w:rsidRPr="006234AA">
              <w:rPr>
                <w:b/>
                <w:bCs/>
                <w:sz w:val="24"/>
                <w:szCs w:val="24"/>
                <w:lang w:eastAsia="vi-VN"/>
              </w:rPr>
              <w:t xml:space="preserve">Ghi chú </w:t>
            </w:r>
          </w:p>
          <w:p w:rsidR="00DB0200" w:rsidRPr="006234AA" w:rsidRDefault="00DB0200" w:rsidP="003C0546">
            <w:pPr>
              <w:spacing w:after="120"/>
              <w:jc w:val="center"/>
              <w:rPr>
                <w:b/>
                <w:bCs/>
                <w:sz w:val="24"/>
                <w:szCs w:val="24"/>
                <w:lang w:eastAsia="vi-VN"/>
              </w:rPr>
            </w:pPr>
            <w:r w:rsidRPr="006234AA">
              <w:rPr>
                <w:b/>
                <w:bCs/>
                <w:sz w:val="24"/>
                <w:szCs w:val="24"/>
                <w:lang w:eastAsia="vi-VN"/>
              </w:rPr>
              <w:t>(nếu có)</w:t>
            </w:r>
          </w:p>
        </w:tc>
      </w:tr>
      <w:tr w:rsidR="00DB0200" w:rsidRPr="006234AA" w:rsidTr="00D60CD2">
        <w:trPr>
          <w:trHeight w:val="487"/>
        </w:trPr>
        <w:tc>
          <w:tcPr>
            <w:tcW w:w="851" w:type="dxa"/>
            <w:tcBorders>
              <w:top w:val="nil"/>
              <w:left w:val="single" w:sz="4" w:space="0" w:color="auto"/>
              <w:bottom w:val="single" w:sz="4" w:space="0" w:color="auto"/>
              <w:right w:val="single" w:sz="4" w:space="0" w:color="auto"/>
            </w:tcBorders>
            <w:shd w:val="clear" w:color="auto" w:fill="auto"/>
          </w:tcPr>
          <w:p w:rsidR="00DB0200" w:rsidRPr="006234AA" w:rsidRDefault="00DB0200" w:rsidP="003C0546">
            <w:pPr>
              <w:spacing w:after="120"/>
              <w:ind w:firstLine="0"/>
              <w:rPr>
                <w:bCs/>
                <w:sz w:val="24"/>
                <w:szCs w:val="24"/>
                <w:lang w:eastAsia="vi-VN"/>
              </w:rPr>
            </w:pPr>
            <w:r w:rsidRPr="006234AA">
              <w:rPr>
                <w:bCs/>
                <w:sz w:val="24"/>
                <w:szCs w:val="24"/>
                <w:lang w:eastAsia="vi-VN"/>
              </w:rPr>
              <w:t>1</w:t>
            </w:r>
          </w:p>
        </w:tc>
        <w:tc>
          <w:tcPr>
            <w:tcW w:w="4961" w:type="dxa"/>
            <w:tcBorders>
              <w:top w:val="nil"/>
              <w:left w:val="nil"/>
              <w:bottom w:val="single" w:sz="4" w:space="0" w:color="auto"/>
              <w:right w:val="single" w:sz="4" w:space="0" w:color="auto"/>
            </w:tcBorders>
            <w:shd w:val="clear" w:color="auto" w:fill="auto"/>
          </w:tcPr>
          <w:p w:rsidR="00DB0200" w:rsidRPr="006234AA" w:rsidRDefault="00DB0200" w:rsidP="003C0546">
            <w:pPr>
              <w:spacing w:after="120"/>
              <w:ind w:firstLine="0"/>
              <w:rPr>
                <w:bCs/>
                <w:sz w:val="24"/>
                <w:szCs w:val="24"/>
                <w:lang w:val="vi-VN" w:eastAsia="vi-VN"/>
              </w:rPr>
            </w:pPr>
            <w:r w:rsidRPr="006234AA">
              <w:rPr>
                <w:bCs/>
                <w:sz w:val="24"/>
                <w:szCs w:val="24"/>
                <w:lang w:val="nl-NL" w:eastAsia="vi-VN"/>
              </w:rPr>
              <w:t>Tổng giá trị rủi ro thị trường</w:t>
            </w:r>
          </w:p>
        </w:tc>
        <w:tc>
          <w:tcPr>
            <w:tcW w:w="1720"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c>
          <w:tcPr>
            <w:tcW w:w="1966"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r>
      <w:tr w:rsidR="00DB0200" w:rsidRPr="006234AA" w:rsidTr="00D60CD2">
        <w:trPr>
          <w:trHeight w:val="423"/>
        </w:trPr>
        <w:tc>
          <w:tcPr>
            <w:tcW w:w="851" w:type="dxa"/>
            <w:tcBorders>
              <w:top w:val="nil"/>
              <w:left w:val="single" w:sz="4" w:space="0" w:color="auto"/>
              <w:bottom w:val="single" w:sz="4" w:space="0" w:color="auto"/>
              <w:right w:val="single" w:sz="4" w:space="0" w:color="auto"/>
            </w:tcBorders>
            <w:shd w:val="clear" w:color="auto" w:fill="auto"/>
          </w:tcPr>
          <w:p w:rsidR="00DB0200" w:rsidRPr="006234AA" w:rsidRDefault="00DB0200" w:rsidP="003C0546">
            <w:pPr>
              <w:spacing w:after="120"/>
              <w:ind w:firstLine="0"/>
              <w:rPr>
                <w:bCs/>
                <w:sz w:val="24"/>
                <w:szCs w:val="24"/>
                <w:lang w:eastAsia="vi-VN"/>
              </w:rPr>
            </w:pPr>
            <w:r w:rsidRPr="006234AA">
              <w:rPr>
                <w:bCs/>
                <w:sz w:val="24"/>
                <w:szCs w:val="24"/>
                <w:lang w:eastAsia="vi-VN"/>
              </w:rPr>
              <w:t>2</w:t>
            </w:r>
          </w:p>
        </w:tc>
        <w:tc>
          <w:tcPr>
            <w:tcW w:w="4961" w:type="dxa"/>
            <w:tcBorders>
              <w:top w:val="nil"/>
              <w:left w:val="nil"/>
              <w:bottom w:val="single" w:sz="4" w:space="0" w:color="auto"/>
              <w:right w:val="single" w:sz="4" w:space="0" w:color="auto"/>
            </w:tcBorders>
            <w:shd w:val="clear" w:color="auto" w:fill="auto"/>
          </w:tcPr>
          <w:p w:rsidR="00DB0200" w:rsidRPr="006234AA" w:rsidRDefault="00DB0200" w:rsidP="003C0546">
            <w:pPr>
              <w:spacing w:after="120"/>
              <w:ind w:firstLine="0"/>
              <w:rPr>
                <w:bCs/>
                <w:sz w:val="24"/>
                <w:szCs w:val="24"/>
                <w:lang w:val="vi-VN" w:eastAsia="vi-VN"/>
              </w:rPr>
            </w:pPr>
            <w:r w:rsidRPr="006234AA">
              <w:rPr>
                <w:bCs/>
                <w:sz w:val="24"/>
                <w:szCs w:val="24"/>
                <w:lang w:val="nl-NL" w:eastAsia="vi-VN"/>
              </w:rPr>
              <w:t>Tổng giá trị rủi ro thanh toán</w:t>
            </w:r>
          </w:p>
        </w:tc>
        <w:tc>
          <w:tcPr>
            <w:tcW w:w="1720"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c>
          <w:tcPr>
            <w:tcW w:w="1966"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r>
      <w:tr w:rsidR="00DB0200" w:rsidRPr="006234AA" w:rsidTr="00D60CD2">
        <w:trPr>
          <w:trHeight w:val="415"/>
        </w:trPr>
        <w:tc>
          <w:tcPr>
            <w:tcW w:w="851" w:type="dxa"/>
            <w:tcBorders>
              <w:top w:val="nil"/>
              <w:left w:val="single" w:sz="4" w:space="0" w:color="auto"/>
              <w:bottom w:val="single" w:sz="4" w:space="0" w:color="auto"/>
              <w:right w:val="single" w:sz="4" w:space="0" w:color="auto"/>
            </w:tcBorders>
            <w:shd w:val="clear" w:color="auto" w:fill="auto"/>
          </w:tcPr>
          <w:p w:rsidR="00DB0200" w:rsidRPr="006234AA" w:rsidRDefault="00DB0200" w:rsidP="003C0546">
            <w:pPr>
              <w:spacing w:after="120"/>
              <w:ind w:firstLine="0"/>
              <w:rPr>
                <w:sz w:val="24"/>
                <w:szCs w:val="24"/>
                <w:lang w:eastAsia="vi-VN"/>
              </w:rPr>
            </w:pPr>
            <w:r w:rsidRPr="006234AA">
              <w:rPr>
                <w:sz w:val="24"/>
                <w:szCs w:val="24"/>
                <w:lang w:eastAsia="vi-VN"/>
              </w:rPr>
              <w:t>3</w:t>
            </w:r>
          </w:p>
        </w:tc>
        <w:tc>
          <w:tcPr>
            <w:tcW w:w="4961" w:type="dxa"/>
            <w:tcBorders>
              <w:top w:val="nil"/>
              <w:left w:val="nil"/>
              <w:bottom w:val="single" w:sz="4" w:space="0" w:color="auto"/>
              <w:right w:val="single" w:sz="4" w:space="0" w:color="auto"/>
            </w:tcBorders>
            <w:shd w:val="clear" w:color="auto" w:fill="auto"/>
          </w:tcPr>
          <w:p w:rsidR="00DB0200" w:rsidRPr="006234AA" w:rsidRDefault="00DB0200" w:rsidP="003C0546">
            <w:pPr>
              <w:spacing w:after="120"/>
              <w:ind w:firstLine="0"/>
              <w:rPr>
                <w:sz w:val="24"/>
                <w:szCs w:val="24"/>
                <w:lang w:eastAsia="vi-VN"/>
              </w:rPr>
            </w:pPr>
            <w:r w:rsidRPr="006234AA">
              <w:rPr>
                <w:sz w:val="24"/>
                <w:szCs w:val="24"/>
                <w:lang w:eastAsia="vi-VN"/>
              </w:rPr>
              <w:t xml:space="preserve">Tổng giá trị rủi ro hoạt động </w:t>
            </w:r>
          </w:p>
        </w:tc>
        <w:tc>
          <w:tcPr>
            <w:tcW w:w="1720"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c>
          <w:tcPr>
            <w:tcW w:w="1966"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r>
      <w:tr w:rsidR="00DB0200" w:rsidRPr="006234AA" w:rsidTr="00D60CD2">
        <w:trPr>
          <w:trHeight w:val="360"/>
        </w:trPr>
        <w:tc>
          <w:tcPr>
            <w:tcW w:w="851" w:type="dxa"/>
            <w:tcBorders>
              <w:top w:val="nil"/>
              <w:left w:val="single" w:sz="4" w:space="0" w:color="auto"/>
              <w:bottom w:val="single" w:sz="4" w:space="0" w:color="auto"/>
              <w:right w:val="single" w:sz="4" w:space="0" w:color="auto"/>
            </w:tcBorders>
            <w:shd w:val="clear" w:color="auto" w:fill="auto"/>
          </w:tcPr>
          <w:p w:rsidR="00DB0200" w:rsidRPr="006234AA" w:rsidRDefault="00DB0200" w:rsidP="003C0546">
            <w:pPr>
              <w:spacing w:after="120"/>
              <w:ind w:firstLine="0"/>
              <w:rPr>
                <w:bCs/>
                <w:sz w:val="24"/>
                <w:szCs w:val="24"/>
                <w:lang w:eastAsia="vi-VN"/>
              </w:rPr>
            </w:pPr>
            <w:r w:rsidRPr="006234AA">
              <w:rPr>
                <w:bCs/>
                <w:sz w:val="24"/>
                <w:szCs w:val="24"/>
                <w:lang w:eastAsia="vi-VN"/>
              </w:rPr>
              <w:t>4</w:t>
            </w:r>
          </w:p>
        </w:tc>
        <w:tc>
          <w:tcPr>
            <w:tcW w:w="4961" w:type="dxa"/>
            <w:tcBorders>
              <w:top w:val="nil"/>
              <w:left w:val="nil"/>
              <w:bottom w:val="single" w:sz="4" w:space="0" w:color="auto"/>
              <w:right w:val="single" w:sz="4" w:space="0" w:color="auto"/>
            </w:tcBorders>
            <w:shd w:val="clear" w:color="auto" w:fill="auto"/>
          </w:tcPr>
          <w:p w:rsidR="00DB0200" w:rsidRPr="006234AA" w:rsidRDefault="00DB0200" w:rsidP="003C0546">
            <w:pPr>
              <w:spacing w:after="120"/>
              <w:ind w:firstLine="0"/>
              <w:rPr>
                <w:bCs/>
                <w:sz w:val="24"/>
                <w:szCs w:val="24"/>
                <w:lang w:val="vi-VN" w:eastAsia="vi-VN"/>
              </w:rPr>
            </w:pPr>
            <w:r w:rsidRPr="006234AA">
              <w:rPr>
                <w:b/>
                <w:bCs/>
                <w:sz w:val="24"/>
                <w:szCs w:val="24"/>
                <w:lang w:val="nl-NL" w:eastAsia="vi-VN"/>
              </w:rPr>
              <w:t>Tổng giá trị rủi ro (4=1+2+3)</w:t>
            </w:r>
          </w:p>
        </w:tc>
        <w:tc>
          <w:tcPr>
            <w:tcW w:w="1720"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c>
          <w:tcPr>
            <w:tcW w:w="1966"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r>
      <w:tr w:rsidR="00DB0200" w:rsidRPr="006234AA" w:rsidTr="00D60CD2">
        <w:trPr>
          <w:trHeight w:val="469"/>
        </w:trPr>
        <w:tc>
          <w:tcPr>
            <w:tcW w:w="851" w:type="dxa"/>
            <w:tcBorders>
              <w:top w:val="nil"/>
              <w:left w:val="single" w:sz="4" w:space="0" w:color="auto"/>
              <w:bottom w:val="single" w:sz="4" w:space="0" w:color="auto"/>
              <w:right w:val="single" w:sz="4" w:space="0" w:color="auto"/>
            </w:tcBorders>
            <w:shd w:val="clear" w:color="auto" w:fill="auto"/>
          </w:tcPr>
          <w:p w:rsidR="00DB0200" w:rsidRPr="006234AA" w:rsidRDefault="00DB0200" w:rsidP="003C0546">
            <w:pPr>
              <w:spacing w:after="120"/>
              <w:ind w:firstLine="0"/>
              <w:rPr>
                <w:sz w:val="24"/>
                <w:szCs w:val="24"/>
                <w:lang w:eastAsia="vi-VN"/>
              </w:rPr>
            </w:pPr>
            <w:r w:rsidRPr="006234AA">
              <w:rPr>
                <w:sz w:val="24"/>
                <w:szCs w:val="24"/>
                <w:lang w:eastAsia="vi-VN"/>
              </w:rPr>
              <w:t>5</w:t>
            </w:r>
          </w:p>
        </w:tc>
        <w:tc>
          <w:tcPr>
            <w:tcW w:w="4961" w:type="dxa"/>
            <w:tcBorders>
              <w:top w:val="nil"/>
              <w:left w:val="nil"/>
              <w:bottom w:val="single" w:sz="4" w:space="0" w:color="auto"/>
              <w:right w:val="single" w:sz="4" w:space="0" w:color="auto"/>
            </w:tcBorders>
            <w:shd w:val="clear" w:color="auto" w:fill="auto"/>
          </w:tcPr>
          <w:p w:rsidR="00DB0200" w:rsidRPr="006234AA" w:rsidRDefault="00DB0200" w:rsidP="003C0546">
            <w:pPr>
              <w:spacing w:after="120"/>
              <w:ind w:firstLine="0"/>
              <w:rPr>
                <w:b/>
                <w:bCs/>
                <w:sz w:val="24"/>
                <w:szCs w:val="24"/>
                <w:lang w:val="vi-VN" w:eastAsia="vi-VN"/>
              </w:rPr>
            </w:pPr>
            <w:r w:rsidRPr="006234AA">
              <w:rPr>
                <w:b/>
                <w:bCs/>
                <w:sz w:val="24"/>
                <w:szCs w:val="24"/>
                <w:lang w:val="nl-NL" w:eastAsia="vi-VN"/>
              </w:rPr>
              <w:t>Vốn khả dụng</w:t>
            </w:r>
          </w:p>
        </w:tc>
        <w:tc>
          <w:tcPr>
            <w:tcW w:w="1720"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c>
          <w:tcPr>
            <w:tcW w:w="1966"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r>
      <w:tr w:rsidR="00DB0200" w:rsidRPr="006234AA" w:rsidTr="00D60CD2">
        <w:trPr>
          <w:trHeight w:val="360"/>
        </w:trPr>
        <w:tc>
          <w:tcPr>
            <w:tcW w:w="851" w:type="dxa"/>
            <w:tcBorders>
              <w:top w:val="nil"/>
              <w:left w:val="single" w:sz="4" w:space="0" w:color="auto"/>
              <w:bottom w:val="single" w:sz="4" w:space="0" w:color="auto"/>
              <w:right w:val="single" w:sz="4" w:space="0" w:color="auto"/>
            </w:tcBorders>
            <w:shd w:val="clear" w:color="auto" w:fill="auto"/>
          </w:tcPr>
          <w:p w:rsidR="00DB0200" w:rsidRPr="006234AA" w:rsidRDefault="00DB0200" w:rsidP="003C0546">
            <w:pPr>
              <w:spacing w:after="120"/>
              <w:ind w:firstLine="0"/>
              <w:rPr>
                <w:sz w:val="24"/>
                <w:szCs w:val="24"/>
                <w:lang w:eastAsia="vi-VN"/>
              </w:rPr>
            </w:pPr>
            <w:r w:rsidRPr="006234AA">
              <w:rPr>
                <w:sz w:val="24"/>
                <w:szCs w:val="24"/>
                <w:lang w:eastAsia="vi-VN"/>
              </w:rPr>
              <w:t>6</w:t>
            </w:r>
          </w:p>
        </w:tc>
        <w:tc>
          <w:tcPr>
            <w:tcW w:w="4961" w:type="dxa"/>
            <w:tcBorders>
              <w:top w:val="nil"/>
              <w:left w:val="nil"/>
              <w:bottom w:val="single" w:sz="4" w:space="0" w:color="auto"/>
              <w:right w:val="single" w:sz="4" w:space="0" w:color="auto"/>
            </w:tcBorders>
            <w:shd w:val="clear" w:color="auto" w:fill="auto"/>
          </w:tcPr>
          <w:p w:rsidR="00DB0200" w:rsidRPr="006234AA" w:rsidRDefault="00DB0200" w:rsidP="003C0546">
            <w:pPr>
              <w:spacing w:after="120"/>
              <w:ind w:firstLine="0"/>
              <w:rPr>
                <w:b/>
                <w:bCs/>
                <w:sz w:val="24"/>
                <w:szCs w:val="24"/>
                <w:lang w:val="vi-VN" w:eastAsia="vi-VN"/>
              </w:rPr>
            </w:pPr>
            <w:r w:rsidRPr="006234AA">
              <w:rPr>
                <w:b/>
                <w:bCs/>
                <w:sz w:val="24"/>
                <w:szCs w:val="24"/>
                <w:lang w:val="nl-NL" w:eastAsia="vi-VN"/>
              </w:rPr>
              <w:t>Tỷ lệ Vốn khả dụng (6=5/4)</w:t>
            </w:r>
          </w:p>
        </w:tc>
        <w:tc>
          <w:tcPr>
            <w:tcW w:w="1720"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c>
          <w:tcPr>
            <w:tcW w:w="1966" w:type="dxa"/>
            <w:tcBorders>
              <w:top w:val="nil"/>
              <w:left w:val="nil"/>
              <w:bottom w:val="single" w:sz="4" w:space="0" w:color="auto"/>
              <w:right w:val="single" w:sz="4" w:space="0" w:color="auto"/>
            </w:tcBorders>
            <w:shd w:val="clear" w:color="auto" w:fill="auto"/>
            <w:noWrap/>
            <w:vAlign w:val="bottom"/>
          </w:tcPr>
          <w:p w:rsidR="00DB0200" w:rsidRPr="006234AA" w:rsidRDefault="00DB0200" w:rsidP="003C0546">
            <w:pPr>
              <w:spacing w:after="120"/>
              <w:jc w:val="center"/>
              <w:rPr>
                <w:sz w:val="24"/>
                <w:szCs w:val="24"/>
                <w:lang w:val="vi-VN" w:eastAsia="vi-VN"/>
              </w:rPr>
            </w:pPr>
          </w:p>
        </w:tc>
      </w:tr>
    </w:tbl>
    <w:p w:rsidR="00DB0200" w:rsidRPr="006234AA" w:rsidRDefault="00DB0200" w:rsidP="003C0546">
      <w:pPr>
        <w:spacing w:after="120"/>
        <w:rPr>
          <w:lang w:val="nl-NL"/>
        </w:rPr>
      </w:pPr>
    </w:p>
    <w:p w:rsidR="00DB0200" w:rsidRPr="006234AA" w:rsidRDefault="00DB0200" w:rsidP="003C0546">
      <w:pPr>
        <w:tabs>
          <w:tab w:val="left" w:pos="1080"/>
        </w:tabs>
        <w:spacing w:after="120"/>
        <w:ind w:firstLine="0"/>
        <w:rPr>
          <w:b/>
          <w:sz w:val="24"/>
          <w:szCs w:val="24"/>
          <w:lang w:val="nl-NL"/>
        </w:rPr>
      </w:pPr>
      <w:r w:rsidRPr="006234AA">
        <w:rPr>
          <w:b/>
          <w:sz w:val="24"/>
          <w:szCs w:val="24"/>
          <w:lang w:val="nl-NL"/>
        </w:rPr>
        <w:t>IV: NGUYÊN TẮC ĐỊNH GIÁ CHỨNG KHOÁN</w:t>
      </w:r>
    </w:p>
    <w:p w:rsidR="00DB0200" w:rsidRPr="006234AA" w:rsidRDefault="00DB0200" w:rsidP="003C0546">
      <w:pPr>
        <w:tabs>
          <w:tab w:val="left" w:pos="1080"/>
        </w:tabs>
        <w:spacing w:after="120"/>
        <w:jc w:val="center"/>
        <w:outlineLvl w:val="0"/>
        <w:rPr>
          <w:sz w:val="14"/>
          <w:szCs w:val="24"/>
          <w:lang w:val="nl-NL"/>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828"/>
        <w:gridCol w:w="5528"/>
      </w:tblGrid>
      <w:tr w:rsidR="00DB0200" w:rsidRPr="006234AA" w:rsidTr="00D60CD2">
        <w:trPr>
          <w:trHeight w:val="247"/>
        </w:trPr>
        <w:tc>
          <w:tcPr>
            <w:tcW w:w="851" w:type="dxa"/>
            <w:shd w:val="clear" w:color="auto" w:fill="D9D9D9"/>
            <w:vAlign w:val="center"/>
          </w:tcPr>
          <w:p w:rsidR="00DB0200" w:rsidRPr="006234AA" w:rsidRDefault="00DB0200" w:rsidP="003C0546">
            <w:pPr>
              <w:pStyle w:val="Default"/>
              <w:spacing w:before="120" w:after="120"/>
              <w:ind w:left="-142" w:firstLine="142"/>
              <w:rPr>
                <w:color w:val="auto"/>
              </w:rPr>
            </w:pPr>
            <w:r w:rsidRPr="006234AA">
              <w:rPr>
                <w:b/>
                <w:bCs/>
                <w:color w:val="auto"/>
              </w:rPr>
              <w:t xml:space="preserve">STT </w:t>
            </w:r>
          </w:p>
        </w:tc>
        <w:tc>
          <w:tcPr>
            <w:tcW w:w="3828" w:type="dxa"/>
            <w:shd w:val="clear" w:color="auto" w:fill="D9D9D9"/>
            <w:vAlign w:val="center"/>
          </w:tcPr>
          <w:p w:rsidR="00DB0200" w:rsidRPr="006234AA" w:rsidRDefault="00DB0200" w:rsidP="003C0546">
            <w:pPr>
              <w:pStyle w:val="Default"/>
              <w:spacing w:before="120" w:after="120"/>
              <w:rPr>
                <w:color w:val="auto"/>
              </w:rPr>
            </w:pPr>
            <w:r w:rsidRPr="006234AA">
              <w:rPr>
                <w:b/>
                <w:bCs/>
                <w:color w:val="auto"/>
              </w:rPr>
              <w:t>Loại tài sản</w:t>
            </w:r>
          </w:p>
        </w:tc>
        <w:tc>
          <w:tcPr>
            <w:tcW w:w="5528" w:type="dxa"/>
            <w:shd w:val="clear" w:color="auto" w:fill="D9D9D9"/>
            <w:vAlign w:val="center"/>
          </w:tcPr>
          <w:p w:rsidR="00DB0200" w:rsidRPr="006234AA" w:rsidRDefault="00DB0200" w:rsidP="003C0546">
            <w:pPr>
              <w:pStyle w:val="Default"/>
              <w:spacing w:before="120" w:after="120"/>
              <w:rPr>
                <w:color w:val="auto"/>
              </w:rPr>
            </w:pPr>
            <w:r w:rsidRPr="006234AA">
              <w:rPr>
                <w:b/>
                <w:bCs/>
                <w:color w:val="auto"/>
              </w:rPr>
              <w:t>Nguyên tắc định giá giao dịch trên thị trường</w:t>
            </w:r>
          </w:p>
        </w:tc>
      </w:tr>
      <w:tr w:rsidR="00DB0200" w:rsidRPr="006234AA" w:rsidTr="00D60CD2">
        <w:trPr>
          <w:trHeight w:val="247"/>
        </w:trPr>
        <w:tc>
          <w:tcPr>
            <w:tcW w:w="10207" w:type="dxa"/>
            <w:gridSpan w:val="3"/>
            <w:shd w:val="clear" w:color="auto" w:fill="D9D9D9"/>
            <w:vAlign w:val="center"/>
          </w:tcPr>
          <w:p w:rsidR="00DB0200" w:rsidRPr="006234AA" w:rsidRDefault="00DB0200" w:rsidP="003C0546">
            <w:pPr>
              <w:pStyle w:val="Default"/>
              <w:spacing w:before="120" w:after="120"/>
              <w:rPr>
                <w:color w:val="auto"/>
              </w:rPr>
            </w:pPr>
            <w:r w:rsidRPr="006234AA">
              <w:rPr>
                <w:b/>
                <w:bCs/>
                <w:color w:val="auto"/>
              </w:rPr>
              <w:t>Tiền và các khoản tương đương tiền, công cụ thị trường tiền tệ</w:t>
            </w:r>
          </w:p>
        </w:tc>
      </w:tr>
      <w:tr w:rsidR="00DB0200" w:rsidRPr="006234AA" w:rsidTr="00D60CD2">
        <w:trPr>
          <w:trHeight w:val="253"/>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w:t>
            </w:r>
          </w:p>
        </w:tc>
        <w:tc>
          <w:tcPr>
            <w:tcW w:w="3828" w:type="dxa"/>
            <w:vAlign w:val="center"/>
          </w:tcPr>
          <w:p w:rsidR="00DB0200" w:rsidRPr="006234AA" w:rsidRDefault="00DB0200" w:rsidP="003C0546">
            <w:pPr>
              <w:pStyle w:val="Default"/>
              <w:spacing w:before="120" w:after="120"/>
              <w:rPr>
                <w:color w:val="auto"/>
              </w:rPr>
            </w:pPr>
            <w:r w:rsidRPr="006234AA">
              <w:rPr>
                <w:color w:val="auto"/>
              </w:rPr>
              <w:t>Tiền (VND)</w:t>
            </w:r>
          </w:p>
        </w:tc>
        <w:tc>
          <w:tcPr>
            <w:tcW w:w="5528" w:type="dxa"/>
            <w:vAlign w:val="center"/>
          </w:tcPr>
          <w:p w:rsidR="00DB0200" w:rsidRPr="006234AA" w:rsidRDefault="00DB0200" w:rsidP="003C0546">
            <w:pPr>
              <w:pStyle w:val="Default"/>
              <w:spacing w:before="120" w:after="120"/>
              <w:rPr>
                <w:color w:val="auto"/>
              </w:rPr>
            </w:pPr>
            <w:r w:rsidRPr="006234AA">
              <w:rPr>
                <w:color w:val="auto"/>
              </w:rPr>
              <w:t>Số dư tài khoản tại ngày tính toán</w:t>
            </w:r>
          </w:p>
        </w:tc>
      </w:tr>
      <w:tr w:rsidR="00DB0200" w:rsidRPr="006234AA" w:rsidTr="00D60CD2">
        <w:trPr>
          <w:trHeight w:val="383"/>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2.</w:t>
            </w:r>
          </w:p>
        </w:tc>
        <w:tc>
          <w:tcPr>
            <w:tcW w:w="3828" w:type="dxa"/>
            <w:vAlign w:val="center"/>
          </w:tcPr>
          <w:p w:rsidR="00DB0200" w:rsidRPr="006234AA" w:rsidRDefault="00DB0200" w:rsidP="003C0546">
            <w:pPr>
              <w:pStyle w:val="Default"/>
              <w:spacing w:before="120" w:after="120"/>
              <w:rPr>
                <w:color w:val="auto"/>
              </w:rPr>
            </w:pPr>
            <w:r w:rsidRPr="006234AA">
              <w:rPr>
                <w:color w:val="auto"/>
              </w:rPr>
              <w:t>Ngoại tệ</w:t>
            </w:r>
          </w:p>
        </w:tc>
        <w:tc>
          <w:tcPr>
            <w:tcW w:w="5528" w:type="dxa"/>
            <w:vAlign w:val="center"/>
          </w:tcPr>
          <w:p w:rsidR="00DB0200" w:rsidRPr="006234AA" w:rsidRDefault="00DB0200" w:rsidP="003C0546">
            <w:pPr>
              <w:pStyle w:val="Default"/>
              <w:spacing w:before="120" w:after="120"/>
              <w:rPr>
                <w:color w:val="auto"/>
              </w:rPr>
            </w:pPr>
            <w:r w:rsidRPr="006234AA">
              <w:rPr>
                <w:color w:val="auto"/>
              </w:rPr>
              <w:t>Giá trị quy đổi ra VND theo tỷ giá tại các tổ chức tín dụng được phép kinh doanh ngoại hối tính tại ngày tính toán</w:t>
            </w:r>
          </w:p>
        </w:tc>
      </w:tr>
      <w:tr w:rsidR="00DB0200" w:rsidRPr="006234AA" w:rsidTr="00D60CD2">
        <w:trPr>
          <w:trHeight w:val="383"/>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3.</w:t>
            </w:r>
          </w:p>
        </w:tc>
        <w:tc>
          <w:tcPr>
            <w:tcW w:w="3828" w:type="dxa"/>
            <w:vAlign w:val="center"/>
          </w:tcPr>
          <w:p w:rsidR="00DB0200" w:rsidRPr="006234AA" w:rsidRDefault="00DB0200" w:rsidP="003C0546">
            <w:pPr>
              <w:pStyle w:val="Default"/>
              <w:spacing w:before="120" w:after="120"/>
              <w:rPr>
                <w:color w:val="auto"/>
              </w:rPr>
            </w:pPr>
            <w:r w:rsidRPr="006234AA">
              <w:rPr>
                <w:color w:val="auto"/>
              </w:rPr>
              <w:t>Tiền gửi  kỳ hạn</w:t>
            </w:r>
          </w:p>
        </w:tc>
        <w:tc>
          <w:tcPr>
            <w:tcW w:w="5528" w:type="dxa"/>
            <w:vAlign w:val="center"/>
          </w:tcPr>
          <w:p w:rsidR="00DB0200" w:rsidRPr="006234AA" w:rsidRDefault="00DB0200" w:rsidP="003C0546">
            <w:pPr>
              <w:pStyle w:val="Default"/>
              <w:spacing w:before="120" w:after="120"/>
              <w:rPr>
                <w:color w:val="auto"/>
              </w:rPr>
            </w:pPr>
            <w:r w:rsidRPr="006234AA">
              <w:rPr>
                <w:color w:val="auto"/>
              </w:rPr>
              <w:t>Giá trị tiền gửi cộng lãi chưa được thanh toán tới ngày tính toán</w:t>
            </w:r>
          </w:p>
        </w:tc>
      </w:tr>
      <w:tr w:rsidR="00DB0200" w:rsidRPr="006234AA" w:rsidTr="00D60CD2">
        <w:trPr>
          <w:trHeight w:val="253"/>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4.</w:t>
            </w:r>
          </w:p>
        </w:tc>
        <w:tc>
          <w:tcPr>
            <w:tcW w:w="3828" w:type="dxa"/>
            <w:vAlign w:val="center"/>
          </w:tcPr>
          <w:p w:rsidR="00DB0200" w:rsidRPr="006234AA" w:rsidRDefault="00DB0200" w:rsidP="003C0546">
            <w:pPr>
              <w:pStyle w:val="Default"/>
              <w:spacing w:before="120" w:after="120"/>
              <w:rPr>
                <w:color w:val="auto"/>
              </w:rPr>
            </w:pPr>
            <w:r w:rsidRPr="006234AA">
              <w:rPr>
                <w:color w:val="auto"/>
              </w:rPr>
              <w:t>Tín phiếu kho bạc, hối phiếu ngân hàng, thương phiếu, chứng chỉ tiền gửi có thể chuyển nhượng, trái phiếu và các công cụ thị trường tiền tệ chiết khấu</w:t>
            </w:r>
          </w:p>
        </w:tc>
        <w:tc>
          <w:tcPr>
            <w:tcW w:w="5528" w:type="dxa"/>
            <w:vAlign w:val="center"/>
          </w:tcPr>
          <w:p w:rsidR="00DB0200" w:rsidRPr="006234AA" w:rsidRDefault="00DB0200" w:rsidP="003C0546">
            <w:pPr>
              <w:pStyle w:val="Default"/>
              <w:spacing w:before="120" w:after="120"/>
              <w:rPr>
                <w:color w:val="auto"/>
              </w:rPr>
            </w:pPr>
            <w:r w:rsidRPr="006234AA">
              <w:rPr>
                <w:color w:val="auto"/>
              </w:rPr>
              <w:t xml:space="preserve">Giá mua cộng với lãi lũy kế tính đến ngày tính toán </w:t>
            </w:r>
          </w:p>
        </w:tc>
      </w:tr>
      <w:tr w:rsidR="00DB0200" w:rsidRPr="006234AA" w:rsidTr="00D60CD2">
        <w:trPr>
          <w:trHeight w:val="263"/>
        </w:trPr>
        <w:tc>
          <w:tcPr>
            <w:tcW w:w="4679" w:type="dxa"/>
            <w:gridSpan w:val="2"/>
            <w:shd w:val="clear" w:color="auto" w:fill="D9D9D9"/>
            <w:vAlign w:val="center"/>
          </w:tcPr>
          <w:p w:rsidR="00DB0200" w:rsidRPr="006234AA" w:rsidRDefault="00DB0200" w:rsidP="003C0546">
            <w:pPr>
              <w:pStyle w:val="Default"/>
              <w:spacing w:before="120" w:after="120"/>
              <w:rPr>
                <w:color w:val="auto"/>
              </w:rPr>
            </w:pPr>
            <w:r w:rsidRPr="006234AA">
              <w:rPr>
                <w:b/>
                <w:bCs/>
                <w:color w:val="auto"/>
              </w:rPr>
              <w:t>Trái phiếu</w:t>
            </w:r>
          </w:p>
        </w:tc>
        <w:tc>
          <w:tcPr>
            <w:tcW w:w="5528" w:type="dxa"/>
            <w:shd w:val="clear" w:color="auto" w:fill="D9D9D9"/>
          </w:tcPr>
          <w:p w:rsidR="00DB0200" w:rsidRPr="006234AA" w:rsidRDefault="00DB0200" w:rsidP="003C0546">
            <w:pPr>
              <w:pStyle w:val="Default"/>
              <w:spacing w:before="120" w:after="120"/>
              <w:rPr>
                <w:color w:val="auto"/>
              </w:rPr>
            </w:pPr>
          </w:p>
        </w:tc>
      </w:tr>
      <w:tr w:rsidR="00DB0200" w:rsidRPr="006234AA" w:rsidTr="00D60CD2">
        <w:trPr>
          <w:trHeight w:val="247"/>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5.</w:t>
            </w:r>
          </w:p>
        </w:tc>
        <w:tc>
          <w:tcPr>
            <w:tcW w:w="3828" w:type="dxa"/>
            <w:vAlign w:val="center"/>
          </w:tcPr>
          <w:p w:rsidR="00DB0200" w:rsidRPr="006234AA" w:rsidRDefault="00DB0200" w:rsidP="003C0546">
            <w:pPr>
              <w:pStyle w:val="Default"/>
              <w:spacing w:before="120" w:after="120"/>
              <w:rPr>
                <w:color w:val="auto"/>
              </w:rPr>
            </w:pPr>
            <w:r w:rsidRPr="006234AA">
              <w:rPr>
                <w:color w:val="auto"/>
              </w:rPr>
              <w:t>Trái phiếu niêm yết</w:t>
            </w:r>
          </w:p>
        </w:tc>
        <w:tc>
          <w:tcPr>
            <w:tcW w:w="5528" w:type="dxa"/>
            <w:vAlign w:val="center"/>
          </w:tcPr>
          <w:p w:rsidR="00DB0200" w:rsidRPr="006234AA" w:rsidRDefault="00DB0200" w:rsidP="003C0546">
            <w:pPr>
              <w:pStyle w:val="Default"/>
              <w:spacing w:before="120" w:after="120"/>
              <w:rPr>
                <w:color w:val="auto"/>
              </w:rPr>
            </w:pPr>
            <w:r w:rsidRPr="006234AA">
              <w:rPr>
                <w:color w:val="auto"/>
              </w:rPr>
              <w:t>- Giá yết bình quân trên hệ thống giao dịch tại Sở Giao dịch Chứng khoán tại ngày giao dịch gần nhất cộng lãi lũy kế;</w:t>
            </w:r>
          </w:p>
          <w:p w:rsidR="00DB0200" w:rsidRPr="006234AA" w:rsidRDefault="00DB0200" w:rsidP="003C0546">
            <w:pPr>
              <w:pStyle w:val="Default"/>
              <w:spacing w:before="120" w:after="120"/>
              <w:rPr>
                <w:color w:val="auto"/>
              </w:rPr>
            </w:pPr>
            <w:r w:rsidRPr="006234AA">
              <w:rPr>
                <w:color w:val="auto"/>
              </w:rPr>
              <w:t>- Trường hợp không có giao dịch nhiều hơn hai (02) tuần tính đến ngày tính toán, là giá trị lớn nhất trong các giá trị sau:</w:t>
            </w:r>
          </w:p>
          <w:p w:rsidR="00DB0200" w:rsidRPr="006234AA" w:rsidRDefault="00DB0200" w:rsidP="003C0546">
            <w:pPr>
              <w:pStyle w:val="Default"/>
              <w:spacing w:before="120" w:after="120"/>
              <w:rPr>
                <w:color w:val="auto"/>
              </w:rPr>
            </w:pPr>
            <w:r w:rsidRPr="006234AA">
              <w:rPr>
                <w:color w:val="auto"/>
              </w:rPr>
              <w:lastRenderedPageBreak/>
              <w:t>+ Giá mua cộng lãi lũy kế;</w:t>
            </w:r>
          </w:p>
          <w:p w:rsidR="00DB0200" w:rsidRPr="006234AA" w:rsidRDefault="00DB0200" w:rsidP="003C0546">
            <w:pPr>
              <w:pStyle w:val="Default"/>
              <w:spacing w:before="120" w:after="120"/>
              <w:rPr>
                <w:color w:val="auto"/>
              </w:rPr>
            </w:pPr>
            <w:r w:rsidRPr="006234AA">
              <w:rPr>
                <w:color w:val="auto"/>
              </w:rPr>
              <w:t>+ Mệnh giá cộng lãi lũy kế;</w:t>
            </w:r>
          </w:p>
          <w:p w:rsidR="00DB0200" w:rsidRPr="006234AA" w:rsidRDefault="00DB0200" w:rsidP="003C0546">
            <w:pPr>
              <w:pStyle w:val="Default"/>
              <w:spacing w:before="120" w:after="120"/>
              <w:rPr>
                <w:color w:val="auto"/>
              </w:rPr>
            </w:pPr>
            <w:r w:rsidRPr="006234AA">
              <w:rPr>
                <w:color w:val="auto"/>
              </w:rPr>
              <w:t>+ Giá xác định theo phương pháp nội bộ của tổ chức kinh doanh chứng khoán, bao gồm cả lãi lũy kế.</w:t>
            </w:r>
          </w:p>
          <w:p w:rsidR="00DB0200" w:rsidRPr="006234AA" w:rsidRDefault="00DB0200" w:rsidP="003C0546">
            <w:pPr>
              <w:pStyle w:val="Default"/>
              <w:spacing w:before="120" w:after="120"/>
              <w:rPr>
                <w:color w:val="auto"/>
              </w:rPr>
            </w:pPr>
            <w:r w:rsidRPr="006234AA">
              <w:rPr>
                <w:color w:val="auto"/>
              </w:rPr>
              <w:t xml:space="preserve">Tức là: </w:t>
            </w:r>
          </w:p>
          <w:p w:rsidR="00DB0200" w:rsidRPr="006234AA" w:rsidRDefault="00DB0200" w:rsidP="003C0546">
            <w:pPr>
              <w:pStyle w:val="Default"/>
              <w:spacing w:before="120" w:after="120"/>
              <w:rPr>
                <w:color w:val="auto"/>
              </w:rPr>
            </w:pPr>
            <w:r w:rsidRPr="006234AA">
              <w:rPr>
                <w:color w:val="auto"/>
              </w:rPr>
              <w:t>Max ( Giá mua cộng lãi lũy kế; Mệnh giá cộng lãi lũy kế; Giá xác định theo phương pháp nội bộ, bao gồm cả lãi lũy kế).</w:t>
            </w:r>
          </w:p>
        </w:tc>
      </w:tr>
      <w:tr w:rsidR="00DB0200" w:rsidRPr="006234AA" w:rsidTr="00D60CD2">
        <w:trPr>
          <w:trHeight w:val="255"/>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lastRenderedPageBreak/>
              <w:t>6.</w:t>
            </w:r>
          </w:p>
        </w:tc>
        <w:tc>
          <w:tcPr>
            <w:tcW w:w="3828" w:type="dxa"/>
            <w:vAlign w:val="center"/>
          </w:tcPr>
          <w:p w:rsidR="00DB0200" w:rsidRPr="006234AA" w:rsidRDefault="00DB0200" w:rsidP="003C0546">
            <w:pPr>
              <w:pStyle w:val="Default"/>
              <w:spacing w:before="120" w:after="120"/>
              <w:rPr>
                <w:color w:val="auto"/>
              </w:rPr>
            </w:pPr>
            <w:r w:rsidRPr="006234AA">
              <w:rPr>
                <w:color w:val="auto"/>
              </w:rPr>
              <w:t>Trái phiếu không niêm yết</w:t>
            </w:r>
          </w:p>
        </w:tc>
        <w:tc>
          <w:tcPr>
            <w:tcW w:w="5528" w:type="dxa"/>
            <w:vAlign w:val="center"/>
          </w:tcPr>
          <w:p w:rsidR="00DB0200" w:rsidRPr="006234AA" w:rsidRDefault="00DB0200" w:rsidP="003C0546">
            <w:pPr>
              <w:pStyle w:val="Default"/>
              <w:tabs>
                <w:tab w:val="left" w:pos="218"/>
              </w:tabs>
              <w:spacing w:before="120" w:after="120"/>
              <w:rPr>
                <w:color w:val="auto"/>
              </w:rPr>
            </w:pPr>
            <w:r w:rsidRPr="006234AA">
              <w:rPr>
                <w:color w:val="auto"/>
              </w:rPr>
              <w:t>Là giá trị lớn nhất trong các giá trị sau:</w:t>
            </w:r>
          </w:p>
          <w:p w:rsidR="00DB0200" w:rsidRPr="006234AA" w:rsidRDefault="00DB0200" w:rsidP="003C0546">
            <w:pPr>
              <w:pStyle w:val="Default"/>
              <w:tabs>
                <w:tab w:val="left" w:pos="34"/>
              </w:tabs>
              <w:spacing w:before="120" w:after="120"/>
              <w:ind w:left="34"/>
              <w:rPr>
                <w:color w:val="auto"/>
              </w:rPr>
            </w:pPr>
            <w:r w:rsidRPr="006234AA">
              <w:rPr>
                <w:color w:val="auto"/>
              </w:rPr>
              <w:t>+ Giá yết (nếu có) trên các hệ thống báo giá do tổ chức kinh doanh chứng khoán lựa chọn, cộng lãi lũy kế;</w:t>
            </w:r>
          </w:p>
          <w:p w:rsidR="00DB0200" w:rsidRPr="006234AA" w:rsidRDefault="00DB0200" w:rsidP="003C0546">
            <w:pPr>
              <w:pStyle w:val="Default"/>
              <w:tabs>
                <w:tab w:val="left" w:pos="34"/>
              </w:tabs>
              <w:spacing w:before="120" w:after="120"/>
              <w:ind w:left="34"/>
              <w:rPr>
                <w:color w:val="auto"/>
              </w:rPr>
            </w:pPr>
            <w:r w:rsidRPr="006234AA">
              <w:rPr>
                <w:color w:val="auto"/>
              </w:rPr>
              <w:t xml:space="preserve">+ Giá mua cộng lãi lũy kế; </w:t>
            </w:r>
          </w:p>
          <w:p w:rsidR="00DB0200" w:rsidRPr="006234AA" w:rsidRDefault="00DB0200" w:rsidP="003C0546">
            <w:pPr>
              <w:pStyle w:val="Default"/>
              <w:tabs>
                <w:tab w:val="left" w:pos="34"/>
              </w:tabs>
              <w:spacing w:before="120" w:after="120"/>
              <w:ind w:left="34"/>
              <w:rPr>
                <w:color w:val="auto"/>
              </w:rPr>
            </w:pPr>
            <w:r w:rsidRPr="006234AA">
              <w:rPr>
                <w:color w:val="auto"/>
              </w:rPr>
              <w:t>+ Mệnh giá cộng lãi lũy kế;</w:t>
            </w:r>
          </w:p>
          <w:p w:rsidR="00DB0200" w:rsidRPr="006234AA" w:rsidRDefault="00DB0200" w:rsidP="003C0546">
            <w:pPr>
              <w:pStyle w:val="Default"/>
              <w:tabs>
                <w:tab w:val="left" w:pos="34"/>
              </w:tabs>
              <w:spacing w:before="120" w:after="120"/>
              <w:ind w:left="34"/>
              <w:rPr>
                <w:color w:val="auto"/>
              </w:rPr>
            </w:pPr>
            <w:r w:rsidRPr="006234AA">
              <w:rPr>
                <w:color w:val="auto"/>
              </w:rPr>
              <w:t xml:space="preserve">+ Giá theo quy định nội bộ của tổ chức kinh doanh chứng khoán, bao gồm cả lãi lũy kế. </w:t>
            </w:r>
          </w:p>
          <w:p w:rsidR="00DB0200" w:rsidRPr="006234AA" w:rsidRDefault="00DB0200" w:rsidP="003C0546">
            <w:pPr>
              <w:pStyle w:val="Default"/>
              <w:tabs>
                <w:tab w:val="left" w:pos="218"/>
              </w:tabs>
              <w:spacing w:before="120" w:after="120"/>
              <w:rPr>
                <w:color w:val="auto"/>
              </w:rPr>
            </w:pPr>
            <w:r w:rsidRPr="006234AA">
              <w:rPr>
                <w:color w:val="auto"/>
              </w:rPr>
              <w:t>Tức là:</w:t>
            </w:r>
          </w:p>
          <w:p w:rsidR="00DB0200" w:rsidRPr="006234AA" w:rsidRDefault="00DB0200" w:rsidP="003C0546">
            <w:pPr>
              <w:pStyle w:val="Default"/>
              <w:tabs>
                <w:tab w:val="left" w:pos="218"/>
              </w:tabs>
              <w:spacing w:before="120" w:after="120"/>
              <w:rPr>
                <w:color w:val="auto"/>
              </w:rPr>
            </w:pPr>
            <w:r w:rsidRPr="006234AA">
              <w:rPr>
                <w:color w:val="auto"/>
              </w:rPr>
              <w:t>Max ( Giá yết (nếu có); Giá mua cộng lãi lũy kế; Mệnh giá cộng lãi lũy kế; Giá xác định theo phương pháp nội bộ, bao gồm cả lãi lũy kế).</w:t>
            </w:r>
          </w:p>
        </w:tc>
      </w:tr>
      <w:tr w:rsidR="00DB0200" w:rsidRPr="006234AA" w:rsidTr="00D60CD2">
        <w:trPr>
          <w:trHeight w:val="247"/>
        </w:trPr>
        <w:tc>
          <w:tcPr>
            <w:tcW w:w="4679" w:type="dxa"/>
            <w:gridSpan w:val="2"/>
            <w:shd w:val="clear" w:color="auto" w:fill="D9D9D9"/>
            <w:vAlign w:val="center"/>
          </w:tcPr>
          <w:p w:rsidR="00DB0200" w:rsidRPr="006234AA" w:rsidRDefault="00DB0200" w:rsidP="003C0546">
            <w:pPr>
              <w:pStyle w:val="Default"/>
              <w:spacing w:before="120" w:after="120"/>
              <w:rPr>
                <w:color w:val="auto"/>
              </w:rPr>
            </w:pPr>
            <w:r w:rsidRPr="006234AA">
              <w:rPr>
                <w:b/>
                <w:bCs/>
                <w:color w:val="auto"/>
              </w:rPr>
              <w:t>Cổ phiếu</w:t>
            </w:r>
          </w:p>
        </w:tc>
        <w:tc>
          <w:tcPr>
            <w:tcW w:w="5528" w:type="dxa"/>
            <w:shd w:val="clear" w:color="auto" w:fill="D9D9D9"/>
          </w:tcPr>
          <w:p w:rsidR="00DB0200" w:rsidRPr="006234AA" w:rsidRDefault="00DB0200" w:rsidP="003C0546">
            <w:pPr>
              <w:pStyle w:val="Default"/>
              <w:spacing w:before="120" w:after="120"/>
              <w:rPr>
                <w:color w:val="auto"/>
              </w:rPr>
            </w:pPr>
          </w:p>
        </w:tc>
      </w:tr>
      <w:tr w:rsidR="00DB0200" w:rsidRPr="006234AA" w:rsidTr="00D60CD2">
        <w:trPr>
          <w:trHeight w:val="477"/>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7.</w:t>
            </w:r>
          </w:p>
        </w:tc>
        <w:tc>
          <w:tcPr>
            <w:tcW w:w="3828" w:type="dxa"/>
            <w:vAlign w:val="center"/>
          </w:tcPr>
          <w:p w:rsidR="00DB0200" w:rsidRPr="006234AA" w:rsidRDefault="00DB0200" w:rsidP="003C0546">
            <w:pPr>
              <w:pStyle w:val="Default"/>
              <w:spacing w:before="120" w:after="120"/>
              <w:rPr>
                <w:color w:val="auto"/>
              </w:rPr>
            </w:pPr>
            <w:r w:rsidRPr="006234AA">
              <w:rPr>
                <w:color w:val="auto"/>
              </w:rPr>
              <w:t>Cổ phiếu niêm yết trên Sở Giao dịch Chứng khoán  Hồ Chí Minh</w:t>
            </w:r>
          </w:p>
        </w:tc>
        <w:tc>
          <w:tcPr>
            <w:tcW w:w="5528" w:type="dxa"/>
            <w:vAlign w:val="center"/>
          </w:tcPr>
          <w:p w:rsidR="00DB0200" w:rsidRPr="006234AA" w:rsidRDefault="00DB0200" w:rsidP="003C0546">
            <w:pPr>
              <w:pStyle w:val="Default"/>
              <w:spacing w:before="120" w:after="120"/>
              <w:rPr>
                <w:color w:val="auto"/>
              </w:rPr>
            </w:pPr>
            <w:r w:rsidRPr="006234AA">
              <w:rPr>
                <w:color w:val="auto"/>
              </w:rPr>
              <w:t>- Giá đóng cửa tại ngày giao dịch gần nhất ngày tính toán;</w:t>
            </w:r>
          </w:p>
          <w:p w:rsidR="00DB0200" w:rsidRPr="006234AA" w:rsidRDefault="00DB0200" w:rsidP="003C0546">
            <w:pPr>
              <w:pStyle w:val="Default"/>
              <w:spacing w:before="120" w:after="120"/>
              <w:rPr>
                <w:color w:val="auto"/>
              </w:rPr>
            </w:pPr>
            <w:r w:rsidRPr="006234AA">
              <w:rPr>
                <w:color w:val="auto"/>
              </w:rPr>
              <w:t>- Trường hợp không có giao dịch nhiều hơn hai (02) tuần tính đến ngày tính toán, là giá trị lớn nhất trong các giá trị sau:</w:t>
            </w:r>
          </w:p>
          <w:p w:rsidR="00DB0200" w:rsidRPr="006234AA" w:rsidRDefault="00DB0200" w:rsidP="003C0546">
            <w:pPr>
              <w:pStyle w:val="Default"/>
              <w:spacing w:before="120" w:after="120"/>
              <w:rPr>
                <w:color w:val="auto"/>
              </w:rPr>
            </w:pPr>
            <w:r w:rsidRPr="006234AA">
              <w:rPr>
                <w:color w:val="auto"/>
              </w:rPr>
              <w:t>+ Giá trị sổ sách;</w:t>
            </w:r>
          </w:p>
          <w:p w:rsidR="00DB0200" w:rsidRPr="006234AA" w:rsidRDefault="00DB0200" w:rsidP="003C0546">
            <w:pPr>
              <w:pStyle w:val="Default"/>
              <w:spacing w:before="120" w:after="120"/>
              <w:rPr>
                <w:color w:val="auto"/>
              </w:rPr>
            </w:pPr>
            <w:r w:rsidRPr="006234AA">
              <w:rPr>
                <w:color w:val="auto"/>
              </w:rPr>
              <w:t>+ Giá mua;</w:t>
            </w:r>
          </w:p>
          <w:p w:rsidR="00DB0200" w:rsidRPr="006234AA" w:rsidRDefault="00DB0200" w:rsidP="003C0546">
            <w:pPr>
              <w:pStyle w:val="Default"/>
              <w:spacing w:before="120" w:after="120"/>
              <w:rPr>
                <w:color w:val="auto"/>
              </w:rPr>
            </w:pPr>
            <w:r w:rsidRPr="006234AA">
              <w:rPr>
                <w:color w:val="auto"/>
              </w:rPr>
              <w:t>+ Giá theo phương pháp nội bộ của tổ chức kinh doanh chứng khoán.</w:t>
            </w:r>
          </w:p>
          <w:p w:rsidR="00DB0200" w:rsidRPr="006234AA" w:rsidRDefault="00DB0200" w:rsidP="003C0546">
            <w:pPr>
              <w:pStyle w:val="Default"/>
              <w:spacing w:before="120" w:after="120"/>
              <w:rPr>
                <w:color w:val="auto"/>
              </w:rPr>
            </w:pPr>
            <w:r w:rsidRPr="006234AA">
              <w:rPr>
                <w:color w:val="auto"/>
              </w:rPr>
              <w:t>Tức là:</w:t>
            </w:r>
          </w:p>
          <w:p w:rsidR="00DB0200" w:rsidRPr="006234AA" w:rsidRDefault="00DB0200" w:rsidP="003C0546">
            <w:pPr>
              <w:pStyle w:val="Default"/>
              <w:spacing w:before="120" w:after="120"/>
              <w:rPr>
                <w:color w:val="auto"/>
              </w:rPr>
            </w:pPr>
            <w:r w:rsidRPr="006234AA">
              <w:rPr>
                <w:color w:val="auto"/>
              </w:rPr>
              <w:t>Max (Giá trị sổ sách; Giá mua; Giá xác định theo phương pháp nội bộ)</w:t>
            </w:r>
          </w:p>
        </w:tc>
      </w:tr>
      <w:tr w:rsidR="00DB0200" w:rsidRPr="006234AA" w:rsidTr="00D60CD2">
        <w:trPr>
          <w:trHeight w:val="477"/>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8.</w:t>
            </w:r>
          </w:p>
        </w:tc>
        <w:tc>
          <w:tcPr>
            <w:tcW w:w="3828" w:type="dxa"/>
            <w:vAlign w:val="center"/>
          </w:tcPr>
          <w:p w:rsidR="00DB0200" w:rsidRPr="006234AA" w:rsidRDefault="00DB0200" w:rsidP="003C0546">
            <w:pPr>
              <w:pStyle w:val="Default"/>
              <w:spacing w:before="120" w:after="120"/>
              <w:rPr>
                <w:color w:val="auto"/>
              </w:rPr>
            </w:pPr>
            <w:r w:rsidRPr="006234AA">
              <w:rPr>
                <w:color w:val="auto"/>
              </w:rPr>
              <w:t>Cổ phiếu niêm yết trên Sở Giao dịch Chứng khoán  Hà Nội</w:t>
            </w:r>
          </w:p>
        </w:tc>
        <w:tc>
          <w:tcPr>
            <w:tcW w:w="5528" w:type="dxa"/>
            <w:vAlign w:val="center"/>
          </w:tcPr>
          <w:p w:rsidR="00DB0200" w:rsidRPr="006234AA" w:rsidRDefault="00DB0200" w:rsidP="003C0546">
            <w:pPr>
              <w:pStyle w:val="Default"/>
              <w:spacing w:before="120" w:after="120"/>
              <w:rPr>
                <w:color w:val="auto"/>
              </w:rPr>
            </w:pPr>
            <w:r w:rsidRPr="006234AA">
              <w:rPr>
                <w:color w:val="auto"/>
              </w:rPr>
              <w:t>- Giá giao dịch bình quân của ngày giao dịch gần nhất ngày tính toán;</w:t>
            </w:r>
          </w:p>
          <w:p w:rsidR="00DB0200" w:rsidRPr="006234AA" w:rsidRDefault="00DB0200" w:rsidP="003C0546">
            <w:pPr>
              <w:pStyle w:val="Default"/>
              <w:spacing w:before="120" w:after="120"/>
              <w:rPr>
                <w:color w:val="auto"/>
              </w:rPr>
            </w:pPr>
            <w:r w:rsidRPr="006234AA">
              <w:rPr>
                <w:color w:val="auto"/>
              </w:rPr>
              <w:t>- Trường hợp không có giao dịch nhiều hơn hai (02) tuần tính đến ngày tính toán, là giá trị lớn nhất trong các giá trị sau:</w:t>
            </w:r>
          </w:p>
          <w:p w:rsidR="00DB0200" w:rsidRPr="006234AA" w:rsidRDefault="00DB0200" w:rsidP="003C0546">
            <w:pPr>
              <w:pStyle w:val="Default"/>
              <w:spacing w:before="120" w:after="120"/>
              <w:rPr>
                <w:color w:val="auto"/>
              </w:rPr>
            </w:pPr>
            <w:r w:rsidRPr="006234AA">
              <w:rPr>
                <w:color w:val="auto"/>
              </w:rPr>
              <w:t>+ Giá trị sổ sách;</w:t>
            </w:r>
          </w:p>
          <w:p w:rsidR="00DB0200" w:rsidRPr="006234AA" w:rsidRDefault="00DB0200" w:rsidP="003C0546">
            <w:pPr>
              <w:pStyle w:val="Default"/>
              <w:spacing w:before="120" w:after="120"/>
              <w:rPr>
                <w:color w:val="auto"/>
              </w:rPr>
            </w:pPr>
            <w:r w:rsidRPr="006234AA">
              <w:rPr>
                <w:color w:val="auto"/>
              </w:rPr>
              <w:lastRenderedPageBreak/>
              <w:t>+ Giá mua;</w:t>
            </w:r>
          </w:p>
          <w:p w:rsidR="00DB0200" w:rsidRPr="006234AA" w:rsidRDefault="00DB0200" w:rsidP="003C0546">
            <w:pPr>
              <w:pStyle w:val="Default"/>
              <w:spacing w:before="120" w:after="120"/>
              <w:rPr>
                <w:color w:val="auto"/>
              </w:rPr>
            </w:pPr>
            <w:r w:rsidRPr="006234AA">
              <w:rPr>
                <w:color w:val="auto"/>
              </w:rPr>
              <w:t>+ Giá theo phương pháp nội bộ của tổ chức kinh doanh chứng khoán.</w:t>
            </w:r>
          </w:p>
          <w:p w:rsidR="00DB0200" w:rsidRPr="006234AA" w:rsidRDefault="00DB0200" w:rsidP="003C0546">
            <w:pPr>
              <w:pStyle w:val="Default"/>
              <w:spacing w:before="120" w:after="120"/>
              <w:rPr>
                <w:color w:val="auto"/>
              </w:rPr>
            </w:pPr>
            <w:r w:rsidRPr="006234AA">
              <w:rPr>
                <w:color w:val="auto"/>
              </w:rPr>
              <w:t>Tức là:</w:t>
            </w:r>
          </w:p>
          <w:p w:rsidR="00DB0200" w:rsidRPr="006234AA" w:rsidRDefault="00DB0200" w:rsidP="003C0546">
            <w:pPr>
              <w:pStyle w:val="Default"/>
              <w:spacing w:before="120" w:after="120"/>
              <w:rPr>
                <w:color w:val="auto"/>
              </w:rPr>
            </w:pPr>
            <w:r w:rsidRPr="006234AA">
              <w:rPr>
                <w:color w:val="auto"/>
              </w:rPr>
              <w:t>Max (Giá trị sổ sách; Giá mua; Giá xác định theo phương pháp nội bộ)</w:t>
            </w:r>
          </w:p>
        </w:tc>
      </w:tr>
      <w:tr w:rsidR="00DB0200" w:rsidRPr="006234AA" w:rsidTr="00D60CD2">
        <w:trPr>
          <w:trHeight w:val="597"/>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lastRenderedPageBreak/>
              <w:t>9.</w:t>
            </w:r>
          </w:p>
        </w:tc>
        <w:tc>
          <w:tcPr>
            <w:tcW w:w="3828" w:type="dxa"/>
            <w:vAlign w:val="center"/>
          </w:tcPr>
          <w:p w:rsidR="00DB0200" w:rsidRPr="006234AA" w:rsidRDefault="00DB0200" w:rsidP="003C0546">
            <w:pPr>
              <w:pStyle w:val="Default"/>
              <w:spacing w:before="120" w:after="120"/>
              <w:rPr>
                <w:color w:val="auto"/>
              </w:rPr>
            </w:pPr>
            <w:r w:rsidRPr="006234AA">
              <w:rPr>
                <w:color w:val="auto"/>
              </w:rPr>
              <w:t xml:space="preserve">Cổ phiếu của Công ty đại chúng đăng ký giao dịch trên hệ thống UpCom </w:t>
            </w:r>
          </w:p>
        </w:tc>
        <w:tc>
          <w:tcPr>
            <w:tcW w:w="5528" w:type="dxa"/>
            <w:vAlign w:val="center"/>
          </w:tcPr>
          <w:p w:rsidR="00DB0200" w:rsidRPr="006234AA" w:rsidRDefault="00DB0200" w:rsidP="003C0546">
            <w:pPr>
              <w:pStyle w:val="Default"/>
              <w:spacing w:before="120" w:after="120"/>
              <w:rPr>
                <w:color w:val="auto"/>
              </w:rPr>
            </w:pPr>
            <w:r w:rsidRPr="006234AA">
              <w:rPr>
                <w:color w:val="auto"/>
              </w:rPr>
              <w:t>- Giá giao dịch bình quân của ngày giao dịch gần nhất ngày tính toán;</w:t>
            </w:r>
          </w:p>
          <w:p w:rsidR="00DB0200" w:rsidRPr="006234AA" w:rsidRDefault="00DB0200" w:rsidP="003C0546">
            <w:pPr>
              <w:pStyle w:val="Default"/>
              <w:spacing w:before="120" w:after="120"/>
              <w:rPr>
                <w:color w:val="auto"/>
              </w:rPr>
            </w:pPr>
            <w:r w:rsidRPr="006234AA">
              <w:rPr>
                <w:color w:val="auto"/>
              </w:rPr>
              <w:t>- Trường hợp không có giao dịch nhiều hơn hai (02) tuần tính đến ngày tính toán, là giá trị lớn nhất trong các giá trị sau:</w:t>
            </w:r>
          </w:p>
          <w:p w:rsidR="00DB0200" w:rsidRPr="006234AA" w:rsidRDefault="00DB0200" w:rsidP="003C0546">
            <w:pPr>
              <w:pStyle w:val="Default"/>
              <w:spacing w:before="120" w:after="120"/>
              <w:rPr>
                <w:color w:val="auto"/>
              </w:rPr>
            </w:pPr>
            <w:r w:rsidRPr="006234AA">
              <w:rPr>
                <w:color w:val="auto"/>
              </w:rPr>
              <w:t>+ Giá trị sổ sách;</w:t>
            </w:r>
          </w:p>
          <w:p w:rsidR="00DB0200" w:rsidRPr="006234AA" w:rsidRDefault="00DB0200" w:rsidP="003C0546">
            <w:pPr>
              <w:pStyle w:val="Default"/>
              <w:spacing w:before="120" w:after="120"/>
              <w:rPr>
                <w:color w:val="auto"/>
              </w:rPr>
            </w:pPr>
            <w:r w:rsidRPr="006234AA">
              <w:rPr>
                <w:color w:val="auto"/>
              </w:rPr>
              <w:t>+ Giá mua;</w:t>
            </w:r>
          </w:p>
          <w:p w:rsidR="00DB0200" w:rsidRPr="006234AA" w:rsidRDefault="00DB0200" w:rsidP="003C0546">
            <w:pPr>
              <w:pStyle w:val="Default"/>
              <w:spacing w:before="120" w:after="120"/>
              <w:rPr>
                <w:color w:val="auto"/>
              </w:rPr>
            </w:pPr>
            <w:r w:rsidRPr="006234AA">
              <w:rPr>
                <w:color w:val="auto"/>
              </w:rPr>
              <w:t>+ Giá theo phương pháp nội bộ của tổ chức kinh doanh chứng khoán.</w:t>
            </w:r>
          </w:p>
          <w:p w:rsidR="00DB0200" w:rsidRPr="006234AA" w:rsidRDefault="00DB0200" w:rsidP="003C0546">
            <w:pPr>
              <w:pStyle w:val="Default"/>
              <w:spacing w:before="120" w:after="120"/>
              <w:rPr>
                <w:color w:val="auto"/>
              </w:rPr>
            </w:pPr>
            <w:r w:rsidRPr="006234AA">
              <w:rPr>
                <w:color w:val="auto"/>
              </w:rPr>
              <w:t>Tức là:</w:t>
            </w:r>
          </w:p>
          <w:p w:rsidR="00DB0200" w:rsidRPr="006234AA" w:rsidRDefault="00DB0200" w:rsidP="003C0546">
            <w:pPr>
              <w:pStyle w:val="Default"/>
              <w:spacing w:before="120" w:after="120"/>
              <w:rPr>
                <w:color w:val="auto"/>
              </w:rPr>
            </w:pPr>
            <w:r w:rsidRPr="006234AA">
              <w:rPr>
                <w:color w:val="auto"/>
              </w:rPr>
              <w:t>Max (Giá trị sổ sách; Giá mua; Giá xác định theo phương pháp nội bộ)</w:t>
            </w:r>
          </w:p>
        </w:tc>
      </w:tr>
      <w:tr w:rsidR="00DB0200" w:rsidRPr="006234AA" w:rsidTr="00D60CD2">
        <w:trPr>
          <w:trHeight w:val="383"/>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10.</w:t>
            </w:r>
          </w:p>
        </w:tc>
        <w:tc>
          <w:tcPr>
            <w:tcW w:w="3828" w:type="dxa"/>
            <w:vAlign w:val="center"/>
          </w:tcPr>
          <w:p w:rsidR="00DB0200" w:rsidRPr="006234AA" w:rsidRDefault="00DB0200" w:rsidP="003C0546">
            <w:pPr>
              <w:pStyle w:val="Default"/>
              <w:spacing w:before="120" w:after="120"/>
              <w:rPr>
                <w:color w:val="auto"/>
              </w:rPr>
            </w:pPr>
            <w:r w:rsidRPr="006234AA">
              <w:rPr>
                <w:color w:val="auto"/>
              </w:rPr>
              <w:t>Cổ phiếu đã đăng ký, lưu ký nhưng chưa niêm yết, chưa đăng ký giao dịch</w:t>
            </w:r>
          </w:p>
        </w:tc>
        <w:tc>
          <w:tcPr>
            <w:tcW w:w="5528" w:type="dxa"/>
            <w:vAlign w:val="center"/>
          </w:tcPr>
          <w:p w:rsidR="00DB0200" w:rsidRPr="006234AA" w:rsidRDefault="00DB0200" w:rsidP="003C0546">
            <w:pPr>
              <w:pStyle w:val="Default"/>
              <w:spacing w:before="120" w:after="120"/>
              <w:rPr>
                <w:color w:val="auto"/>
              </w:rPr>
            </w:pPr>
            <w:r w:rsidRPr="006234AA">
              <w:rPr>
                <w:color w:val="auto"/>
              </w:rPr>
              <w:t xml:space="preserve">- Giá trị trung bình dựa trên báo giá của tối thiểu 03 công ty chứng khoán không phải là người có liên quan tại ngày giao dịch gần nhất trước thời điểm tính toán. </w:t>
            </w:r>
          </w:p>
          <w:p w:rsidR="00DB0200" w:rsidRPr="006234AA" w:rsidRDefault="00DB0200" w:rsidP="003C0546">
            <w:pPr>
              <w:pStyle w:val="Default"/>
              <w:spacing w:before="120" w:after="120"/>
              <w:rPr>
                <w:color w:val="auto"/>
              </w:rPr>
            </w:pPr>
            <w:r w:rsidRPr="006234AA">
              <w:rPr>
                <w:color w:val="auto"/>
              </w:rPr>
              <w:t>- Trường hợp không có đủ báo giá của tối thiểu 03 công ty chứng khoán, là giá trị lớn nhất trong các giá trị sau:</w:t>
            </w:r>
          </w:p>
          <w:p w:rsidR="00DB0200" w:rsidRPr="006234AA" w:rsidRDefault="00DB0200" w:rsidP="003C0546">
            <w:pPr>
              <w:pStyle w:val="Default"/>
              <w:spacing w:before="120" w:after="120"/>
              <w:rPr>
                <w:color w:val="auto"/>
              </w:rPr>
            </w:pPr>
            <w:r w:rsidRPr="006234AA">
              <w:rPr>
                <w:color w:val="auto"/>
              </w:rPr>
              <w:t>+  Giá từ các báo giá;</w:t>
            </w:r>
          </w:p>
          <w:p w:rsidR="00DB0200" w:rsidRPr="006234AA" w:rsidRDefault="00DB0200" w:rsidP="003C0546">
            <w:pPr>
              <w:pStyle w:val="Default"/>
              <w:spacing w:before="120" w:after="120"/>
              <w:rPr>
                <w:color w:val="auto"/>
              </w:rPr>
            </w:pPr>
            <w:r w:rsidRPr="006234AA">
              <w:rPr>
                <w:color w:val="auto"/>
              </w:rPr>
              <w:t>+ Giá của kỳ báo cáo gần nhất;</w:t>
            </w:r>
          </w:p>
          <w:p w:rsidR="00DB0200" w:rsidRPr="006234AA" w:rsidRDefault="00DB0200" w:rsidP="003C0546">
            <w:pPr>
              <w:pStyle w:val="Default"/>
              <w:spacing w:before="120" w:after="120"/>
              <w:rPr>
                <w:color w:val="auto"/>
              </w:rPr>
            </w:pPr>
            <w:r w:rsidRPr="006234AA">
              <w:rPr>
                <w:color w:val="auto"/>
              </w:rPr>
              <w:t>+ Giá trị sổ sách;</w:t>
            </w:r>
          </w:p>
          <w:p w:rsidR="00DB0200" w:rsidRPr="006234AA" w:rsidRDefault="00DB0200" w:rsidP="003C0546">
            <w:pPr>
              <w:pStyle w:val="Default"/>
              <w:spacing w:before="120" w:after="120"/>
              <w:rPr>
                <w:color w:val="auto"/>
              </w:rPr>
            </w:pPr>
            <w:r w:rsidRPr="006234AA">
              <w:rPr>
                <w:color w:val="auto"/>
              </w:rPr>
              <w:t>+ Giá mua;</w:t>
            </w:r>
          </w:p>
          <w:p w:rsidR="00DB0200" w:rsidRPr="006234AA" w:rsidRDefault="00DB0200" w:rsidP="003C0546">
            <w:pPr>
              <w:pStyle w:val="Default"/>
              <w:spacing w:before="120" w:after="120"/>
              <w:rPr>
                <w:color w:val="auto"/>
              </w:rPr>
            </w:pPr>
            <w:r w:rsidRPr="006234AA">
              <w:rPr>
                <w:color w:val="auto"/>
              </w:rPr>
              <w:t>+ Giá theo quy định nội bộ của tổ chức kinh doanh chứng khoán.</w:t>
            </w:r>
          </w:p>
          <w:p w:rsidR="00DB0200" w:rsidRPr="006234AA" w:rsidRDefault="00DB0200" w:rsidP="003C0546">
            <w:pPr>
              <w:pStyle w:val="Default"/>
              <w:spacing w:before="120" w:after="120"/>
              <w:rPr>
                <w:color w:val="auto"/>
              </w:rPr>
            </w:pPr>
            <w:r w:rsidRPr="006234AA">
              <w:rPr>
                <w:color w:val="auto"/>
              </w:rPr>
              <w:t>Tức là:</w:t>
            </w:r>
          </w:p>
          <w:p w:rsidR="00DB0200" w:rsidRPr="006234AA" w:rsidRDefault="00DB0200" w:rsidP="003C0546">
            <w:pPr>
              <w:pStyle w:val="Default"/>
              <w:spacing w:before="120" w:after="120"/>
              <w:rPr>
                <w:color w:val="auto"/>
              </w:rPr>
            </w:pPr>
            <w:r w:rsidRPr="006234AA">
              <w:rPr>
                <w:color w:val="auto"/>
              </w:rPr>
              <w:t>Max(Giá từ các báo giá; Giá của kỳ báo cáo gần nhất; Giá trị sổ sách; Giá mua; Giá theo quy định nội bộ của tổ chức kinh doanh chứng khoán).</w:t>
            </w:r>
          </w:p>
        </w:tc>
      </w:tr>
      <w:tr w:rsidR="00DB0200" w:rsidRPr="006234AA" w:rsidTr="00D60CD2">
        <w:trPr>
          <w:trHeight w:val="383"/>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11.</w:t>
            </w:r>
          </w:p>
        </w:tc>
        <w:tc>
          <w:tcPr>
            <w:tcW w:w="3828" w:type="dxa"/>
            <w:vAlign w:val="center"/>
          </w:tcPr>
          <w:p w:rsidR="00DB0200" w:rsidRPr="006234AA" w:rsidRDefault="00DB0200" w:rsidP="003C0546">
            <w:pPr>
              <w:pStyle w:val="Default"/>
              <w:spacing w:before="120" w:after="120"/>
              <w:rPr>
                <w:color w:val="auto"/>
              </w:rPr>
            </w:pPr>
            <w:r w:rsidRPr="006234AA">
              <w:rPr>
                <w:color w:val="auto"/>
              </w:rPr>
              <w:t>Cổ phiếu bị đình chỉ giao dịch, hoặc hủy niêm yết hoặc hủy đăng ký giao dịch</w:t>
            </w:r>
          </w:p>
        </w:tc>
        <w:tc>
          <w:tcPr>
            <w:tcW w:w="5528" w:type="dxa"/>
            <w:vAlign w:val="center"/>
          </w:tcPr>
          <w:p w:rsidR="00DB0200" w:rsidRPr="006234AA" w:rsidRDefault="00DB0200" w:rsidP="003C0546">
            <w:pPr>
              <w:pStyle w:val="Default"/>
              <w:spacing w:before="120" w:after="120"/>
              <w:rPr>
                <w:color w:val="auto"/>
              </w:rPr>
            </w:pPr>
            <w:r w:rsidRPr="006234AA">
              <w:rPr>
                <w:color w:val="auto"/>
              </w:rPr>
              <w:t>Là giá trị lớn nhất trong các giá trị sau:</w:t>
            </w:r>
          </w:p>
          <w:p w:rsidR="00DB0200" w:rsidRPr="006234AA" w:rsidRDefault="00DB0200" w:rsidP="003C0546">
            <w:pPr>
              <w:pStyle w:val="Default"/>
              <w:spacing w:before="120" w:after="120"/>
              <w:rPr>
                <w:color w:val="auto"/>
              </w:rPr>
            </w:pPr>
            <w:r w:rsidRPr="006234AA">
              <w:rPr>
                <w:color w:val="auto"/>
              </w:rPr>
              <w:t>+ Giá trị sổ sách;</w:t>
            </w:r>
          </w:p>
          <w:p w:rsidR="00DB0200" w:rsidRPr="006234AA" w:rsidRDefault="00DB0200" w:rsidP="003C0546">
            <w:pPr>
              <w:pStyle w:val="Default"/>
              <w:spacing w:before="120" w:after="120"/>
              <w:rPr>
                <w:color w:val="auto"/>
              </w:rPr>
            </w:pPr>
            <w:r w:rsidRPr="006234AA">
              <w:rPr>
                <w:color w:val="auto"/>
              </w:rPr>
              <w:t>+ Mệnh giá;</w:t>
            </w:r>
          </w:p>
          <w:p w:rsidR="00DB0200" w:rsidRPr="006234AA" w:rsidRDefault="00DB0200" w:rsidP="003C0546">
            <w:pPr>
              <w:pStyle w:val="Default"/>
              <w:spacing w:before="120" w:after="120"/>
              <w:rPr>
                <w:color w:val="auto"/>
              </w:rPr>
            </w:pPr>
            <w:r w:rsidRPr="006234AA">
              <w:rPr>
                <w:color w:val="auto"/>
              </w:rPr>
              <w:t>+ Giá theo phương pháp nội bộ của tổ chức kinh doanh chứng khoán.</w:t>
            </w:r>
          </w:p>
          <w:p w:rsidR="00DB0200" w:rsidRPr="006234AA" w:rsidRDefault="00DB0200" w:rsidP="003C0546">
            <w:pPr>
              <w:pStyle w:val="Default"/>
              <w:spacing w:before="120" w:after="120"/>
              <w:rPr>
                <w:color w:val="auto"/>
              </w:rPr>
            </w:pPr>
            <w:r w:rsidRPr="006234AA">
              <w:rPr>
                <w:color w:val="auto"/>
              </w:rPr>
              <w:lastRenderedPageBreak/>
              <w:t>Tức là:</w:t>
            </w:r>
          </w:p>
          <w:p w:rsidR="00DB0200" w:rsidRPr="006234AA" w:rsidRDefault="00DB0200" w:rsidP="003C0546">
            <w:pPr>
              <w:pStyle w:val="Default"/>
              <w:spacing w:before="120" w:after="120"/>
              <w:rPr>
                <w:color w:val="auto"/>
              </w:rPr>
            </w:pPr>
            <w:r w:rsidRPr="006234AA">
              <w:rPr>
                <w:color w:val="auto"/>
              </w:rPr>
              <w:t>Max (Giá trị sổ sách; Mệnh giá; Giá xác định theo phương pháp nội bộ)</w:t>
            </w:r>
          </w:p>
        </w:tc>
      </w:tr>
      <w:tr w:rsidR="00DB0200" w:rsidRPr="006234AA" w:rsidTr="00D60CD2">
        <w:trPr>
          <w:trHeight w:val="383"/>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lastRenderedPageBreak/>
              <w:t>12.</w:t>
            </w:r>
          </w:p>
        </w:tc>
        <w:tc>
          <w:tcPr>
            <w:tcW w:w="3828" w:type="dxa"/>
            <w:vAlign w:val="center"/>
          </w:tcPr>
          <w:p w:rsidR="00DB0200" w:rsidRPr="006234AA" w:rsidRDefault="00DB0200" w:rsidP="003C0546">
            <w:pPr>
              <w:pStyle w:val="Default"/>
              <w:spacing w:before="120" w:after="120"/>
              <w:rPr>
                <w:color w:val="auto"/>
              </w:rPr>
            </w:pPr>
            <w:r w:rsidRPr="006234AA">
              <w:rPr>
                <w:color w:val="auto"/>
              </w:rPr>
              <w:t>Cổ phiếu của tổ chức trong tình trạng giải thể, phá sản</w:t>
            </w:r>
          </w:p>
        </w:tc>
        <w:tc>
          <w:tcPr>
            <w:tcW w:w="5528" w:type="dxa"/>
            <w:vAlign w:val="center"/>
          </w:tcPr>
          <w:p w:rsidR="00DB0200" w:rsidRPr="006234AA" w:rsidRDefault="00DB0200" w:rsidP="003C0546">
            <w:pPr>
              <w:pStyle w:val="Default"/>
              <w:spacing w:before="120" w:after="120"/>
              <w:rPr>
                <w:color w:val="auto"/>
              </w:rPr>
            </w:pPr>
            <w:r w:rsidRPr="006234AA">
              <w:rPr>
                <w:color w:val="auto"/>
              </w:rPr>
              <w:t>80% Giá trị thanh lý của cổ phiếu đó tại ngày lập bảng cân đối kế toán gần nhất, hoặc giá theo quy định nội bộ của tổ chức kinh doanh chứng khoán.</w:t>
            </w:r>
          </w:p>
        </w:tc>
      </w:tr>
      <w:tr w:rsidR="00DB0200" w:rsidRPr="006234AA" w:rsidTr="00D60CD2">
        <w:trPr>
          <w:trHeight w:val="383"/>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13.</w:t>
            </w:r>
          </w:p>
        </w:tc>
        <w:tc>
          <w:tcPr>
            <w:tcW w:w="3828" w:type="dxa"/>
            <w:vAlign w:val="center"/>
          </w:tcPr>
          <w:p w:rsidR="00DB0200" w:rsidRPr="006234AA" w:rsidRDefault="00DB0200" w:rsidP="003C0546">
            <w:pPr>
              <w:pStyle w:val="Default"/>
              <w:spacing w:before="120" w:after="120"/>
              <w:rPr>
                <w:color w:val="auto"/>
              </w:rPr>
            </w:pPr>
            <w:r w:rsidRPr="006234AA">
              <w:rPr>
                <w:color w:val="auto"/>
              </w:rPr>
              <w:t>Cổ phần, phần vốn góp khác</w:t>
            </w:r>
          </w:p>
        </w:tc>
        <w:tc>
          <w:tcPr>
            <w:tcW w:w="5528" w:type="dxa"/>
            <w:vAlign w:val="center"/>
          </w:tcPr>
          <w:p w:rsidR="00DB0200" w:rsidRPr="006234AA" w:rsidRDefault="00DB0200" w:rsidP="003C0546">
            <w:pPr>
              <w:pStyle w:val="Default"/>
              <w:spacing w:before="120" w:after="120"/>
              <w:rPr>
                <w:color w:val="auto"/>
              </w:rPr>
            </w:pPr>
            <w:r w:rsidRPr="006234AA">
              <w:rPr>
                <w:color w:val="auto"/>
              </w:rPr>
              <w:t>Là giá trị lớn nhất trong các giá trị sau:</w:t>
            </w:r>
          </w:p>
          <w:p w:rsidR="00DB0200" w:rsidRPr="006234AA" w:rsidRDefault="00DB0200" w:rsidP="003C0546">
            <w:pPr>
              <w:pStyle w:val="Default"/>
              <w:spacing w:before="120" w:after="120"/>
              <w:rPr>
                <w:color w:val="auto"/>
              </w:rPr>
            </w:pPr>
            <w:r w:rsidRPr="006234AA">
              <w:rPr>
                <w:color w:val="auto"/>
              </w:rPr>
              <w:t>+ Giá trị sổ sách;</w:t>
            </w:r>
          </w:p>
          <w:p w:rsidR="00DB0200" w:rsidRPr="006234AA" w:rsidRDefault="00DB0200" w:rsidP="003C0546">
            <w:pPr>
              <w:pStyle w:val="Default"/>
              <w:spacing w:before="120" w:after="120"/>
              <w:rPr>
                <w:color w:val="auto"/>
              </w:rPr>
            </w:pPr>
            <w:r w:rsidRPr="006234AA">
              <w:rPr>
                <w:color w:val="auto"/>
              </w:rPr>
              <w:t>+ Giá mua/giá trị vốn góp;</w:t>
            </w:r>
          </w:p>
          <w:p w:rsidR="00DB0200" w:rsidRPr="006234AA" w:rsidRDefault="00DB0200" w:rsidP="003C0546">
            <w:pPr>
              <w:pStyle w:val="Default"/>
              <w:spacing w:before="120" w:after="120"/>
              <w:rPr>
                <w:color w:val="auto"/>
              </w:rPr>
            </w:pPr>
            <w:r w:rsidRPr="006234AA">
              <w:rPr>
                <w:color w:val="auto"/>
              </w:rPr>
              <w:t>+ Giá theo quy định nội bộ của tổ chức kinh doanh chứng khoán.</w:t>
            </w:r>
          </w:p>
          <w:p w:rsidR="00DB0200" w:rsidRPr="006234AA" w:rsidRDefault="00DB0200" w:rsidP="003C0546">
            <w:pPr>
              <w:pStyle w:val="Default"/>
              <w:spacing w:before="120" w:after="120"/>
              <w:rPr>
                <w:color w:val="auto"/>
              </w:rPr>
            </w:pPr>
            <w:r w:rsidRPr="006234AA">
              <w:rPr>
                <w:color w:val="auto"/>
              </w:rPr>
              <w:t>Tức là:</w:t>
            </w:r>
          </w:p>
          <w:p w:rsidR="00DB0200" w:rsidRPr="006234AA" w:rsidRDefault="00DB0200" w:rsidP="003C0546">
            <w:pPr>
              <w:pStyle w:val="Default"/>
              <w:spacing w:before="120" w:after="120"/>
              <w:rPr>
                <w:color w:val="auto"/>
              </w:rPr>
            </w:pPr>
            <w:r w:rsidRPr="006234AA">
              <w:rPr>
                <w:color w:val="auto"/>
              </w:rPr>
              <w:t>Max(Giá trị sổ sách; Giá mua/giá trị vốn góp; Giá theo quy định nội bộ của tổ chức kinh doanh chứng khoán).</w:t>
            </w:r>
          </w:p>
        </w:tc>
      </w:tr>
      <w:tr w:rsidR="00DB0200" w:rsidRPr="006234AA" w:rsidTr="00D60CD2">
        <w:trPr>
          <w:trHeight w:val="268"/>
        </w:trPr>
        <w:tc>
          <w:tcPr>
            <w:tcW w:w="10207" w:type="dxa"/>
            <w:gridSpan w:val="3"/>
            <w:shd w:val="clear" w:color="auto" w:fill="D9D9D9"/>
            <w:vAlign w:val="center"/>
          </w:tcPr>
          <w:p w:rsidR="00DB0200" w:rsidRPr="006234AA" w:rsidRDefault="00DB0200" w:rsidP="003C0546">
            <w:pPr>
              <w:pStyle w:val="Default"/>
              <w:spacing w:before="120" w:after="120"/>
              <w:rPr>
                <w:color w:val="auto"/>
              </w:rPr>
            </w:pPr>
            <w:r w:rsidRPr="006234AA">
              <w:rPr>
                <w:b/>
                <w:bCs/>
                <w:color w:val="auto"/>
              </w:rPr>
              <w:t>Quỹ/Cổ phiếu của Công ty đầu tư chứng khoán</w:t>
            </w:r>
          </w:p>
        </w:tc>
      </w:tr>
      <w:tr w:rsidR="00DB0200" w:rsidRPr="006234AA" w:rsidTr="00D60CD2">
        <w:trPr>
          <w:trHeight w:val="271"/>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14.</w:t>
            </w:r>
          </w:p>
        </w:tc>
        <w:tc>
          <w:tcPr>
            <w:tcW w:w="3828" w:type="dxa"/>
            <w:vAlign w:val="center"/>
          </w:tcPr>
          <w:p w:rsidR="00DB0200" w:rsidRPr="006234AA" w:rsidRDefault="00DB0200" w:rsidP="003C0546">
            <w:pPr>
              <w:pStyle w:val="Default"/>
              <w:spacing w:before="120" w:after="120"/>
              <w:rPr>
                <w:color w:val="auto"/>
              </w:rPr>
            </w:pPr>
            <w:r w:rsidRPr="006234AA">
              <w:rPr>
                <w:color w:val="auto"/>
              </w:rPr>
              <w:t>Quỹ đóng đại chúng</w:t>
            </w:r>
          </w:p>
        </w:tc>
        <w:tc>
          <w:tcPr>
            <w:tcW w:w="5528" w:type="dxa"/>
            <w:vAlign w:val="center"/>
          </w:tcPr>
          <w:p w:rsidR="00DB0200" w:rsidRPr="006234AA" w:rsidRDefault="00DB0200" w:rsidP="003C0546">
            <w:pPr>
              <w:pStyle w:val="Default"/>
              <w:spacing w:before="120" w:after="120"/>
              <w:rPr>
                <w:color w:val="auto"/>
              </w:rPr>
            </w:pPr>
            <w:r w:rsidRPr="006234AA">
              <w:rPr>
                <w:color w:val="auto"/>
              </w:rPr>
              <w:t>- Giá đóng cửa của ngày giao dịch gần nhất ngày tính toán;</w:t>
            </w:r>
          </w:p>
          <w:p w:rsidR="00DB0200" w:rsidRPr="006234AA" w:rsidRDefault="00DB0200" w:rsidP="003C0546">
            <w:pPr>
              <w:pStyle w:val="Default"/>
              <w:spacing w:before="120" w:after="120"/>
              <w:rPr>
                <w:color w:val="auto"/>
              </w:rPr>
            </w:pPr>
            <w:r w:rsidRPr="006234AA">
              <w:rPr>
                <w:color w:val="auto"/>
              </w:rPr>
              <w:t xml:space="preserve">- Trường hợp không có giao dịch nhiều hơn hai (02) tuần tính đến ngày tính toán là: NAV/1CCQ tại kỳ báo cáo gần nhất trước ngày tính toán. </w:t>
            </w:r>
          </w:p>
        </w:tc>
      </w:tr>
      <w:tr w:rsidR="00DB0200" w:rsidRPr="006234AA" w:rsidTr="00D60CD2">
        <w:trPr>
          <w:trHeight w:val="271"/>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15.</w:t>
            </w:r>
          </w:p>
        </w:tc>
        <w:tc>
          <w:tcPr>
            <w:tcW w:w="3828" w:type="dxa"/>
            <w:vAlign w:val="center"/>
          </w:tcPr>
          <w:p w:rsidR="00DB0200" w:rsidRPr="006234AA" w:rsidRDefault="00DB0200" w:rsidP="003C0546">
            <w:pPr>
              <w:pStyle w:val="Default"/>
              <w:spacing w:before="120" w:after="120"/>
              <w:rPr>
                <w:color w:val="auto"/>
              </w:rPr>
            </w:pPr>
            <w:r w:rsidRPr="006234AA">
              <w:rPr>
                <w:color w:val="auto"/>
              </w:rPr>
              <w:t>Quỹ thành viên/Quỹ mở/Cổ phiếu của Công ty đầu tư chứng khoán phát hành riêng lẻ</w:t>
            </w:r>
          </w:p>
        </w:tc>
        <w:tc>
          <w:tcPr>
            <w:tcW w:w="5528" w:type="dxa"/>
            <w:vAlign w:val="center"/>
          </w:tcPr>
          <w:p w:rsidR="00DB0200" w:rsidRPr="006234AA" w:rsidRDefault="00DB0200" w:rsidP="003C0546">
            <w:pPr>
              <w:pStyle w:val="Default"/>
              <w:spacing w:before="120" w:after="120"/>
              <w:rPr>
                <w:color w:val="auto"/>
              </w:rPr>
            </w:pPr>
            <w:r w:rsidRPr="006234AA">
              <w:rPr>
                <w:color w:val="auto"/>
              </w:rPr>
              <w:t>Giá trị tài sản ròng NAV trên một đơn vị phần vốn góp/đơn vị chứng chỉ quỹ/cổ phiếu tại kỳ báo cáo gần nhất trước ngày tính toán</w:t>
            </w:r>
          </w:p>
        </w:tc>
      </w:tr>
      <w:tr w:rsidR="00DB0200" w:rsidRPr="006234AA" w:rsidTr="00D60CD2">
        <w:trPr>
          <w:trHeight w:val="270"/>
        </w:trPr>
        <w:tc>
          <w:tcPr>
            <w:tcW w:w="10207" w:type="dxa"/>
            <w:gridSpan w:val="3"/>
            <w:shd w:val="clear" w:color="auto" w:fill="BFBFBF" w:themeFill="background1" w:themeFillShade="BF"/>
            <w:vAlign w:val="center"/>
          </w:tcPr>
          <w:p w:rsidR="00DB0200" w:rsidRPr="006234AA" w:rsidRDefault="00DB0200" w:rsidP="003C0546">
            <w:pPr>
              <w:pStyle w:val="Default"/>
              <w:spacing w:before="120" w:after="120"/>
              <w:rPr>
                <w:color w:val="auto"/>
              </w:rPr>
            </w:pPr>
            <w:r w:rsidRPr="006234AA">
              <w:rPr>
                <w:b/>
                <w:color w:val="auto"/>
              </w:rPr>
              <w:t>Chứng khoán khác</w:t>
            </w:r>
          </w:p>
        </w:tc>
      </w:tr>
      <w:tr w:rsidR="00DB0200" w:rsidRPr="006234AA" w:rsidTr="00D60CD2">
        <w:trPr>
          <w:trHeight w:val="271"/>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16.</w:t>
            </w:r>
          </w:p>
        </w:tc>
        <w:tc>
          <w:tcPr>
            <w:tcW w:w="3828" w:type="dxa"/>
            <w:vAlign w:val="center"/>
          </w:tcPr>
          <w:p w:rsidR="00DB0200" w:rsidRPr="006234AA" w:rsidRDefault="00DB0200" w:rsidP="003C0546">
            <w:pPr>
              <w:pStyle w:val="Default"/>
              <w:spacing w:before="120" w:after="120"/>
              <w:rPr>
                <w:color w:val="auto"/>
              </w:rPr>
            </w:pPr>
            <w:r w:rsidRPr="006234AA">
              <w:rPr>
                <w:color w:val="auto"/>
              </w:rPr>
              <w:t>Hợp đồng tương lai</w:t>
            </w:r>
          </w:p>
        </w:tc>
        <w:tc>
          <w:tcPr>
            <w:tcW w:w="5528" w:type="dxa"/>
            <w:vAlign w:val="center"/>
          </w:tcPr>
          <w:p w:rsidR="00DB0200" w:rsidRPr="006234AA" w:rsidRDefault="00DB0200" w:rsidP="003C0546">
            <w:pPr>
              <w:pStyle w:val="Default"/>
              <w:spacing w:before="120" w:after="120"/>
              <w:rPr>
                <w:color w:val="auto"/>
              </w:rPr>
            </w:pPr>
            <w:r w:rsidRPr="006234AA">
              <w:rPr>
                <w:color w:val="auto"/>
              </w:rPr>
              <w:t>Giá thanh toán cuối ngày; hoặc giá thị trường trong trường hợp xác định rủi ro và mức ký quỹ trong phiên giao dịch</w:t>
            </w:r>
          </w:p>
        </w:tc>
      </w:tr>
      <w:tr w:rsidR="00DB0200" w:rsidRPr="006234AA" w:rsidTr="00D60CD2">
        <w:trPr>
          <w:trHeight w:val="263"/>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17.</w:t>
            </w:r>
          </w:p>
        </w:tc>
        <w:tc>
          <w:tcPr>
            <w:tcW w:w="3828" w:type="dxa"/>
            <w:vAlign w:val="center"/>
          </w:tcPr>
          <w:p w:rsidR="00DB0200" w:rsidRPr="006234AA" w:rsidRDefault="00DB0200" w:rsidP="003C0546">
            <w:pPr>
              <w:pStyle w:val="Default"/>
              <w:spacing w:before="120" w:after="120"/>
              <w:rPr>
                <w:color w:val="auto"/>
              </w:rPr>
            </w:pPr>
            <w:r w:rsidRPr="006234AA">
              <w:rPr>
                <w:color w:val="auto"/>
              </w:rPr>
              <w:t>Các trường hợp khác</w:t>
            </w:r>
          </w:p>
        </w:tc>
        <w:tc>
          <w:tcPr>
            <w:tcW w:w="5528" w:type="dxa"/>
            <w:vAlign w:val="center"/>
          </w:tcPr>
          <w:p w:rsidR="00DB0200" w:rsidRPr="006234AA" w:rsidRDefault="00DB0200" w:rsidP="003C0546">
            <w:pPr>
              <w:pStyle w:val="Default"/>
              <w:spacing w:before="120" w:after="120"/>
              <w:rPr>
                <w:color w:val="auto"/>
              </w:rPr>
            </w:pPr>
            <w:r w:rsidRPr="006234AA">
              <w:rPr>
                <w:color w:val="auto"/>
              </w:rPr>
              <w:t>Theo quy định nội bộ của tổ chức kinh doanh chứng khoán</w:t>
            </w:r>
          </w:p>
        </w:tc>
      </w:tr>
      <w:tr w:rsidR="00DB0200" w:rsidRPr="006234AA" w:rsidTr="00D60CD2">
        <w:trPr>
          <w:trHeight w:val="270"/>
        </w:trPr>
        <w:tc>
          <w:tcPr>
            <w:tcW w:w="10207" w:type="dxa"/>
            <w:gridSpan w:val="3"/>
            <w:shd w:val="clear" w:color="auto" w:fill="BFBFBF" w:themeFill="background1" w:themeFillShade="BF"/>
            <w:vAlign w:val="center"/>
          </w:tcPr>
          <w:p w:rsidR="00DB0200" w:rsidRPr="006234AA" w:rsidRDefault="00DB0200" w:rsidP="003C0546">
            <w:pPr>
              <w:pStyle w:val="Default"/>
              <w:spacing w:before="120" w:after="120"/>
              <w:rPr>
                <w:color w:val="auto"/>
              </w:rPr>
            </w:pPr>
            <w:r w:rsidRPr="006234AA">
              <w:rPr>
                <w:b/>
                <w:color w:val="auto"/>
              </w:rPr>
              <w:t>Tài sản cố định</w:t>
            </w:r>
          </w:p>
        </w:tc>
      </w:tr>
      <w:tr w:rsidR="00DB0200" w:rsidRPr="006234AA" w:rsidTr="00D60CD2">
        <w:trPr>
          <w:trHeight w:val="270"/>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17.</w:t>
            </w:r>
          </w:p>
        </w:tc>
        <w:tc>
          <w:tcPr>
            <w:tcW w:w="3828" w:type="dxa"/>
            <w:vAlign w:val="center"/>
          </w:tcPr>
          <w:p w:rsidR="00DB0200" w:rsidRPr="006234AA" w:rsidRDefault="00DB0200" w:rsidP="003C0546">
            <w:pPr>
              <w:pStyle w:val="Default"/>
              <w:spacing w:before="120" w:after="120"/>
              <w:rPr>
                <w:color w:val="auto"/>
              </w:rPr>
            </w:pPr>
            <w:r w:rsidRPr="006234AA">
              <w:rPr>
                <w:color w:val="auto"/>
              </w:rPr>
              <w:t>Quyền sử dụng đất…</w:t>
            </w:r>
          </w:p>
        </w:tc>
        <w:tc>
          <w:tcPr>
            <w:tcW w:w="5528" w:type="dxa"/>
          </w:tcPr>
          <w:p w:rsidR="00DB0200" w:rsidRPr="006234AA" w:rsidRDefault="00DB0200" w:rsidP="003C0546">
            <w:pPr>
              <w:pStyle w:val="Default"/>
              <w:spacing w:before="120" w:after="120"/>
              <w:rPr>
                <w:color w:val="auto"/>
              </w:rPr>
            </w:pPr>
            <w:r w:rsidRPr="006234AA">
              <w:rPr>
                <w:color w:val="auto"/>
              </w:rPr>
              <w:t>Giá trị được xác định bởi tổ chức định giá độc lập do tổ chức kinh doanh chứng khoán lựa chọn</w:t>
            </w:r>
          </w:p>
        </w:tc>
      </w:tr>
      <w:tr w:rsidR="00DB0200" w:rsidRPr="006234AA" w:rsidTr="00D60CD2">
        <w:trPr>
          <w:trHeight w:val="270"/>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18.</w:t>
            </w:r>
          </w:p>
        </w:tc>
        <w:tc>
          <w:tcPr>
            <w:tcW w:w="3828" w:type="dxa"/>
            <w:vAlign w:val="center"/>
          </w:tcPr>
          <w:p w:rsidR="00DB0200" w:rsidRPr="006234AA" w:rsidRDefault="00DB0200" w:rsidP="003C0546">
            <w:pPr>
              <w:pStyle w:val="Default"/>
              <w:spacing w:before="120" w:after="120"/>
              <w:rPr>
                <w:color w:val="auto"/>
              </w:rPr>
            </w:pPr>
            <w:r w:rsidRPr="006234AA">
              <w:rPr>
                <w:color w:val="auto"/>
              </w:rPr>
              <w:t>Nhà cửa/ vật kiến trúc bao gồm cả các hạng mục xây dựng cơ bản dở dang</w:t>
            </w:r>
          </w:p>
        </w:tc>
        <w:tc>
          <w:tcPr>
            <w:tcW w:w="5528" w:type="dxa"/>
            <w:vAlign w:val="center"/>
          </w:tcPr>
          <w:p w:rsidR="00DB0200" w:rsidRPr="006234AA" w:rsidRDefault="00DB0200" w:rsidP="003C0546">
            <w:pPr>
              <w:pStyle w:val="Default"/>
              <w:spacing w:before="120" w:after="120"/>
              <w:rPr>
                <w:color w:val="auto"/>
              </w:rPr>
            </w:pPr>
            <w:r w:rsidRPr="006234AA">
              <w:rPr>
                <w:color w:val="auto"/>
              </w:rPr>
              <w:t xml:space="preserve">Giá trị được xác định bởi tổ chức định giá độc lập do tổ chức kinh doanh chứng khoán lựa chọn/Chi phí xây dựng cơ bản dở dang lũy kế </w:t>
            </w:r>
          </w:p>
        </w:tc>
      </w:tr>
      <w:tr w:rsidR="00DB0200" w:rsidRPr="006234AA" w:rsidTr="00D60CD2">
        <w:trPr>
          <w:trHeight w:val="270"/>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t>19.</w:t>
            </w:r>
          </w:p>
        </w:tc>
        <w:tc>
          <w:tcPr>
            <w:tcW w:w="3828" w:type="dxa"/>
            <w:vAlign w:val="center"/>
          </w:tcPr>
          <w:p w:rsidR="00DB0200" w:rsidRPr="006234AA" w:rsidRDefault="00DB0200" w:rsidP="003C0546">
            <w:pPr>
              <w:pStyle w:val="Default"/>
              <w:spacing w:before="120" w:after="120"/>
              <w:rPr>
                <w:color w:val="auto"/>
              </w:rPr>
            </w:pPr>
            <w:r w:rsidRPr="006234AA">
              <w:rPr>
                <w:color w:val="auto"/>
              </w:rPr>
              <w:t xml:space="preserve">Các trang thiết bị, máy móc, phương </w:t>
            </w:r>
            <w:r w:rsidRPr="006234AA">
              <w:rPr>
                <w:color w:val="auto"/>
              </w:rPr>
              <w:lastRenderedPageBreak/>
              <w:t>tiện…</w:t>
            </w:r>
          </w:p>
        </w:tc>
        <w:tc>
          <w:tcPr>
            <w:tcW w:w="5528" w:type="dxa"/>
            <w:vAlign w:val="center"/>
          </w:tcPr>
          <w:p w:rsidR="00DB0200" w:rsidRPr="006234AA" w:rsidRDefault="00DB0200" w:rsidP="003C0546">
            <w:pPr>
              <w:pStyle w:val="Default"/>
              <w:spacing w:before="120" w:after="120"/>
              <w:rPr>
                <w:color w:val="auto"/>
              </w:rPr>
            </w:pPr>
            <w:r w:rsidRPr="006234AA">
              <w:rPr>
                <w:color w:val="auto"/>
              </w:rPr>
              <w:lastRenderedPageBreak/>
              <w:t>Giá trị còn lại của tài sản</w:t>
            </w:r>
          </w:p>
        </w:tc>
      </w:tr>
      <w:tr w:rsidR="00DB0200" w:rsidRPr="006234AA" w:rsidTr="00D60CD2">
        <w:trPr>
          <w:trHeight w:val="270"/>
        </w:trPr>
        <w:tc>
          <w:tcPr>
            <w:tcW w:w="851" w:type="dxa"/>
            <w:vAlign w:val="center"/>
          </w:tcPr>
          <w:p w:rsidR="00DB0200" w:rsidRPr="006234AA" w:rsidRDefault="00DB0200" w:rsidP="003C0546">
            <w:pPr>
              <w:pStyle w:val="Default"/>
              <w:spacing w:before="120" w:after="120"/>
              <w:jc w:val="center"/>
              <w:rPr>
                <w:color w:val="auto"/>
              </w:rPr>
            </w:pPr>
            <w:r w:rsidRPr="006234AA">
              <w:rPr>
                <w:color w:val="auto"/>
              </w:rPr>
              <w:lastRenderedPageBreak/>
              <w:t>20.</w:t>
            </w:r>
          </w:p>
        </w:tc>
        <w:tc>
          <w:tcPr>
            <w:tcW w:w="3828" w:type="dxa"/>
            <w:vAlign w:val="center"/>
          </w:tcPr>
          <w:p w:rsidR="00DB0200" w:rsidRPr="006234AA" w:rsidRDefault="00DB0200" w:rsidP="003C0546">
            <w:pPr>
              <w:pStyle w:val="Default"/>
              <w:spacing w:before="120" w:after="120"/>
              <w:rPr>
                <w:color w:val="auto"/>
              </w:rPr>
            </w:pPr>
            <w:r w:rsidRPr="006234AA">
              <w:rPr>
                <w:color w:val="auto"/>
              </w:rPr>
              <w:t>Các tài sản cố định khác</w:t>
            </w:r>
          </w:p>
        </w:tc>
        <w:tc>
          <w:tcPr>
            <w:tcW w:w="5528" w:type="dxa"/>
            <w:vAlign w:val="center"/>
          </w:tcPr>
          <w:p w:rsidR="00DB0200" w:rsidRPr="006234AA" w:rsidRDefault="00DB0200" w:rsidP="003C0546">
            <w:pPr>
              <w:pStyle w:val="Default"/>
              <w:spacing w:before="120" w:after="120"/>
              <w:rPr>
                <w:color w:val="auto"/>
              </w:rPr>
            </w:pPr>
            <w:r w:rsidRPr="006234AA">
              <w:rPr>
                <w:color w:val="auto"/>
              </w:rPr>
              <w:t>Giá trị được xác định bởi tổ chức định giá độc lập do tổ chức kinh doanh chứng khoán lựa chọn</w:t>
            </w:r>
          </w:p>
        </w:tc>
      </w:tr>
    </w:tbl>
    <w:p w:rsidR="00DB0200" w:rsidRPr="006234AA" w:rsidRDefault="00DB0200" w:rsidP="003C0546">
      <w:pPr>
        <w:tabs>
          <w:tab w:val="left" w:pos="1080"/>
        </w:tabs>
        <w:spacing w:after="120"/>
        <w:rPr>
          <w:b/>
          <w:sz w:val="24"/>
          <w:szCs w:val="24"/>
        </w:rPr>
      </w:pPr>
      <w:r w:rsidRPr="006234AA">
        <w:rPr>
          <w:b/>
          <w:sz w:val="24"/>
          <w:szCs w:val="24"/>
        </w:rPr>
        <w:t xml:space="preserve">Ghi chú: </w:t>
      </w:r>
    </w:p>
    <w:p w:rsidR="00DB0200" w:rsidRPr="006234AA" w:rsidRDefault="00DB0200" w:rsidP="003C0546">
      <w:pPr>
        <w:tabs>
          <w:tab w:val="left" w:pos="426"/>
        </w:tabs>
        <w:spacing w:after="120"/>
        <w:rPr>
          <w:sz w:val="24"/>
          <w:szCs w:val="24"/>
        </w:rPr>
      </w:pPr>
      <w:r w:rsidRPr="006234AA">
        <w:rPr>
          <w:b/>
          <w:sz w:val="24"/>
          <w:szCs w:val="24"/>
        </w:rPr>
        <w:tab/>
        <w:t xml:space="preserve">- </w:t>
      </w:r>
      <w:r w:rsidRPr="006234AA">
        <w:rPr>
          <w:sz w:val="24"/>
          <w:szCs w:val="24"/>
        </w:rPr>
        <w:t>Lãi lũy kế là: khoản lãi tính từ thời điểm trả lãi gần nhất tới thời điểm tính toán;</w:t>
      </w:r>
    </w:p>
    <w:p w:rsidR="00DB0200" w:rsidRPr="006234AA" w:rsidRDefault="00DB0200" w:rsidP="003C0546">
      <w:pPr>
        <w:tabs>
          <w:tab w:val="left" w:pos="426"/>
        </w:tabs>
        <w:spacing w:after="120"/>
        <w:rPr>
          <w:sz w:val="24"/>
          <w:szCs w:val="24"/>
        </w:rPr>
      </w:pPr>
      <w:r w:rsidRPr="006234AA">
        <w:rPr>
          <w:sz w:val="24"/>
          <w:szCs w:val="24"/>
        </w:rPr>
        <w:tab/>
        <w:t>- Giá trị sổ sách (book value) của một cổ phiếu được xác định trên cơ sở báo cáo tài chính gần nhất đã được kiểm toán hoặc soát xét.</w:t>
      </w:r>
    </w:p>
    <w:p w:rsidR="00DB0200" w:rsidRPr="006234AA" w:rsidRDefault="00DB0200" w:rsidP="003C0546">
      <w:pPr>
        <w:spacing w:after="120"/>
        <w:ind w:firstLine="0"/>
        <w:jc w:val="left"/>
        <w:rPr>
          <w:sz w:val="24"/>
          <w:szCs w:val="24"/>
        </w:rPr>
      </w:pPr>
      <w:r w:rsidRPr="006234AA">
        <w:rPr>
          <w:sz w:val="24"/>
          <w:szCs w:val="24"/>
        </w:rPr>
        <w:tab/>
        <w:t>- Tổ chức kinh doanh chứng khoán được lựa chọn hệ thống báo giá trái phiếu (Reuteurs/Bloomberg/VNBF…) để tham khảo</w:t>
      </w:r>
    </w:p>
    <w:p w:rsidR="00DB0200" w:rsidRPr="006234AA" w:rsidRDefault="00DB0200" w:rsidP="003C0546">
      <w:pPr>
        <w:spacing w:after="120"/>
        <w:ind w:firstLine="0"/>
        <w:jc w:val="left"/>
        <w:rPr>
          <w:sz w:val="24"/>
          <w:szCs w:val="24"/>
        </w:rPr>
      </w:pPr>
    </w:p>
    <w:p w:rsidR="00DB0200" w:rsidRPr="006234AA" w:rsidRDefault="00DB0200" w:rsidP="003C0546">
      <w:pPr>
        <w:spacing w:after="120"/>
        <w:ind w:firstLine="0"/>
        <w:jc w:val="left"/>
        <w:rPr>
          <w:sz w:val="24"/>
          <w:szCs w:val="24"/>
        </w:rPr>
      </w:pPr>
    </w:p>
    <w:p w:rsidR="00DB0200" w:rsidRPr="006234AA" w:rsidRDefault="00DB0200" w:rsidP="003C0546">
      <w:pPr>
        <w:tabs>
          <w:tab w:val="left" w:pos="1080"/>
        </w:tabs>
        <w:spacing w:after="120"/>
        <w:ind w:firstLine="0"/>
        <w:rPr>
          <w:b/>
          <w:sz w:val="24"/>
          <w:szCs w:val="24"/>
        </w:rPr>
      </w:pPr>
      <w:r w:rsidRPr="006234AA">
        <w:rPr>
          <w:b/>
          <w:sz w:val="24"/>
          <w:szCs w:val="24"/>
        </w:rPr>
        <w:t xml:space="preserve">IV:  GIÁ TRỊ TÀI SẢN TIỀM ẨN RỦI RO </w:t>
      </w:r>
    </w:p>
    <w:p w:rsidR="00DB0200" w:rsidRPr="006234AA" w:rsidRDefault="00DB0200" w:rsidP="003C0546">
      <w:pPr>
        <w:tabs>
          <w:tab w:val="left" w:pos="1080"/>
        </w:tabs>
        <w:spacing w:after="120"/>
        <w:ind w:firstLine="0"/>
        <w:rPr>
          <w:b/>
          <w:sz w:val="24"/>
          <w:szCs w:val="24"/>
        </w:rPr>
      </w:pPr>
      <w:r w:rsidRPr="006234AA">
        <w:rPr>
          <w:b/>
          <w:sz w:val="24"/>
          <w:szCs w:val="24"/>
        </w:rPr>
        <w:t>1.  Giá trị tài sản tiềm ẩn rủi ro thanh toán trong hoạt động vay, cho vay chứng khoán, giao dịch ký quỹ, giao dịch mua bán lại, giao dịch phái sinh của khách hàng</w:t>
      </w:r>
    </w:p>
    <w:p w:rsidR="00DB0200" w:rsidRPr="006234AA" w:rsidRDefault="00DB0200" w:rsidP="003C0546">
      <w:pPr>
        <w:tabs>
          <w:tab w:val="left" w:pos="1080"/>
        </w:tabs>
        <w:spacing w:after="120"/>
        <w:outlineLvl w:val="0"/>
        <w:rPr>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7654"/>
      </w:tblGrid>
      <w:tr w:rsidR="00DB0200" w:rsidRPr="006234AA" w:rsidTr="00D60CD2">
        <w:tc>
          <w:tcPr>
            <w:tcW w:w="567" w:type="dxa"/>
            <w:vAlign w:val="center"/>
          </w:tcPr>
          <w:p w:rsidR="00DB0200" w:rsidRPr="006234AA" w:rsidRDefault="00DB0200" w:rsidP="003C0546">
            <w:pPr>
              <w:tabs>
                <w:tab w:val="left" w:pos="1080"/>
              </w:tabs>
              <w:spacing w:after="120"/>
              <w:ind w:firstLine="0"/>
              <w:rPr>
                <w:b/>
                <w:sz w:val="22"/>
              </w:rPr>
            </w:pPr>
            <w:r w:rsidRPr="006234AA">
              <w:rPr>
                <w:b/>
                <w:sz w:val="22"/>
              </w:rPr>
              <w:t>Số TT</w:t>
            </w:r>
          </w:p>
        </w:tc>
        <w:tc>
          <w:tcPr>
            <w:tcW w:w="2127" w:type="dxa"/>
            <w:vAlign w:val="center"/>
          </w:tcPr>
          <w:p w:rsidR="00DB0200" w:rsidRPr="006234AA" w:rsidRDefault="00DB0200" w:rsidP="003C0546">
            <w:pPr>
              <w:tabs>
                <w:tab w:val="left" w:pos="175"/>
              </w:tabs>
              <w:spacing w:after="120"/>
              <w:ind w:firstLine="0"/>
              <w:rPr>
                <w:b/>
                <w:sz w:val="22"/>
              </w:rPr>
            </w:pPr>
            <w:r w:rsidRPr="006234AA">
              <w:rPr>
                <w:b/>
                <w:sz w:val="22"/>
              </w:rPr>
              <w:t>Loại hình giao dịch</w:t>
            </w:r>
          </w:p>
        </w:tc>
        <w:tc>
          <w:tcPr>
            <w:tcW w:w="7654" w:type="dxa"/>
            <w:vAlign w:val="center"/>
          </w:tcPr>
          <w:p w:rsidR="00DB0200" w:rsidRPr="006234AA" w:rsidRDefault="00DB0200" w:rsidP="003C0546">
            <w:pPr>
              <w:tabs>
                <w:tab w:val="left" w:pos="1080"/>
              </w:tabs>
              <w:spacing w:after="120"/>
              <w:jc w:val="center"/>
              <w:rPr>
                <w:b/>
                <w:sz w:val="22"/>
              </w:rPr>
            </w:pPr>
            <w:r w:rsidRPr="006234AA">
              <w:rPr>
                <w:b/>
                <w:sz w:val="22"/>
              </w:rPr>
              <w:t>Giá trị tài sản tiềm ẩn rủi ro thanh toán</w:t>
            </w:r>
          </w:p>
        </w:tc>
      </w:tr>
      <w:tr w:rsidR="00DB0200" w:rsidRPr="006234AA" w:rsidTr="00D60CD2">
        <w:tc>
          <w:tcPr>
            <w:tcW w:w="567" w:type="dxa"/>
            <w:vAlign w:val="center"/>
          </w:tcPr>
          <w:p w:rsidR="00DB0200" w:rsidRPr="006234AA" w:rsidRDefault="00DB0200" w:rsidP="003C0546">
            <w:pPr>
              <w:tabs>
                <w:tab w:val="left" w:pos="1080"/>
              </w:tabs>
              <w:spacing w:after="120"/>
              <w:ind w:firstLine="0"/>
              <w:rPr>
                <w:sz w:val="24"/>
                <w:szCs w:val="24"/>
              </w:rPr>
            </w:pPr>
            <w:r w:rsidRPr="006234AA">
              <w:rPr>
                <w:sz w:val="24"/>
                <w:szCs w:val="24"/>
              </w:rPr>
              <w:t>1.</w:t>
            </w:r>
          </w:p>
        </w:tc>
        <w:tc>
          <w:tcPr>
            <w:tcW w:w="2127" w:type="dxa"/>
            <w:vAlign w:val="center"/>
          </w:tcPr>
          <w:p w:rsidR="00DB0200" w:rsidRPr="006234AA" w:rsidRDefault="00DB0200" w:rsidP="003C0546">
            <w:pPr>
              <w:tabs>
                <w:tab w:val="left" w:pos="175"/>
              </w:tabs>
              <w:spacing w:after="120"/>
              <w:ind w:firstLine="0"/>
              <w:rPr>
                <w:sz w:val="22"/>
              </w:rPr>
            </w:pPr>
            <w:r w:rsidRPr="006234AA">
              <w:rPr>
                <w:sz w:val="22"/>
              </w:rPr>
              <w:t>Tiền gửi có kỳ hạn, khoản tiền cho vay không có tài sản bảo đảm</w:t>
            </w:r>
          </w:p>
        </w:tc>
        <w:tc>
          <w:tcPr>
            <w:tcW w:w="7654" w:type="dxa"/>
            <w:vAlign w:val="center"/>
          </w:tcPr>
          <w:p w:rsidR="00DB0200" w:rsidRPr="006234AA" w:rsidRDefault="00DB0200" w:rsidP="003C0546">
            <w:pPr>
              <w:tabs>
                <w:tab w:val="left" w:pos="1080"/>
              </w:tabs>
              <w:spacing w:after="120"/>
              <w:rPr>
                <w:sz w:val="22"/>
              </w:rPr>
            </w:pPr>
            <w:r w:rsidRPr="006234AA">
              <w:rPr>
                <w:sz w:val="22"/>
              </w:rPr>
              <w:t>Toàn bộ giá trị khoản cho vay</w:t>
            </w:r>
          </w:p>
        </w:tc>
      </w:tr>
      <w:tr w:rsidR="00DB0200" w:rsidRPr="006234AA" w:rsidTr="00D60CD2">
        <w:trPr>
          <w:trHeight w:val="894"/>
        </w:trPr>
        <w:tc>
          <w:tcPr>
            <w:tcW w:w="567" w:type="dxa"/>
            <w:vAlign w:val="center"/>
          </w:tcPr>
          <w:p w:rsidR="00DB0200" w:rsidRPr="006234AA" w:rsidRDefault="00DB0200" w:rsidP="003C0546">
            <w:pPr>
              <w:tabs>
                <w:tab w:val="left" w:pos="1080"/>
              </w:tabs>
              <w:spacing w:after="120"/>
              <w:ind w:firstLine="0"/>
              <w:rPr>
                <w:sz w:val="24"/>
                <w:szCs w:val="24"/>
              </w:rPr>
            </w:pPr>
            <w:r w:rsidRPr="006234AA">
              <w:rPr>
                <w:sz w:val="24"/>
                <w:szCs w:val="24"/>
              </w:rPr>
              <w:t>2.</w:t>
            </w:r>
          </w:p>
        </w:tc>
        <w:tc>
          <w:tcPr>
            <w:tcW w:w="2127" w:type="dxa"/>
            <w:vAlign w:val="center"/>
          </w:tcPr>
          <w:p w:rsidR="00DB0200" w:rsidRPr="006234AA" w:rsidRDefault="00DB0200" w:rsidP="003C0546">
            <w:pPr>
              <w:tabs>
                <w:tab w:val="left" w:pos="175"/>
              </w:tabs>
              <w:spacing w:after="120"/>
              <w:ind w:firstLine="0"/>
              <w:rPr>
                <w:sz w:val="22"/>
              </w:rPr>
            </w:pPr>
            <w:r w:rsidRPr="006234AA">
              <w:rPr>
                <w:sz w:val="22"/>
              </w:rPr>
              <w:t>Cho vay chứng khoán</w:t>
            </w:r>
          </w:p>
        </w:tc>
        <w:tc>
          <w:tcPr>
            <w:tcW w:w="7654" w:type="dxa"/>
            <w:vAlign w:val="center"/>
          </w:tcPr>
          <w:p w:rsidR="00DB0200" w:rsidRPr="006234AA" w:rsidRDefault="00DB0200" w:rsidP="003C0546">
            <w:pPr>
              <w:tabs>
                <w:tab w:val="left" w:pos="1080"/>
              </w:tabs>
              <w:spacing w:after="120"/>
              <w:rPr>
                <w:sz w:val="22"/>
              </w:rPr>
            </w:pPr>
            <m:oMathPara>
              <m:oMath>
                <m:r>
                  <m:rPr>
                    <m:sty m:val="p"/>
                  </m:rPr>
                  <w:rPr>
                    <w:rFonts w:ascii="Cambria Math" w:hAnsi="Cambria Math"/>
                    <w:sz w:val="22"/>
                  </w:rPr>
                  <m:t>Max</m:t>
                </m:r>
                <m:d>
                  <m:dPr>
                    <m:begChr m:val="{"/>
                    <m:endChr m:val="}"/>
                    <m:ctrlPr>
                      <w:rPr>
                        <w:rFonts w:ascii="Cambria Math" w:hAnsi="Cambria Math"/>
                        <w:sz w:val="22"/>
                      </w:rPr>
                    </m:ctrlPr>
                  </m:dPr>
                  <m:e>
                    <m:d>
                      <m:dPr>
                        <m:ctrlPr>
                          <w:rPr>
                            <w:rFonts w:ascii="Cambria Math" w:hAnsi="Cambria Math"/>
                            <w:sz w:val="22"/>
                          </w:rPr>
                        </m:ctrlPr>
                      </m:dPr>
                      <m:e>
                        <m:r>
                          <m:rPr>
                            <m:sty m:val="p"/>
                          </m:rPr>
                          <w:rPr>
                            <w:rFonts w:ascii="Cambria Math" w:hAnsi="Cambria Math"/>
                            <w:sz w:val="22"/>
                          </w:rPr>
                          <m:t>Giá trị thị trường của Hợp đồng  – Giá trị tài sản bảo đảm (nếu có)</m:t>
                        </m:r>
                      </m:e>
                    </m:d>
                    <m:r>
                      <m:rPr>
                        <m:sty m:val="p"/>
                      </m:rPr>
                      <w:rPr>
                        <w:rFonts w:ascii="Cambria Math" w:hAnsi="Cambria Math"/>
                        <w:sz w:val="22"/>
                      </w:rPr>
                      <m:t>, 0</m:t>
                    </m:r>
                  </m:e>
                </m:d>
              </m:oMath>
            </m:oMathPara>
          </w:p>
        </w:tc>
      </w:tr>
      <w:tr w:rsidR="00DB0200" w:rsidRPr="006234AA" w:rsidTr="00D60CD2">
        <w:tc>
          <w:tcPr>
            <w:tcW w:w="567" w:type="dxa"/>
            <w:vAlign w:val="center"/>
          </w:tcPr>
          <w:p w:rsidR="00DB0200" w:rsidRPr="006234AA" w:rsidRDefault="00DB0200" w:rsidP="003C0546">
            <w:pPr>
              <w:tabs>
                <w:tab w:val="left" w:pos="1080"/>
              </w:tabs>
              <w:spacing w:after="120"/>
              <w:ind w:firstLine="0"/>
              <w:rPr>
                <w:sz w:val="24"/>
                <w:szCs w:val="24"/>
              </w:rPr>
            </w:pPr>
            <w:r w:rsidRPr="006234AA">
              <w:rPr>
                <w:sz w:val="24"/>
                <w:szCs w:val="24"/>
              </w:rPr>
              <w:t>3.</w:t>
            </w:r>
          </w:p>
        </w:tc>
        <w:tc>
          <w:tcPr>
            <w:tcW w:w="2127" w:type="dxa"/>
            <w:vAlign w:val="center"/>
          </w:tcPr>
          <w:p w:rsidR="00DB0200" w:rsidRPr="006234AA" w:rsidRDefault="00DB0200" w:rsidP="003C0546">
            <w:pPr>
              <w:tabs>
                <w:tab w:val="left" w:pos="175"/>
              </w:tabs>
              <w:spacing w:after="120"/>
              <w:ind w:firstLine="0"/>
              <w:rPr>
                <w:sz w:val="22"/>
              </w:rPr>
            </w:pPr>
            <w:r w:rsidRPr="006234AA">
              <w:rPr>
                <w:sz w:val="22"/>
              </w:rPr>
              <w:t>Vay chứng khoán</w:t>
            </w:r>
          </w:p>
        </w:tc>
        <w:tc>
          <w:tcPr>
            <w:tcW w:w="7654" w:type="dxa"/>
            <w:vAlign w:val="center"/>
          </w:tcPr>
          <w:p w:rsidR="00DB0200" w:rsidRPr="006234AA" w:rsidRDefault="00DB0200" w:rsidP="003C0546">
            <w:pPr>
              <w:spacing w:after="120"/>
              <w:rPr>
                <w:sz w:val="22"/>
              </w:rPr>
            </w:pPr>
            <m:oMathPara>
              <m:oMath>
                <m:r>
                  <m:rPr>
                    <m:sty m:val="p"/>
                  </m:rPr>
                  <w:rPr>
                    <w:rFonts w:ascii="Cambria Math" w:hAnsi="Cambria Math"/>
                    <w:sz w:val="22"/>
                  </w:rPr>
                  <m:t>Max</m:t>
                </m:r>
                <m:d>
                  <m:dPr>
                    <m:begChr m:val="{"/>
                    <m:endChr m:val="}"/>
                    <m:ctrlPr>
                      <w:rPr>
                        <w:rFonts w:ascii="Cambria Math" w:hAnsi="Cambria Math"/>
                        <w:sz w:val="22"/>
                      </w:rPr>
                    </m:ctrlPr>
                  </m:dPr>
                  <m:e>
                    <m:d>
                      <m:dPr>
                        <m:ctrlPr>
                          <w:rPr>
                            <w:rFonts w:ascii="Cambria Math" w:hAnsi="Cambria Math"/>
                            <w:sz w:val="22"/>
                          </w:rPr>
                        </m:ctrlPr>
                      </m:dPr>
                      <m:e>
                        <m:r>
                          <m:rPr>
                            <m:sty m:val="p"/>
                          </m:rPr>
                          <w:rPr>
                            <w:rFonts w:ascii="Cambria Math" w:hAnsi="Cambria Math"/>
                            <w:sz w:val="22"/>
                          </w:rPr>
                          <m:t xml:space="preserve">Giá trị tài sản bảo đảm -Giá trị thị trường của Hợp đồng </m:t>
                        </m:r>
                      </m:e>
                    </m:d>
                    <m:r>
                      <m:rPr>
                        <m:sty m:val="p"/>
                      </m:rPr>
                      <w:rPr>
                        <w:rFonts w:ascii="Cambria Math" w:hAnsi="Cambria Math"/>
                        <w:sz w:val="22"/>
                      </w:rPr>
                      <m:t>, 0</m:t>
                    </m:r>
                  </m:e>
                </m:d>
              </m:oMath>
            </m:oMathPara>
          </w:p>
        </w:tc>
      </w:tr>
      <w:tr w:rsidR="00DB0200" w:rsidRPr="006234AA" w:rsidTr="00D60CD2">
        <w:trPr>
          <w:trHeight w:val="1300"/>
        </w:trPr>
        <w:tc>
          <w:tcPr>
            <w:tcW w:w="567" w:type="dxa"/>
            <w:vAlign w:val="center"/>
          </w:tcPr>
          <w:p w:rsidR="00DB0200" w:rsidRPr="006234AA" w:rsidRDefault="00DB0200" w:rsidP="003C0546">
            <w:pPr>
              <w:tabs>
                <w:tab w:val="left" w:pos="1080"/>
              </w:tabs>
              <w:spacing w:after="120"/>
              <w:ind w:firstLine="0"/>
              <w:rPr>
                <w:sz w:val="24"/>
                <w:szCs w:val="24"/>
              </w:rPr>
            </w:pPr>
            <w:r w:rsidRPr="006234AA">
              <w:rPr>
                <w:sz w:val="24"/>
                <w:szCs w:val="24"/>
              </w:rPr>
              <w:t>4.</w:t>
            </w:r>
          </w:p>
        </w:tc>
        <w:tc>
          <w:tcPr>
            <w:tcW w:w="2127" w:type="dxa"/>
            <w:vAlign w:val="center"/>
          </w:tcPr>
          <w:p w:rsidR="00DB0200" w:rsidRPr="006234AA" w:rsidRDefault="00DB0200" w:rsidP="003C0546">
            <w:pPr>
              <w:tabs>
                <w:tab w:val="left" w:pos="175"/>
              </w:tabs>
              <w:spacing w:after="120"/>
              <w:ind w:firstLine="0"/>
              <w:rPr>
                <w:sz w:val="22"/>
              </w:rPr>
            </w:pPr>
            <w:r w:rsidRPr="006234AA">
              <w:rPr>
                <w:sz w:val="22"/>
              </w:rPr>
              <w:t>Hợp đồng mua chứng khoán có cam kết bán lại</w:t>
            </w:r>
          </w:p>
        </w:tc>
        <w:tc>
          <w:tcPr>
            <w:tcW w:w="7654" w:type="dxa"/>
            <w:vAlign w:val="center"/>
          </w:tcPr>
          <w:p w:rsidR="00DB0200" w:rsidRPr="006234AA" w:rsidRDefault="00DB0200" w:rsidP="003C0546">
            <w:pPr>
              <w:spacing w:after="120"/>
              <w:rPr>
                <w:sz w:val="22"/>
              </w:rPr>
            </w:pPr>
            <m:oMathPara>
              <m:oMath>
                <m:r>
                  <m:rPr>
                    <m:sty m:val="p"/>
                  </m:rPr>
                  <w:rPr>
                    <w:rFonts w:ascii="Cambria Math" w:hAnsi="Cambria Math"/>
                    <w:sz w:val="22"/>
                  </w:rPr>
                  <m:t>Max</m:t>
                </m:r>
                <m:d>
                  <m:dPr>
                    <m:begChr m:val="{"/>
                    <m:endChr m:val="}"/>
                    <m:ctrlPr>
                      <w:rPr>
                        <w:rFonts w:ascii="Cambria Math" w:hAnsi="Cambria Math"/>
                        <w:sz w:val="22"/>
                      </w:rPr>
                    </m:ctrlPr>
                  </m:dPr>
                  <m:e>
                    <m:d>
                      <m:dPr>
                        <m:ctrlPr>
                          <w:rPr>
                            <w:rFonts w:ascii="Cambria Math" w:hAnsi="Cambria Math"/>
                            <w:sz w:val="22"/>
                          </w:rPr>
                        </m:ctrlPr>
                      </m:dPr>
                      <m:e>
                        <m:eqArr>
                          <m:eqArrPr>
                            <m:ctrlPr>
                              <w:rPr>
                                <w:rFonts w:ascii="Cambria Math" w:hAnsi="Cambria Math"/>
                                <w:sz w:val="22"/>
                              </w:rPr>
                            </m:ctrlPr>
                          </m:eqArrPr>
                          <m:e>
                            <m:r>
                              <m:rPr>
                                <m:sty m:val="p"/>
                              </m:rPr>
                              <w:rPr>
                                <w:rFonts w:ascii="Cambria Math" w:hAnsi="Cambria Math"/>
                                <w:sz w:val="22"/>
                              </w:rPr>
                              <m:t xml:space="preserve">Giá trị hợp đồng tính theo giá mua – </m:t>
                            </m:r>
                          </m:e>
                          <m:e>
                            <m:r>
                              <m:rPr>
                                <m:sty m:val="p"/>
                              </m:rPr>
                              <w:rPr>
                                <w:rFonts w:ascii="Cambria Math" w:hAnsi="Cambria Math"/>
                                <w:sz w:val="22"/>
                              </w:rPr>
                              <m:t>Giá trị thị trường của Hợp đồng ×(1 – Hệ số rủi ro thị trường )</m:t>
                            </m:r>
                          </m:e>
                        </m:eqArr>
                      </m:e>
                    </m:d>
                    <m:r>
                      <m:rPr>
                        <m:sty m:val="p"/>
                      </m:rPr>
                      <w:rPr>
                        <w:rFonts w:ascii="Cambria Math" w:hAnsi="Cambria Math"/>
                        <w:sz w:val="22"/>
                      </w:rPr>
                      <m:t>, 0</m:t>
                    </m:r>
                  </m:e>
                </m:d>
              </m:oMath>
            </m:oMathPara>
          </w:p>
        </w:tc>
      </w:tr>
      <w:tr w:rsidR="00DB0200" w:rsidRPr="006234AA" w:rsidTr="00D60CD2">
        <w:trPr>
          <w:trHeight w:val="1300"/>
        </w:trPr>
        <w:tc>
          <w:tcPr>
            <w:tcW w:w="567" w:type="dxa"/>
            <w:vAlign w:val="center"/>
          </w:tcPr>
          <w:p w:rsidR="00DB0200" w:rsidRPr="006234AA" w:rsidRDefault="00DB0200" w:rsidP="003C0546">
            <w:pPr>
              <w:tabs>
                <w:tab w:val="left" w:pos="1080"/>
              </w:tabs>
              <w:spacing w:after="120"/>
              <w:ind w:firstLine="0"/>
              <w:rPr>
                <w:sz w:val="24"/>
                <w:szCs w:val="24"/>
              </w:rPr>
            </w:pPr>
            <w:r w:rsidRPr="006234AA">
              <w:rPr>
                <w:sz w:val="24"/>
                <w:szCs w:val="24"/>
              </w:rPr>
              <w:t>5.</w:t>
            </w:r>
          </w:p>
        </w:tc>
        <w:tc>
          <w:tcPr>
            <w:tcW w:w="2127" w:type="dxa"/>
            <w:vAlign w:val="center"/>
          </w:tcPr>
          <w:p w:rsidR="00DB0200" w:rsidRPr="006234AA" w:rsidRDefault="00DB0200" w:rsidP="003C0546">
            <w:pPr>
              <w:tabs>
                <w:tab w:val="left" w:pos="175"/>
              </w:tabs>
              <w:spacing w:after="120"/>
              <w:ind w:firstLine="0"/>
              <w:rPr>
                <w:sz w:val="22"/>
              </w:rPr>
            </w:pPr>
            <w:r w:rsidRPr="006234AA">
              <w:rPr>
                <w:sz w:val="22"/>
              </w:rPr>
              <w:t>Hợp đồng bán chứng khoán có cam kết mua lại</w:t>
            </w:r>
          </w:p>
        </w:tc>
        <w:tc>
          <w:tcPr>
            <w:tcW w:w="7654" w:type="dxa"/>
            <w:vAlign w:val="center"/>
          </w:tcPr>
          <w:p w:rsidR="00DB0200" w:rsidRPr="006234AA" w:rsidRDefault="00DB0200" w:rsidP="003C0546">
            <w:pPr>
              <w:spacing w:after="120"/>
              <w:rPr>
                <w:sz w:val="22"/>
              </w:rPr>
            </w:pPr>
            <m:oMathPara>
              <m:oMath>
                <m:r>
                  <m:rPr>
                    <m:sty m:val="p"/>
                  </m:rPr>
                  <w:rPr>
                    <w:rFonts w:ascii="Cambria Math" w:hAnsi="Cambria Math"/>
                    <w:sz w:val="22"/>
                  </w:rPr>
                  <m:t>Max</m:t>
                </m:r>
                <m:d>
                  <m:dPr>
                    <m:begChr m:val="{"/>
                    <m:endChr m:val="}"/>
                    <m:ctrlPr>
                      <w:rPr>
                        <w:rFonts w:ascii="Cambria Math" w:hAnsi="Cambria Math"/>
                        <w:sz w:val="22"/>
                      </w:rPr>
                    </m:ctrlPr>
                  </m:dPr>
                  <m:e>
                    <m:d>
                      <m:dPr>
                        <m:ctrlPr>
                          <w:rPr>
                            <w:rFonts w:ascii="Cambria Math" w:hAnsi="Cambria Math"/>
                            <w:sz w:val="22"/>
                          </w:rPr>
                        </m:ctrlPr>
                      </m:dPr>
                      <m:e>
                        <m:eqArr>
                          <m:eqArrPr>
                            <m:ctrlPr>
                              <w:rPr>
                                <w:rFonts w:ascii="Cambria Math" w:hAnsi="Cambria Math"/>
                                <w:sz w:val="22"/>
                              </w:rPr>
                            </m:ctrlPr>
                          </m:eqArrPr>
                          <m:e>
                            <m:r>
                              <m:rPr>
                                <m:sty m:val="p"/>
                              </m:rPr>
                              <w:rPr>
                                <w:rFonts w:ascii="Cambria Math" w:hAnsi="Cambria Math"/>
                                <w:sz w:val="22"/>
                              </w:rPr>
                              <m:t>Giá trị thị trường của Hợp đồng ×</m:t>
                            </m:r>
                            <m:d>
                              <m:dPr>
                                <m:ctrlPr>
                                  <w:rPr>
                                    <w:rFonts w:ascii="Cambria Math" w:hAnsi="Cambria Math"/>
                                    <w:sz w:val="22"/>
                                  </w:rPr>
                                </m:ctrlPr>
                              </m:dPr>
                              <m:e>
                                <m:r>
                                  <m:rPr>
                                    <m:sty m:val="p"/>
                                  </m:rPr>
                                  <w:rPr>
                                    <w:rFonts w:ascii="Cambria Math" w:hAnsi="Cambria Math"/>
                                    <w:sz w:val="22"/>
                                  </w:rPr>
                                  <m:t xml:space="preserve">1 – Hệ số rủi ro thị trường </m:t>
                                </m:r>
                              </m:e>
                            </m:d>
                            <m:r>
                              <m:rPr>
                                <m:sty m:val="p"/>
                              </m:rPr>
                              <w:rPr>
                                <w:rFonts w:ascii="Cambria Math" w:hAnsi="Cambria Math"/>
                                <w:sz w:val="22"/>
                              </w:rPr>
                              <m:t xml:space="preserve"> </m:t>
                            </m:r>
                          </m:e>
                          <m:e>
                            <m:r>
                              <m:rPr>
                                <m:sty m:val="p"/>
                              </m:rPr>
                              <w:rPr>
                                <w:rFonts w:ascii="Cambria Math" w:hAnsi="Cambria Math"/>
                                <w:sz w:val="22"/>
                              </w:rPr>
                              <m:t xml:space="preserve">- Giá trị hợp đồng tính theo giá bán </m:t>
                            </m:r>
                          </m:e>
                        </m:eqArr>
                      </m:e>
                    </m:d>
                    <m:r>
                      <m:rPr>
                        <m:sty m:val="p"/>
                      </m:rPr>
                      <w:rPr>
                        <w:rFonts w:ascii="Cambria Math" w:hAnsi="Cambria Math"/>
                        <w:sz w:val="22"/>
                      </w:rPr>
                      <m:t>, 0</m:t>
                    </m:r>
                  </m:e>
                </m:d>
              </m:oMath>
            </m:oMathPara>
          </w:p>
        </w:tc>
      </w:tr>
      <w:tr w:rsidR="00DB0200" w:rsidRPr="006234AA" w:rsidTr="00D60CD2">
        <w:tc>
          <w:tcPr>
            <w:tcW w:w="567" w:type="dxa"/>
            <w:vAlign w:val="center"/>
          </w:tcPr>
          <w:p w:rsidR="00DB0200" w:rsidRPr="006234AA" w:rsidRDefault="00DB0200" w:rsidP="003C0546">
            <w:pPr>
              <w:tabs>
                <w:tab w:val="left" w:pos="1080"/>
              </w:tabs>
              <w:spacing w:after="120"/>
              <w:ind w:firstLine="0"/>
              <w:rPr>
                <w:sz w:val="24"/>
                <w:szCs w:val="24"/>
              </w:rPr>
            </w:pPr>
            <w:r w:rsidRPr="006234AA">
              <w:rPr>
                <w:sz w:val="24"/>
                <w:szCs w:val="24"/>
              </w:rPr>
              <w:t>6.</w:t>
            </w:r>
          </w:p>
        </w:tc>
        <w:tc>
          <w:tcPr>
            <w:tcW w:w="2127" w:type="dxa"/>
            <w:vAlign w:val="center"/>
          </w:tcPr>
          <w:p w:rsidR="00DB0200" w:rsidRPr="006234AA" w:rsidRDefault="00DB0200" w:rsidP="003C0546">
            <w:pPr>
              <w:tabs>
                <w:tab w:val="left" w:pos="175"/>
              </w:tabs>
              <w:spacing w:after="120"/>
              <w:ind w:firstLine="0"/>
              <w:rPr>
                <w:sz w:val="22"/>
              </w:rPr>
            </w:pPr>
            <w:r w:rsidRPr="006234AA">
              <w:rPr>
                <w:sz w:val="22"/>
              </w:rPr>
              <w:t xml:space="preserve">Hợp đồng cho vay mua ký quỹ (cho khách hàng vay mua chứng khoán)/Các thỏa thuận kinh tế có cùng bản chất </w:t>
            </w:r>
          </w:p>
        </w:tc>
        <w:tc>
          <w:tcPr>
            <w:tcW w:w="7654" w:type="dxa"/>
            <w:vAlign w:val="center"/>
          </w:tcPr>
          <w:p w:rsidR="00DB0200" w:rsidRPr="006234AA" w:rsidRDefault="00DB0200" w:rsidP="003C0546">
            <w:pPr>
              <w:spacing w:after="120"/>
              <w:rPr>
                <w:sz w:val="22"/>
              </w:rPr>
            </w:pPr>
            <m:oMathPara>
              <m:oMath>
                <m:r>
                  <m:rPr>
                    <m:sty m:val="p"/>
                  </m:rPr>
                  <w:rPr>
                    <w:rFonts w:ascii="Cambria Math" w:hAnsi="Cambria Math"/>
                    <w:sz w:val="22"/>
                  </w:rPr>
                  <m:t>Max</m:t>
                </m:r>
                <m:d>
                  <m:dPr>
                    <m:begChr m:val="{"/>
                    <m:endChr m:val="}"/>
                    <m:ctrlPr>
                      <w:rPr>
                        <w:rFonts w:ascii="Cambria Math" w:hAnsi="Cambria Math"/>
                        <w:sz w:val="22"/>
                      </w:rPr>
                    </m:ctrlPr>
                  </m:dPr>
                  <m:e>
                    <m:d>
                      <m:dPr>
                        <m:ctrlPr>
                          <w:rPr>
                            <w:rFonts w:ascii="Cambria Math" w:hAnsi="Cambria Math"/>
                            <w:sz w:val="22"/>
                          </w:rPr>
                        </m:ctrlPr>
                      </m:dPr>
                      <m:e>
                        <m:r>
                          <m:rPr>
                            <m:sty m:val="p"/>
                          </m:rPr>
                          <w:rPr>
                            <w:rFonts w:ascii="Cambria Math" w:hAnsi="Cambria Math"/>
                            <w:sz w:val="22"/>
                          </w:rPr>
                          <m:t>Số dư nợ-Giá trị tài sản bảo đảm</m:t>
                        </m:r>
                      </m:e>
                    </m:d>
                    <m:r>
                      <m:rPr>
                        <m:sty m:val="p"/>
                      </m:rPr>
                      <w:rPr>
                        <w:rFonts w:ascii="Cambria Math" w:hAnsi="Cambria Math"/>
                        <w:sz w:val="22"/>
                      </w:rPr>
                      <m:t>,0</m:t>
                    </m:r>
                  </m:e>
                </m:d>
              </m:oMath>
            </m:oMathPara>
          </w:p>
        </w:tc>
      </w:tr>
      <w:tr w:rsidR="00DB0200" w:rsidRPr="006234AA" w:rsidTr="00D60CD2">
        <w:tc>
          <w:tcPr>
            <w:tcW w:w="567" w:type="dxa"/>
            <w:tcBorders>
              <w:top w:val="single" w:sz="4" w:space="0" w:color="000000"/>
              <w:left w:val="single" w:sz="4" w:space="0" w:color="000000"/>
              <w:bottom w:val="single" w:sz="4" w:space="0" w:color="000000"/>
              <w:right w:val="single" w:sz="4" w:space="0" w:color="000000"/>
            </w:tcBorders>
            <w:vAlign w:val="center"/>
          </w:tcPr>
          <w:p w:rsidR="00DB0200" w:rsidRPr="006234AA" w:rsidRDefault="00DB0200" w:rsidP="003C0546">
            <w:pPr>
              <w:tabs>
                <w:tab w:val="left" w:pos="1080"/>
              </w:tabs>
              <w:spacing w:after="120"/>
              <w:ind w:firstLine="0"/>
              <w:rPr>
                <w:sz w:val="24"/>
                <w:szCs w:val="24"/>
              </w:rPr>
            </w:pPr>
            <w:r w:rsidRPr="006234AA">
              <w:rPr>
                <w:sz w:val="24"/>
                <w:szCs w:val="24"/>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DB0200" w:rsidRPr="006234AA" w:rsidRDefault="00DB0200" w:rsidP="003C0546">
            <w:pPr>
              <w:tabs>
                <w:tab w:val="left" w:pos="175"/>
              </w:tabs>
              <w:spacing w:after="120"/>
              <w:ind w:firstLine="0"/>
              <w:rPr>
                <w:sz w:val="22"/>
              </w:rPr>
            </w:pPr>
            <w:r w:rsidRPr="006234AA">
              <w:rPr>
                <w:sz w:val="22"/>
              </w:rPr>
              <w:t xml:space="preserve">Hợp đồng chứng </w:t>
            </w:r>
            <w:r w:rsidRPr="006234AA">
              <w:rPr>
                <w:sz w:val="22"/>
              </w:rPr>
              <w:lastRenderedPageBreak/>
              <w:t>khoán phái sinh (tự doanh)</w:t>
            </w:r>
          </w:p>
        </w:tc>
        <w:tc>
          <w:tcPr>
            <w:tcW w:w="7654" w:type="dxa"/>
            <w:tcBorders>
              <w:top w:val="single" w:sz="4" w:space="0" w:color="000000"/>
              <w:left w:val="single" w:sz="4" w:space="0" w:color="000000"/>
              <w:bottom w:val="single" w:sz="4" w:space="0" w:color="000000"/>
              <w:right w:val="single" w:sz="4" w:space="0" w:color="000000"/>
            </w:tcBorders>
            <w:vAlign w:val="center"/>
          </w:tcPr>
          <w:p w:rsidR="00DB0200" w:rsidRPr="006234AA" w:rsidRDefault="00DB0200" w:rsidP="003C0546">
            <w:pPr>
              <w:spacing w:after="120"/>
              <w:ind w:firstLine="0"/>
              <w:jc w:val="center"/>
              <w:rPr>
                <w:oMath/>
                <w:rFonts w:ascii="Cambria Math" w:hAnsi="Cambria Math"/>
                <w:sz w:val="22"/>
              </w:rPr>
            </w:pPr>
            <w:r w:rsidRPr="006234AA">
              <w:rPr>
                <w:sz w:val="22"/>
              </w:rPr>
              <w:lastRenderedPageBreak/>
              <w:t>Giá trị cam kết của hợp đồng</w:t>
            </w:r>
          </w:p>
        </w:tc>
      </w:tr>
      <w:tr w:rsidR="00DB0200" w:rsidRPr="006234AA" w:rsidTr="00D60CD2">
        <w:tc>
          <w:tcPr>
            <w:tcW w:w="567" w:type="dxa"/>
            <w:tcBorders>
              <w:top w:val="single" w:sz="4" w:space="0" w:color="000000"/>
              <w:left w:val="single" w:sz="4" w:space="0" w:color="000000"/>
              <w:bottom w:val="single" w:sz="4" w:space="0" w:color="000000"/>
              <w:right w:val="single" w:sz="4" w:space="0" w:color="000000"/>
            </w:tcBorders>
            <w:vAlign w:val="center"/>
          </w:tcPr>
          <w:p w:rsidR="00DB0200" w:rsidRPr="006234AA" w:rsidRDefault="00DB0200" w:rsidP="003C0546">
            <w:pPr>
              <w:tabs>
                <w:tab w:val="left" w:pos="1080"/>
              </w:tabs>
              <w:spacing w:after="120"/>
              <w:ind w:firstLine="0"/>
              <w:rPr>
                <w:sz w:val="24"/>
                <w:szCs w:val="24"/>
                <w:u w:val="single"/>
              </w:rPr>
            </w:pPr>
            <w:r w:rsidRPr="006234AA">
              <w:rPr>
                <w:sz w:val="24"/>
                <w:szCs w:val="24"/>
                <w:u w:val="single"/>
              </w:rPr>
              <w:lastRenderedPageBreak/>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DB0200" w:rsidRPr="006234AA" w:rsidRDefault="00DB0200" w:rsidP="003C0546">
            <w:pPr>
              <w:tabs>
                <w:tab w:val="left" w:pos="175"/>
              </w:tabs>
              <w:spacing w:after="120"/>
              <w:ind w:firstLine="0"/>
              <w:rPr>
                <w:sz w:val="22"/>
                <w:u w:val="single"/>
              </w:rPr>
            </w:pPr>
            <w:r w:rsidRPr="006234AA">
              <w:rPr>
                <w:sz w:val="22"/>
                <w:u w:val="single"/>
              </w:rPr>
              <w:t xml:space="preserve">Vị thế phái sinh của khách hàng môi giới và khách hàng ủy thác </w:t>
            </w:r>
            <w:r w:rsidR="00666F37" w:rsidRPr="006234AA">
              <w:rPr>
                <w:sz w:val="22"/>
                <w:u w:val="single"/>
              </w:rPr>
              <w:t>bù trừ, thanh toán</w:t>
            </w:r>
            <w:r w:rsidRPr="006234AA">
              <w:rPr>
                <w:sz w:val="22"/>
                <w:u w:val="single"/>
              </w:rPr>
              <w:t xml:space="preserve"> (nếu có) </w:t>
            </w:r>
          </w:p>
        </w:tc>
        <w:tc>
          <w:tcPr>
            <w:tcW w:w="7654" w:type="dxa"/>
            <w:tcBorders>
              <w:top w:val="single" w:sz="4" w:space="0" w:color="000000"/>
              <w:left w:val="single" w:sz="4" w:space="0" w:color="000000"/>
              <w:bottom w:val="single" w:sz="4" w:space="0" w:color="000000"/>
              <w:right w:val="single" w:sz="4" w:space="0" w:color="000000"/>
            </w:tcBorders>
            <w:vAlign w:val="center"/>
          </w:tcPr>
          <w:p w:rsidR="00DB0200" w:rsidRPr="006234AA" w:rsidRDefault="00DB0200" w:rsidP="003C0546">
            <w:pPr>
              <w:spacing w:after="120"/>
              <w:rPr>
                <w:oMath/>
                <w:rFonts w:ascii="Cambria Math" w:hAnsi="Cambria Math"/>
                <w:sz w:val="22"/>
                <w:u w:val="single"/>
              </w:rPr>
            </w:pPr>
            <m:oMathPara>
              <m:oMath>
                <m:r>
                  <m:rPr>
                    <m:sty m:val="p"/>
                  </m:rPr>
                  <w:rPr>
                    <w:rFonts w:ascii="Cambria Math" w:hAnsi="Cambria Math"/>
                    <w:sz w:val="22"/>
                    <w:u w:val="single"/>
                  </w:rPr>
                  <m:t>Max</m:t>
                </m:r>
                <m:d>
                  <m:dPr>
                    <m:begChr m:val="{"/>
                    <m:endChr m:val="}"/>
                    <m:ctrlPr>
                      <w:rPr>
                        <w:rFonts w:ascii="Cambria Math" w:hAnsi="Cambria Math"/>
                        <w:sz w:val="22"/>
                        <w:u w:val="single"/>
                      </w:rPr>
                    </m:ctrlPr>
                  </m:dPr>
                  <m:e>
                    <m:d>
                      <m:dPr>
                        <m:ctrlPr>
                          <w:rPr>
                            <w:rFonts w:ascii="Cambria Math" w:hAnsi="Cambria Math"/>
                            <w:sz w:val="22"/>
                            <w:u w:val="single"/>
                          </w:rPr>
                        </m:ctrlPr>
                      </m:dPr>
                      <m:e>
                        <m:r>
                          <m:rPr>
                            <m:sty m:val="p"/>
                          </m:rPr>
                          <w:rPr>
                            <w:rFonts w:ascii="Cambria Math" w:hAnsi="Cambria Math"/>
                            <w:sz w:val="22"/>
                            <w:u w:val="single"/>
                          </w:rPr>
                          <m:t>Giá trị ký quỹ bổ sung, 0</m:t>
                        </m:r>
                      </m:e>
                    </m:d>
                  </m:e>
                </m:d>
              </m:oMath>
            </m:oMathPara>
          </w:p>
        </w:tc>
      </w:tr>
    </w:tbl>
    <w:p w:rsidR="00DB0200" w:rsidRPr="006234AA" w:rsidRDefault="00DB0200" w:rsidP="003C0546">
      <w:pPr>
        <w:tabs>
          <w:tab w:val="left" w:pos="1080"/>
        </w:tabs>
        <w:spacing w:after="120"/>
        <w:rPr>
          <w:b/>
          <w:i/>
          <w:sz w:val="24"/>
          <w:szCs w:val="24"/>
        </w:rPr>
      </w:pPr>
    </w:p>
    <w:p w:rsidR="00DB0200" w:rsidRPr="006234AA" w:rsidRDefault="00DB0200" w:rsidP="003C0546">
      <w:pPr>
        <w:tabs>
          <w:tab w:val="left" w:pos="1080"/>
        </w:tabs>
        <w:spacing w:after="120"/>
        <w:rPr>
          <w:sz w:val="24"/>
          <w:szCs w:val="24"/>
        </w:rPr>
      </w:pPr>
      <w:r w:rsidRPr="006234AA">
        <w:rPr>
          <w:b/>
          <w:i/>
          <w:sz w:val="24"/>
          <w:szCs w:val="24"/>
        </w:rPr>
        <w:t>Ghi chú:</w:t>
      </w:r>
      <w:r w:rsidRPr="006234AA">
        <w:rPr>
          <w:sz w:val="24"/>
          <w:szCs w:val="24"/>
        </w:rPr>
        <w:t xml:space="preserve"> </w:t>
      </w:r>
      <w:r w:rsidRPr="006234AA">
        <w:rPr>
          <w:sz w:val="24"/>
          <w:szCs w:val="24"/>
        </w:rPr>
        <w:tab/>
      </w:r>
    </w:p>
    <w:p w:rsidR="00DB0200" w:rsidRPr="006234AA" w:rsidRDefault="00DB0200" w:rsidP="003C0546">
      <w:pPr>
        <w:tabs>
          <w:tab w:val="left" w:pos="426"/>
        </w:tabs>
        <w:spacing w:after="120"/>
        <w:rPr>
          <w:sz w:val="24"/>
          <w:szCs w:val="24"/>
        </w:rPr>
      </w:pPr>
      <w:r w:rsidRPr="006234AA">
        <w:rPr>
          <w:sz w:val="24"/>
          <w:szCs w:val="24"/>
        </w:rPr>
        <w:t>-  Số dư nợ bao gồm giá trị khoản vay, lãi vay và các loại phí;</w:t>
      </w:r>
    </w:p>
    <w:p w:rsidR="00DB0200" w:rsidRPr="006234AA" w:rsidRDefault="00DB0200" w:rsidP="003C0546">
      <w:pPr>
        <w:tabs>
          <w:tab w:val="left" w:pos="426"/>
        </w:tabs>
        <w:spacing w:after="120"/>
        <w:rPr>
          <w:sz w:val="24"/>
          <w:szCs w:val="24"/>
        </w:rPr>
      </w:pPr>
      <w:r w:rsidRPr="006234AA">
        <w:rPr>
          <w:sz w:val="24"/>
          <w:szCs w:val="24"/>
        </w:rPr>
        <w:t>- Trường hợp tài sản bảo đảm của khách hàng không có giá thị trường, thì được xác định theo quy định nội bộ của tổ chức kinh doanh chứng khoán.</w:t>
      </w:r>
    </w:p>
    <w:p w:rsidR="00DB0200" w:rsidRPr="006234AA" w:rsidRDefault="00DB0200" w:rsidP="003C0546">
      <w:pPr>
        <w:tabs>
          <w:tab w:val="left" w:pos="426"/>
        </w:tabs>
        <w:spacing w:after="120"/>
        <w:rPr>
          <w:sz w:val="24"/>
          <w:szCs w:val="24"/>
        </w:rPr>
      </w:pPr>
      <w:r w:rsidRPr="006234AA">
        <w:rPr>
          <w:sz w:val="24"/>
          <w:szCs w:val="24"/>
        </w:rPr>
        <w:t>- Giá trị cam kết của một hợp đồng chứng khoán phái sinh được tính như sau:</w:t>
      </w:r>
    </w:p>
    <w:p w:rsidR="00DB0200" w:rsidRPr="006234AA" w:rsidRDefault="00DB0200" w:rsidP="003C0546">
      <w:pPr>
        <w:tabs>
          <w:tab w:val="left" w:pos="426"/>
        </w:tabs>
        <w:spacing w:after="120"/>
        <w:rPr>
          <w:sz w:val="24"/>
          <w:szCs w:val="24"/>
        </w:rPr>
      </w:pPr>
      <w:r w:rsidRPr="006234AA">
        <w:rPr>
          <w:sz w:val="24"/>
          <w:szCs w:val="24"/>
        </w:rPr>
        <w:t>+ Đối với hợp đồng tương lai chỉ số:</w:t>
      </w:r>
    </w:p>
    <w:p w:rsidR="00DB0200" w:rsidRPr="006234AA" w:rsidRDefault="00DB0200" w:rsidP="003C0546">
      <w:pPr>
        <w:tabs>
          <w:tab w:val="left" w:pos="426"/>
        </w:tabs>
        <w:spacing w:after="120"/>
        <w:rPr>
          <w:sz w:val="24"/>
          <w:szCs w:val="24"/>
        </w:rPr>
      </w:pPr>
      <w:r w:rsidRPr="006234AA">
        <w:rPr>
          <w:sz w:val="24"/>
          <w:szCs w:val="24"/>
        </w:rPr>
        <w:t xml:space="preserve">Giá trị cam kết = </w:t>
      </w:r>
      <w:r w:rsidR="000A65D9" w:rsidRPr="006234AA">
        <w:rPr>
          <w:sz w:val="24"/>
          <w:szCs w:val="24"/>
        </w:rPr>
        <w:t>Giá thanh toán</w:t>
      </w:r>
      <w:r w:rsidRPr="006234AA">
        <w:rPr>
          <w:sz w:val="24"/>
          <w:szCs w:val="24"/>
        </w:rPr>
        <w:t xml:space="preserve"> tương lai chỉ số × Hệ số nhân hợp đồng</w:t>
      </w:r>
    </w:p>
    <w:p w:rsidR="00DB0200" w:rsidRPr="006234AA" w:rsidRDefault="00DB0200" w:rsidP="003C0546">
      <w:pPr>
        <w:tabs>
          <w:tab w:val="left" w:pos="426"/>
        </w:tabs>
        <w:spacing w:after="120"/>
        <w:rPr>
          <w:sz w:val="24"/>
          <w:szCs w:val="24"/>
        </w:rPr>
      </w:pPr>
      <w:r w:rsidRPr="006234AA">
        <w:rPr>
          <w:sz w:val="24"/>
          <w:szCs w:val="24"/>
        </w:rPr>
        <w:t>+ Đối với hợp đồng tương lai trái phiếu chính phủ thanh toán bằng tiền:</w:t>
      </w:r>
    </w:p>
    <w:p w:rsidR="00DB0200" w:rsidRPr="006234AA" w:rsidRDefault="00DB0200" w:rsidP="003C0546">
      <w:pPr>
        <w:tabs>
          <w:tab w:val="left" w:pos="426"/>
        </w:tabs>
        <w:spacing w:after="120"/>
        <w:rPr>
          <w:sz w:val="24"/>
          <w:szCs w:val="24"/>
        </w:rPr>
      </w:pPr>
      <w:r w:rsidRPr="006234AA">
        <w:rPr>
          <w:sz w:val="24"/>
          <w:szCs w:val="24"/>
        </w:rPr>
        <w:t xml:space="preserve">Giá trị cam kết = </w:t>
      </w:r>
      <w:r w:rsidR="000A65D9" w:rsidRPr="006234AA">
        <w:rPr>
          <w:sz w:val="24"/>
          <w:szCs w:val="24"/>
        </w:rPr>
        <w:t>Giá thanh toán</w:t>
      </w:r>
      <w:r w:rsidRPr="006234AA">
        <w:rPr>
          <w:sz w:val="24"/>
          <w:szCs w:val="24"/>
        </w:rPr>
        <w:t xml:space="preserve"> tương lai trái phiếu chính phủ × Hệ số nhân hợp đồng</w:t>
      </w:r>
    </w:p>
    <w:p w:rsidR="00DB0200" w:rsidRPr="006234AA" w:rsidRDefault="00DB0200" w:rsidP="003C0546">
      <w:pPr>
        <w:tabs>
          <w:tab w:val="left" w:pos="426"/>
        </w:tabs>
        <w:spacing w:after="120"/>
        <w:rPr>
          <w:sz w:val="24"/>
          <w:szCs w:val="24"/>
        </w:rPr>
      </w:pPr>
      <w:r w:rsidRPr="006234AA">
        <w:rPr>
          <w:sz w:val="24"/>
          <w:szCs w:val="24"/>
        </w:rPr>
        <w:t>+ Đối với hợp đồng tương lai trái phiếu chính phủ chuyển giao vật chất:</w:t>
      </w:r>
    </w:p>
    <w:p w:rsidR="00DB0200" w:rsidRPr="006234AA" w:rsidRDefault="00DB0200" w:rsidP="003C0546">
      <w:pPr>
        <w:tabs>
          <w:tab w:val="left" w:pos="426"/>
        </w:tabs>
        <w:spacing w:after="120"/>
        <w:rPr>
          <w:sz w:val="24"/>
          <w:szCs w:val="24"/>
        </w:rPr>
      </w:pPr>
      <w:r w:rsidRPr="006234AA">
        <w:rPr>
          <w:sz w:val="24"/>
          <w:szCs w:val="24"/>
        </w:rPr>
        <w:t>Giá trị cam kết = Tổng giá trị thị trường của các trái phiếu chuyển giao cho hợp đồng tương lai trái phiếu chính phủ</w:t>
      </w:r>
    </w:p>
    <w:p w:rsidR="00DB0200" w:rsidRPr="006234AA" w:rsidRDefault="00DB0200" w:rsidP="003C0546">
      <w:pPr>
        <w:tabs>
          <w:tab w:val="left" w:pos="426"/>
        </w:tabs>
        <w:spacing w:after="120"/>
        <w:rPr>
          <w:sz w:val="24"/>
          <w:szCs w:val="24"/>
        </w:rPr>
      </w:pPr>
      <w:r w:rsidRPr="006234AA">
        <w:rPr>
          <w:b/>
          <w:sz w:val="24"/>
          <w:szCs w:val="24"/>
        </w:rPr>
        <w:t>2.  Giá trị tài sản tiềm ẩn rủi ro trong hoạt động giao dịch chứng khoán</w:t>
      </w:r>
    </w:p>
    <w:p w:rsidR="00DB0200" w:rsidRPr="006234AA" w:rsidRDefault="00DB0200" w:rsidP="003C0546">
      <w:pPr>
        <w:tabs>
          <w:tab w:val="left" w:pos="1080"/>
        </w:tabs>
        <w:spacing w:after="120"/>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
        <w:gridCol w:w="3207"/>
        <w:gridCol w:w="5386"/>
      </w:tblGrid>
      <w:tr w:rsidR="00DB0200" w:rsidRPr="006234AA" w:rsidTr="00D60CD2">
        <w:tc>
          <w:tcPr>
            <w:tcW w:w="1296" w:type="dxa"/>
          </w:tcPr>
          <w:p w:rsidR="00DB0200" w:rsidRPr="006234AA" w:rsidRDefault="00DB0200" w:rsidP="003C0546">
            <w:pPr>
              <w:tabs>
                <w:tab w:val="left" w:pos="1080"/>
              </w:tabs>
              <w:spacing w:after="120"/>
              <w:rPr>
                <w:b/>
                <w:sz w:val="24"/>
                <w:szCs w:val="24"/>
              </w:rPr>
            </w:pPr>
            <w:r w:rsidRPr="006234AA">
              <w:rPr>
                <w:b/>
                <w:sz w:val="24"/>
                <w:szCs w:val="24"/>
              </w:rPr>
              <w:t>STT</w:t>
            </w:r>
          </w:p>
        </w:tc>
        <w:tc>
          <w:tcPr>
            <w:tcW w:w="3207" w:type="dxa"/>
          </w:tcPr>
          <w:p w:rsidR="00DB0200" w:rsidRPr="006234AA" w:rsidRDefault="00DB0200" w:rsidP="003C0546">
            <w:pPr>
              <w:tabs>
                <w:tab w:val="left" w:pos="1080"/>
              </w:tabs>
              <w:spacing w:after="120"/>
              <w:rPr>
                <w:b/>
                <w:sz w:val="24"/>
                <w:szCs w:val="24"/>
              </w:rPr>
            </w:pPr>
            <w:r w:rsidRPr="006234AA">
              <w:rPr>
                <w:b/>
                <w:sz w:val="24"/>
                <w:szCs w:val="24"/>
              </w:rPr>
              <w:t>Thời gian</w:t>
            </w:r>
          </w:p>
        </w:tc>
        <w:tc>
          <w:tcPr>
            <w:tcW w:w="5386" w:type="dxa"/>
          </w:tcPr>
          <w:p w:rsidR="00DB0200" w:rsidRPr="006234AA" w:rsidRDefault="00DB0200" w:rsidP="003C0546">
            <w:pPr>
              <w:tabs>
                <w:tab w:val="left" w:pos="1080"/>
              </w:tabs>
              <w:spacing w:after="120"/>
              <w:rPr>
                <w:b/>
                <w:sz w:val="24"/>
                <w:szCs w:val="24"/>
              </w:rPr>
            </w:pPr>
            <w:r w:rsidRPr="006234AA">
              <w:rPr>
                <w:b/>
                <w:sz w:val="24"/>
                <w:szCs w:val="24"/>
              </w:rPr>
              <w:t>Giá trị tài sản tiềm ẩn rủi ro</w:t>
            </w:r>
          </w:p>
        </w:tc>
      </w:tr>
      <w:tr w:rsidR="00DB0200" w:rsidRPr="006234AA" w:rsidTr="00D60CD2">
        <w:tc>
          <w:tcPr>
            <w:tcW w:w="9889" w:type="dxa"/>
            <w:gridSpan w:val="3"/>
            <w:shd w:val="clear" w:color="auto" w:fill="EEECE1"/>
          </w:tcPr>
          <w:p w:rsidR="00DB0200" w:rsidRPr="006234AA" w:rsidRDefault="00DB0200" w:rsidP="003C0546">
            <w:pPr>
              <w:tabs>
                <w:tab w:val="left" w:pos="1080"/>
              </w:tabs>
              <w:spacing w:after="120"/>
              <w:rPr>
                <w:b/>
                <w:sz w:val="24"/>
                <w:szCs w:val="24"/>
              </w:rPr>
            </w:pPr>
            <w:r w:rsidRPr="006234AA">
              <w:rPr>
                <w:b/>
                <w:sz w:val="24"/>
                <w:szCs w:val="24"/>
              </w:rPr>
              <w:t>A – Đối với các giao dịch bán chứng khoán (bên bán là tổ chức kinh doanh chứng khoán hoặc khách hàng của tổ chức kinh doanh chứng khoán trong hoạt động môi giới)</w:t>
            </w:r>
          </w:p>
        </w:tc>
      </w:tr>
      <w:tr w:rsidR="00DB0200" w:rsidRPr="006234AA" w:rsidTr="00D60CD2">
        <w:tc>
          <w:tcPr>
            <w:tcW w:w="1296" w:type="dxa"/>
            <w:vAlign w:val="center"/>
          </w:tcPr>
          <w:p w:rsidR="00DB0200" w:rsidRPr="006234AA" w:rsidRDefault="00DB0200" w:rsidP="003C0546">
            <w:pPr>
              <w:tabs>
                <w:tab w:val="left" w:pos="1080"/>
              </w:tabs>
              <w:spacing w:after="120"/>
              <w:jc w:val="center"/>
              <w:rPr>
                <w:sz w:val="24"/>
                <w:szCs w:val="24"/>
              </w:rPr>
            </w:pPr>
            <w:r w:rsidRPr="006234AA">
              <w:rPr>
                <w:sz w:val="24"/>
                <w:szCs w:val="24"/>
              </w:rPr>
              <w:t>1.</w:t>
            </w:r>
          </w:p>
        </w:tc>
        <w:tc>
          <w:tcPr>
            <w:tcW w:w="3207" w:type="dxa"/>
          </w:tcPr>
          <w:p w:rsidR="00DB0200" w:rsidRPr="006234AA" w:rsidRDefault="00DB0200" w:rsidP="003C0546">
            <w:pPr>
              <w:tabs>
                <w:tab w:val="left" w:pos="1080"/>
              </w:tabs>
              <w:spacing w:after="120"/>
              <w:ind w:firstLine="0"/>
              <w:rPr>
                <w:sz w:val="24"/>
                <w:szCs w:val="24"/>
              </w:rPr>
            </w:pPr>
            <w:r w:rsidRPr="006234AA">
              <w:rPr>
                <w:sz w:val="24"/>
                <w:szCs w:val="24"/>
              </w:rPr>
              <w:t xml:space="preserve">Trước thời hạn nhận thanh toán </w:t>
            </w:r>
          </w:p>
        </w:tc>
        <w:tc>
          <w:tcPr>
            <w:tcW w:w="5386" w:type="dxa"/>
            <w:vAlign w:val="center"/>
          </w:tcPr>
          <w:p w:rsidR="00DB0200" w:rsidRPr="006234AA" w:rsidRDefault="00DB0200" w:rsidP="003C0546">
            <w:pPr>
              <w:tabs>
                <w:tab w:val="left" w:pos="1080"/>
              </w:tabs>
              <w:spacing w:after="120"/>
              <w:rPr>
                <w:sz w:val="24"/>
                <w:szCs w:val="24"/>
              </w:rPr>
            </w:pPr>
            <w:r w:rsidRPr="006234AA">
              <w:rPr>
                <w:sz w:val="24"/>
                <w:szCs w:val="24"/>
              </w:rPr>
              <w:t>0</w:t>
            </w:r>
          </w:p>
        </w:tc>
      </w:tr>
      <w:tr w:rsidR="00DB0200" w:rsidRPr="006234AA" w:rsidTr="00D60CD2">
        <w:tc>
          <w:tcPr>
            <w:tcW w:w="1296" w:type="dxa"/>
            <w:vMerge w:val="restart"/>
            <w:vAlign w:val="center"/>
          </w:tcPr>
          <w:p w:rsidR="00DB0200" w:rsidRPr="006234AA" w:rsidRDefault="00DB0200" w:rsidP="003C0546">
            <w:pPr>
              <w:tabs>
                <w:tab w:val="left" w:pos="1080"/>
              </w:tabs>
              <w:spacing w:after="120"/>
              <w:jc w:val="center"/>
              <w:rPr>
                <w:sz w:val="24"/>
                <w:szCs w:val="24"/>
              </w:rPr>
            </w:pPr>
            <w:r w:rsidRPr="006234AA">
              <w:rPr>
                <w:sz w:val="24"/>
                <w:szCs w:val="24"/>
              </w:rPr>
              <w:t>2.</w:t>
            </w:r>
          </w:p>
        </w:tc>
        <w:tc>
          <w:tcPr>
            <w:tcW w:w="3207" w:type="dxa"/>
            <w:vMerge w:val="restart"/>
          </w:tcPr>
          <w:p w:rsidR="00DB0200" w:rsidRPr="006234AA" w:rsidRDefault="00DB0200" w:rsidP="003C0546">
            <w:pPr>
              <w:tabs>
                <w:tab w:val="left" w:pos="1080"/>
              </w:tabs>
              <w:spacing w:after="120"/>
              <w:ind w:firstLine="0"/>
              <w:rPr>
                <w:sz w:val="24"/>
                <w:szCs w:val="24"/>
              </w:rPr>
            </w:pPr>
          </w:p>
          <w:p w:rsidR="00DB0200" w:rsidRPr="006234AA" w:rsidRDefault="00DB0200" w:rsidP="003C0546">
            <w:pPr>
              <w:tabs>
                <w:tab w:val="left" w:pos="1080"/>
              </w:tabs>
              <w:spacing w:after="120"/>
              <w:ind w:firstLine="0"/>
              <w:rPr>
                <w:sz w:val="24"/>
                <w:szCs w:val="24"/>
              </w:rPr>
            </w:pPr>
            <w:r w:rsidRPr="006234AA">
              <w:rPr>
                <w:sz w:val="24"/>
                <w:szCs w:val="24"/>
              </w:rPr>
              <w:t xml:space="preserve">Sau thời hạn nhận thanh toán </w:t>
            </w:r>
          </w:p>
          <w:p w:rsidR="00DB0200" w:rsidRPr="006234AA" w:rsidRDefault="00DB0200" w:rsidP="003C0546">
            <w:pPr>
              <w:tabs>
                <w:tab w:val="left" w:pos="1080"/>
              </w:tabs>
              <w:spacing w:after="120"/>
              <w:ind w:firstLine="0"/>
              <w:rPr>
                <w:sz w:val="24"/>
                <w:szCs w:val="24"/>
              </w:rPr>
            </w:pPr>
          </w:p>
        </w:tc>
        <w:tc>
          <w:tcPr>
            <w:tcW w:w="5386" w:type="dxa"/>
          </w:tcPr>
          <w:p w:rsidR="00DB0200" w:rsidRPr="006234AA" w:rsidRDefault="00DB0200" w:rsidP="003C0546">
            <w:pPr>
              <w:tabs>
                <w:tab w:val="left" w:pos="1080"/>
              </w:tabs>
              <w:spacing w:after="120"/>
              <w:ind w:firstLine="0"/>
              <w:rPr>
                <w:sz w:val="24"/>
                <w:szCs w:val="24"/>
              </w:rPr>
            </w:pPr>
            <m:oMath>
              <m:r>
                <m:rPr>
                  <m:sty m:val="p"/>
                </m:rPr>
                <w:rPr>
                  <w:rFonts w:ascii="Cambria Math" w:hAnsi="Cambria Math"/>
                  <w:sz w:val="22"/>
                </w:rPr>
                <m:t>Giá trị thị trường của Hợp đồng</m:t>
              </m:r>
            </m:oMath>
            <w:r w:rsidRPr="006234AA">
              <w:rPr>
                <w:sz w:val="24"/>
                <w:szCs w:val="24"/>
              </w:rPr>
              <w:t xml:space="preserve"> (trong trường hợp Giá thị trường thấp hơn Giá giao dich) </w:t>
            </w:r>
          </w:p>
        </w:tc>
      </w:tr>
      <w:tr w:rsidR="00DB0200" w:rsidRPr="006234AA" w:rsidTr="00D60CD2">
        <w:tc>
          <w:tcPr>
            <w:tcW w:w="1296" w:type="dxa"/>
            <w:vMerge/>
          </w:tcPr>
          <w:p w:rsidR="00DB0200" w:rsidRPr="006234AA" w:rsidRDefault="00DB0200" w:rsidP="003C0546">
            <w:pPr>
              <w:pStyle w:val="ListParagraph"/>
              <w:numPr>
                <w:ilvl w:val="0"/>
                <w:numId w:val="12"/>
              </w:numPr>
              <w:tabs>
                <w:tab w:val="left" w:pos="1080"/>
              </w:tabs>
              <w:spacing w:after="120"/>
              <w:contextualSpacing/>
              <w:jc w:val="left"/>
              <w:rPr>
                <w:b/>
                <w:sz w:val="24"/>
                <w:szCs w:val="24"/>
              </w:rPr>
            </w:pPr>
          </w:p>
        </w:tc>
        <w:tc>
          <w:tcPr>
            <w:tcW w:w="3207" w:type="dxa"/>
            <w:vMerge/>
          </w:tcPr>
          <w:p w:rsidR="00DB0200" w:rsidRPr="006234AA" w:rsidRDefault="00DB0200" w:rsidP="003C0546">
            <w:pPr>
              <w:pStyle w:val="ListParagraph"/>
              <w:tabs>
                <w:tab w:val="left" w:pos="1080"/>
              </w:tabs>
              <w:spacing w:after="120"/>
              <w:rPr>
                <w:sz w:val="24"/>
                <w:szCs w:val="24"/>
              </w:rPr>
            </w:pPr>
          </w:p>
        </w:tc>
        <w:tc>
          <w:tcPr>
            <w:tcW w:w="5386" w:type="dxa"/>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 xml:space="preserve">0 (trong trường hợp Giá thị trường cao hơn Giá giao dịch) </w:t>
            </w:r>
          </w:p>
        </w:tc>
      </w:tr>
      <w:tr w:rsidR="00DB0200" w:rsidRPr="006234AA" w:rsidTr="00D60CD2">
        <w:tc>
          <w:tcPr>
            <w:tcW w:w="9889" w:type="dxa"/>
            <w:gridSpan w:val="3"/>
            <w:shd w:val="clear" w:color="auto" w:fill="EEECE1"/>
          </w:tcPr>
          <w:p w:rsidR="00DB0200" w:rsidRPr="006234AA" w:rsidRDefault="00DB0200" w:rsidP="003C0546">
            <w:pPr>
              <w:tabs>
                <w:tab w:val="left" w:pos="1080"/>
              </w:tabs>
              <w:spacing w:after="120"/>
              <w:rPr>
                <w:b/>
                <w:sz w:val="24"/>
                <w:szCs w:val="24"/>
                <w:lang w:val="nl-NL"/>
              </w:rPr>
            </w:pPr>
            <w:r w:rsidRPr="006234AA">
              <w:rPr>
                <w:b/>
                <w:sz w:val="24"/>
                <w:szCs w:val="24"/>
                <w:lang w:val="nl-NL"/>
              </w:rPr>
              <w:t>B – Đối với các giao dịch mua chứng khoán (bên mua là tổ chức kinh doanh chứng khoán hoặc khách hàng của tổ chức kinh doanh chứng khoán)</w:t>
            </w:r>
          </w:p>
        </w:tc>
      </w:tr>
      <w:tr w:rsidR="00DB0200" w:rsidRPr="006234AA" w:rsidTr="00D60CD2">
        <w:tc>
          <w:tcPr>
            <w:tcW w:w="1296" w:type="dxa"/>
            <w:vAlign w:val="center"/>
          </w:tcPr>
          <w:p w:rsidR="00DB0200" w:rsidRPr="006234AA" w:rsidRDefault="00DB0200" w:rsidP="003C0546">
            <w:pPr>
              <w:tabs>
                <w:tab w:val="left" w:pos="1080"/>
              </w:tabs>
              <w:spacing w:after="120"/>
              <w:jc w:val="center"/>
              <w:rPr>
                <w:sz w:val="24"/>
                <w:szCs w:val="24"/>
              </w:rPr>
            </w:pPr>
            <w:r w:rsidRPr="006234AA">
              <w:rPr>
                <w:sz w:val="24"/>
                <w:szCs w:val="24"/>
              </w:rPr>
              <w:t>1.</w:t>
            </w:r>
          </w:p>
        </w:tc>
        <w:tc>
          <w:tcPr>
            <w:tcW w:w="3207" w:type="dxa"/>
          </w:tcPr>
          <w:p w:rsidR="00DB0200" w:rsidRPr="006234AA" w:rsidRDefault="00DB0200" w:rsidP="003C0546">
            <w:pPr>
              <w:tabs>
                <w:tab w:val="left" w:pos="1080"/>
              </w:tabs>
              <w:spacing w:after="120"/>
              <w:ind w:firstLine="0"/>
              <w:rPr>
                <w:sz w:val="24"/>
                <w:szCs w:val="24"/>
              </w:rPr>
            </w:pPr>
            <w:r w:rsidRPr="006234AA">
              <w:rPr>
                <w:sz w:val="24"/>
                <w:szCs w:val="24"/>
              </w:rPr>
              <w:t>Trước thời hạn nhận chuyển giao chứng khoán</w:t>
            </w:r>
          </w:p>
        </w:tc>
        <w:tc>
          <w:tcPr>
            <w:tcW w:w="5386" w:type="dxa"/>
            <w:vAlign w:val="center"/>
          </w:tcPr>
          <w:p w:rsidR="00DB0200" w:rsidRPr="006234AA" w:rsidRDefault="00DB0200" w:rsidP="003C0546">
            <w:pPr>
              <w:tabs>
                <w:tab w:val="left" w:pos="1080"/>
              </w:tabs>
              <w:spacing w:after="120"/>
              <w:rPr>
                <w:sz w:val="24"/>
                <w:szCs w:val="24"/>
              </w:rPr>
            </w:pPr>
            <w:r w:rsidRPr="006234AA">
              <w:rPr>
                <w:sz w:val="24"/>
                <w:szCs w:val="24"/>
              </w:rPr>
              <w:t>0</w:t>
            </w:r>
          </w:p>
        </w:tc>
      </w:tr>
      <w:tr w:rsidR="00DB0200" w:rsidRPr="006234AA" w:rsidTr="00D60CD2">
        <w:tc>
          <w:tcPr>
            <w:tcW w:w="1296" w:type="dxa"/>
            <w:vMerge w:val="restart"/>
            <w:vAlign w:val="center"/>
          </w:tcPr>
          <w:p w:rsidR="00DB0200" w:rsidRPr="006234AA" w:rsidRDefault="00DB0200" w:rsidP="003C0546">
            <w:pPr>
              <w:tabs>
                <w:tab w:val="left" w:pos="1080"/>
              </w:tabs>
              <w:spacing w:after="120"/>
              <w:jc w:val="center"/>
              <w:rPr>
                <w:sz w:val="24"/>
                <w:szCs w:val="24"/>
              </w:rPr>
            </w:pPr>
            <w:r w:rsidRPr="006234AA">
              <w:rPr>
                <w:sz w:val="24"/>
                <w:szCs w:val="24"/>
              </w:rPr>
              <w:t>2.</w:t>
            </w:r>
          </w:p>
        </w:tc>
        <w:tc>
          <w:tcPr>
            <w:tcW w:w="3207" w:type="dxa"/>
            <w:vMerge w:val="restart"/>
          </w:tcPr>
          <w:p w:rsidR="00DB0200" w:rsidRPr="006234AA" w:rsidRDefault="00DB0200" w:rsidP="003C0546">
            <w:pPr>
              <w:tabs>
                <w:tab w:val="left" w:pos="1080"/>
              </w:tabs>
              <w:spacing w:after="120"/>
              <w:rPr>
                <w:sz w:val="24"/>
                <w:szCs w:val="24"/>
              </w:rPr>
            </w:pPr>
          </w:p>
          <w:p w:rsidR="00DB0200" w:rsidRPr="006234AA" w:rsidRDefault="00DB0200" w:rsidP="003C0546">
            <w:pPr>
              <w:tabs>
                <w:tab w:val="left" w:pos="1080"/>
                <w:tab w:val="left" w:pos="1404"/>
                <w:tab w:val="left" w:pos="1614"/>
              </w:tabs>
              <w:spacing w:after="120"/>
              <w:ind w:firstLine="0"/>
              <w:rPr>
                <w:sz w:val="24"/>
                <w:szCs w:val="24"/>
              </w:rPr>
            </w:pPr>
            <w:r w:rsidRPr="006234AA">
              <w:rPr>
                <w:sz w:val="24"/>
                <w:szCs w:val="24"/>
              </w:rPr>
              <w:lastRenderedPageBreak/>
              <w:t>Sau thời hạn nhận chuyển giao chứng khoán</w:t>
            </w:r>
          </w:p>
        </w:tc>
        <w:tc>
          <w:tcPr>
            <w:tcW w:w="5386" w:type="dxa"/>
          </w:tcPr>
          <w:p w:rsidR="00DB0200" w:rsidRPr="006234AA" w:rsidRDefault="00DB0200" w:rsidP="003C0546">
            <w:pPr>
              <w:tabs>
                <w:tab w:val="left" w:pos="1080"/>
              </w:tabs>
              <w:spacing w:after="120"/>
              <w:ind w:firstLine="0"/>
              <w:rPr>
                <w:sz w:val="24"/>
                <w:szCs w:val="24"/>
              </w:rPr>
            </w:pPr>
            <m:oMath>
              <m:r>
                <m:rPr>
                  <m:sty m:val="p"/>
                </m:rPr>
                <w:rPr>
                  <w:rFonts w:ascii="Cambria Math" w:hAnsi="Cambria Math"/>
                  <w:sz w:val="22"/>
                </w:rPr>
                <w:lastRenderedPageBreak/>
                <m:t>Giá trị thị trường của Hợp đồng</m:t>
              </m:r>
            </m:oMath>
            <w:r w:rsidRPr="006234AA">
              <w:rPr>
                <w:sz w:val="24"/>
                <w:szCs w:val="24"/>
              </w:rPr>
              <w:t xml:space="preserve"> (trong trường hợp Giá </w:t>
            </w:r>
            <w:r w:rsidRPr="006234AA">
              <w:rPr>
                <w:sz w:val="24"/>
                <w:szCs w:val="24"/>
              </w:rPr>
              <w:lastRenderedPageBreak/>
              <w:t xml:space="preserve">thị trường cao hơn Giá giao dich) </w:t>
            </w:r>
          </w:p>
        </w:tc>
      </w:tr>
      <w:tr w:rsidR="00DB0200" w:rsidRPr="006234AA" w:rsidTr="00D60CD2">
        <w:tc>
          <w:tcPr>
            <w:tcW w:w="1296" w:type="dxa"/>
            <w:vMerge/>
          </w:tcPr>
          <w:p w:rsidR="00DB0200" w:rsidRPr="006234AA" w:rsidRDefault="00DB0200" w:rsidP="003C0546">
            <w:pPr>
              <w:pStyle w:val="ListParagraph"/>
              <w:numPr>
                <w:ilvl w:val="0"/>
                <w:numId w:val="12"/>
              </w:numPr>
              <w:tabs>
                <w:tab w:val="left" w:pos="1080"/>
              </w:tabs>
              <w:spacing w:after="120"/>
              <w:contextualSpacing/>
              <w:jc w:val="left"/>
              <w:rPr>
                <w:b/>
                <w:sz w:val="24"/>
                <w:szCs w:val="24"/>
              </w:rPr>
            </w:pPr>
          </w:p>
        </w:tc>
        <w:tc>
          <w:tcPr>
            <w:tcW w:w="3207" w:type="dxa"/>
            <w:vMerge/>
          </w:tcPr>
          <w:p w:rsidR="00DB0200" w:rsidRPr="006234AA" w:rsidRDefault="00DB0200" w:rsidP="003C0546">
            <w:pPr>
              <w:pStyle w:val="ListParagraph"/>
              <w:tabs>
                <w:tab w:val="left" w:pos="1080"/>
              </w:tabs>
              <w:spacing w:after="120"/>
              <w:rPr>
                <w:sz w:val="24"/>
                <w:szCs w:val="24"/>
              </w:rPr>
            </w:pPr>
          </w:p>
        </w:tc>
        <w:tc>
          <w:tcPr>
            <w:tcW w:w="5386" w:type="dxa"/>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 xml:space="preserve">0 (trong trường hợp Giá thị trường cao hơn Giá giao dịch) </w:t>
            </w:r>
          </w:p>
        </w:tc>
      </w:tr>
    </w:tbl>
    <w:p w:rsidR="00DB0200" w:rsidRPr="006234AA" w:rsidRDefault="00DB0200" w:rsidP="003C0546">
      <w:pPr>
        <w:tabs>
          <w:tab w:val="left" w:pos="426"/>
        </w:tabs>
        <w:spacing w:after="120"/>
        <w:rPr>
          <w:b/>
          <w:sz w:val="24"/>
          <w:szCs w:val="24"/>
          <w:lang w:val="nl-NL"/>
        </w:rPr>
      </w:pPr>
      <w:r w:rsidRPr="006234AA">
        <w:rPr>
          <w:b/>
          <w:sz w:val="24"/>
          <w:szCs w:val="24"/>
          <w:lang w:val="nl-NL"/>
        </w:rPr>
        <w:tab/>
        <w:t xml:space="preserve">Ghi chú: </w:t>
      </w:r>
      <w:r w:rsidRPr="006234AA">
        <w:rPr>
          <w:sz w:val="24"/>
          <w:szCs w:val="24"/>
          <w:lang w:val="nl-NL"/>
        </w:rPr>
        <w:t>Thời hạn thanh toán/nhận chuyển giao chứng khoán</w:t>
      </w:r>
      <w:r w:rsidRPr="006234AA">
        <w:rPr>
          <w:b/>
          <w:sz w:val="24"/>
          <w:szCs w:val="24"/>
          <w:lang w:val="nl-NL"/>
        </w:rPr>
        <w:t xml:space="preserve"> </w:t>
      </w:r>
      <w:r w:rsidRPr="006234AA">
        <w:rPr>
          <w:sz w:val="24"/>
          <w:szCs w:val="24"/>
          <w:lang w:val="nl-NL"/>
        </w:rPr>
        <w:t>là T+3 (đối với cổ phiếu niêm yết), T+1 (đối với trái phiếu niêm yết; hoặc T+n (đối với các giao dịch thỏa thuận ngoài hệ thống giao dịch trong n theo thỏa thuận của hai bên);</w:t>
      </w:r>
    </w:p>
    <w:p w:rsidR="00DB0200" w:rsidRPr="006234AA" w:rsidRDefault="00DB0200" w:rsidP="003C0546">
      <w:pPr>
        <w:tabs>
          <w:tab w:val="left" w:pos="1080"/>
        </w:tabs>
        <w:spacing w:after="120"/>
        <w:ind w:firstLine="0"/>
        <w:rPr>
          <w:b/>
          <w:sz w:val="24"/>
          <w:szCs w:val="24"/>
          <w:lang w:val="nl-NL"/>
        </w:rPr>
      </w:pPr>
    </w:p>
    <w:p w:rsidR="00DB0200" w:rsidRPr="006234AA" w:rsidRDefault="00DB0200" w:rsidP="003C0546">
      <w:pPr>
        <w:tabs>
          <w:tab w:val="left" w:pos="1080"/>
        </w:tabs>
        <w:spacing w:after="120"/>
        <w:ind w:firstLine="0"/>
        <w:rPr>
          <w:b/>
          <w:sz w:val="24"/>
          <w:szCs w:val="24"/>
          <w:lang w:val="nl-NL"/>
        </w:rPr>
      </w:pPr>
      <w:r w:rsidRPr="006234AA">
        <w:rPr>
          <w:b/>
          <w:sz w:val="24"/>
          <w:szCs w:val="24"/>
          <w:lang w:val="nl-NL"/>
        </w:rPr>
        <w:t>V</w:t>
      </w:r>
      <w:r w:rsidRPr="006234AA">
        <w:rPr>
          <w:b/>
          <w:sz w:val="24"/>
          <w:szCs w:val="24"/>
          <w:lang w:val="vi-VN"/>
        </w:rPr>
        <w:t xml:space="preserve">: </w:t>
      </w:r>
      <w:r w:rsidRPr="006234AA">
        <w:rPr>
          <w:b/>
          <w:sz w:val="24"/>
          <w:szCs w:val="24"/>
          <w:lang w:val="nl-NL"/>
        </w:rPr>
        <w:t>HỆ SỐ RỦI RO</w:t>
      </w:r>
      <w:r w:rsidRPr="006234AA">
        <w:rPr>
          <w:b/>
          <w:sz w:val="24"/>
          <w:szCs w:val="24"/>
          <w:lang w:val="vi-VN"/>
        </w:rPr>
        <w:t xml:space="preserve"> </w:t>
      </w:r>
    </w:p>
    <w:p w:rsidR="00DB0200" w:rsidRPr="006234AA" w:rsidRDefault="00DB0200" w:rsidP="003C0546">
      <w:pPr>
        <w:tabs>
          <w:tab w:val="left" w:pos="1080"/>
        </w:tabs>
        <w:spacing w:after="120"/>
        <w:jc w:val="center"/>
        <w:outlineLvl w:val="0"/>
        <w:rPr>
          <w:sz w:val="14"/>
          <w:szCs w:val="24"/>
          <w:lang w:val="nl-NL"/>
        </w:rPr>
      </w:pPr>
    </w:p>
    <w:p w:rsidR="00DB0200" w:rsidRPr="006234AA" w:rsidRDefault="00DB0200" w:rsidP="003C0546">
      <w:pPr>
        <w:tabs>
          <w:tab w:val="left" w:pos="1080"/>
        </w:tabs>
        <w:spacing w:after="120"/>
        <w:rPr>
          <w:b/>
          <w:sz w:val="24"/>
          <w:szCs w:val="24"/>
          <w:lang w:val="nl-NL"/>
        </w:rPr>
      </w:pPr>
      <w:r w:rsidRPr="006234AA">
        <w:rPr>
          <w:b/>
          <w:sz w:val="24"/>
          <w:szCs w:val="24"/>
          <w:lang w:val="nl-NL"/>
        </w:rPr>
        <w:t>1. Hệ số rủi ro thanh toán theo đối tác</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6561"/>
        <w:gridCol w:w="1560"/>
      </w:tblGrid>
      <w:tr w:rsidR="00DB0200" w:rsidRPr="006234AA" w:rsidTr="00D60CD2">
        <w:tc>
          <w:tcPr>
            <w:tcW w:w="918" w:type="dxa"/>
            <w:shd w:val="clear" w:color="auto" w:fill="D9D9D9"/>
          </w:tcPr>
          <w:p w:rsidR="00DB0200" w:rsidRPr="006234AA" w:rsidRDefault="00DB0200" w:rsidP="003C0546">
            <w:pPr>
              <w:tabs>
                <w:tab w:val="left" w:pos="1080"/>
              </w:tabs>
              <w:spacing w:after="120"/>
              <w:ind w:firstLine="0"/>
              <w:rPr>
                <w:b/>
                <w:sz w:val="24"/>
                <w:szCs w:val="24"/>
              </w:rPr>
            </w:pPr>
            <w:r w:rsidRPr="006234AA">
              <w:rPr>
                <w:b/>
                <w:sz w:val="24"/>
                <w:szCs w:val="24"/>
              </w:rPr>
              <w:t>STT</w:t>
            </w:r>
          </w:p>
        </w:tc>
        <w:tc>
          <w:tcPr>
            <w:tcW w:w="6561" w:type="dxa"/>
            <w:shd w:val="clear" w:color="auto" w:fill="D9D9D9"/>
          </w:tcPr>
          <w:p w:rsidR="00DB0200" w:rsidRPr="006234AA" w:rsidRDefault="00DB0200" w:rsidP="003C0546">
            <w:pPr>
              <w:tabs>
                <w:tab w:val="left" w:pos="1080"/>
              </w:tabs>
              <w:spacing w:after="120"/>
              <w:ind w:firstLine="0"/>
              <w:rPr>
                <w:b/>
                <w:sz w:val="24"/>
                <w:szCs w:val="24"/>
              </w:rPr>
            </w:pPr>
            <w:r w:rsidRPr="006234AA">
              <w:rPr>
                <w:b/>
                <w:sz w:val="24"/>
                <w:szCs w:val="24"/>
              </w:rPr>
              <w:t>Đối tác thanh toán cho tổ chức kinh doanh chứng khoán</w:t>
            </w:r>
          </w:p>
        </w:tc>
        <w:tc>
          <w:tcPr>
            <w:tcW w:w="1560" w:type="dxa"/>
            <w:shd w:val="clear" w:color="auto" w:fill="D9D9D9"/>
            <w:vAlign w:val="center"/>
          </w:tcPr>
          <w:p w:rsidR="00DB0200" w:rsidRPr="006234AA" w:rsidRDefault="00DB0200" w:rsidP="003C0546">
            <w:pPr>
              <w:tabs>
                <w:tab w:val="left" w:pos="1080"/>
              </w:tabs>
              <w:spacing w:after="120"/>
              <w:rPr>
                <w:b/>
                <w:sz w:val="24"/>
                <w:szCs w:val="24"/>
              </w:rPr>
            </w:pPr>
            <w:r w:rsidRPr="006234AA">
              <w:rPr>
                <w:b/>
                <w:sz w:val="24"/>
                <w:szCs w:val="24"/>
              </w:rPr>
              <w:t>Hệ số rủi ro thanh toán</w:t>
            </w:r>
          </w:p>
        </w:tc>
      </w:tr>
      <w:tr w:rsidR="00DB0200" w:rsidRPr="006234AA" w:rsidTr="00D60CD2">
        <w:tc>
          <w:tcPr>
            <w:tcW w:w="918" w:type="dxa"/>
            <w:vAlign w:val="center"/>
          </w:tcPr>
          <w:p w:rsidR="00DB0200" w:rsidRPr="006234AA" w:rsidRDefault="00DB0200" w:rsidP="003C0546">
            <w:pPr>
              <w:pStyle w:val="ListParagraph"/>
              <w:numPr>
                <w:ilvl w:val="0"/>
                <w:numId w:val="10"/>
              </w:numPr>
              <w:tabs>
                <w:tab w:val="left" w:pos="1080"/>
              </w:tabs>
              <w:spacing w:after="120"/>
              <w:contextualSpacing/>
              <w:jc w:val="left"/>
              <w:rPr>
                <w:sz w:val="24"/>
                <w:szCs w:val="24"/>
              </w:rPr>
            </w:pPr>
          </w:p>
        </w:tc>
        <w:tc>
          <w:tcPr>
            <w:tcW w:w="6561" w:type="dxa"/>
            <w:vAlign w:val="center"/>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 xml:space="preserve">Chính phủ, các tổ chức phát hành được Chính phủ bảo lãnh, Bộ Tài chính bảo lãnh, Ngân hàng Nhà nước, Chính phủ và Ngân hàng Trung ương các nước thuộc khối OECD; Ủy ban Nhân dân tỉnh, thành phố trực thuộc Trung ương; </w:t>
            </w:r>
          </w:p>
        </w:tc>
        <w:tc>
          <w:tcPr>
            <w:tcW w:w="1560" w:type="dxa"/>
            <w:vAlign w:val="center"/>
          </w:tcPr>
          <w:p w:rsidR="00DB0200" w:rsidRPr="006234AA" w:rsidRDefault="00DB0200" w:rsidP="003C0546">
            <w:pPr>
              <w:tabs>
                <w:tab w:val="left" w:pos="1080"/>
              </w:tabs>
              <w:spacing w:after="120"/>
              <w:ind w:firstLine="0"/>
              <w:rPr>
                <w:sz w:val="24"/>
                <w:szCs w:val="24"/>
              </w:rPr>
            </w:pPr>
            <w:r w:rsidRPr="006234AA">
              <w:rPr>
                <w:sz w:val="24"/>
                <w:szCs w:val="24"/>
              </w:rPr>
              <w:t>0%</w:t>
            </w:r>
          </w:p>
        </w:tc>
      </w:tr>
      <w:tr w:rsidR="00DB0200" w:rsidRPr="006234AA" w:rsidTr="00D60CD2">
        <w:trPr>
          <w:trHeight w:val="446"/>
        </w:trPr>
        <w:tc>
          <w:tcPr>
            <w:tcW w:w="918" w:type="dxa"/>
            <w:vAlign w:val="center"/>
          </w:tcPr>
          <w:p w:rsidR="00DB0200" w:rsidRPr="006234AA" w:rsidRDefault="00DB0200" w:rsidP="003C0546">
            <w:pPr>
              <w:pStyle w:val="ListParagraph"/>
              <w:numPr>
                <w:ilvl w:val="0"/>
                <w:numId w:val="10"/>
              </w:numPr>
              <w:tabs>
                <w:tab w:val="left" w:pos="1080"/>
              </w:tabs>
              <w:spacing w:after="120"/>
              <w:contextualSpacing/>
              <w:jc w:val="left"/>
              <w:rPr>
                <w:sz w:val="24"/>
                <w:szCs w:val="24"/>
              </w:rPr>
            </w:pPr>
          </w:p>
        </w:tc>
        <w:tc>
          <w:tcPr>
            <w:tcW w:w="6561" w:type="dxa"/>
            <w:vAlign w:val="center"/>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 xml:space="preserve">Sở Giao dịch Chứng khoán, Trung tâm Lưu ký Chứng khoán </w:t>
            </w:r>
          </w:p>
        </w:tc>
        <w:tc>
          <w:tcPr>
            <w:tcW w:w="1560" w:type="dxa"/>
            <w:vAlign w:val="center"/>
          </w:tcPr>
          <w:p w:rsidR="00DB0200" w:rsidRPr="006234AA" w:rsidRDefault="00DB0200" w:rsidP="003C0546">
            <w:pPr>
              <w:tabs>
                <w:tab w:val="left" w:pos="1080"/>
              </w:tabs>
              <w:spacing w:after="120"/>
              <w:ind w:firstLine="0"/>
              <w:rPr>
                <w:sz w:val="24"/>
                <w:szCs w:val="24"/>
              </w:rPr>
            </w:pPr>
            <w:r w:rsidRPr="006234AA">
              <w:rPr>
                <w:sz w:val="24"/>
                <w:szCs w:val="24"/>
              </w:rPr>
              <w:t>0,8%</w:t>
            </w:r>
          </w:p>
        </w:tc>
      </w:tr>
      <w:tr w:rsidR="00DB0200" w:rsidRPr="006234AA" w:rsidTr="00D60CD2">
        <w:tc>
          <w:tcPr>
            <w:tcW w:w="918" w:type="dxa"/>
            <w:vAlign w:val="center"/>
          </w:tcPr>
          <w:p w:rsidR="00DB0200" w:rsidRPr="006234AA" w:rsidRDefault="00DB0200" w:rsidP="003C0546">
            <w:pPr>
              <w:pStyle w:val="ListParagraph"/>
              <w:numPr>
                <w:ilvl w:val="0"/>
                <w:numId w:val="10"/>
              </w:numPr>
              <w:tabs>
                <w:tab w:val="left" w:pos="1080"/>
              </w:tabs>
              <w:spacing w:after="120"/>
              <w:contextualSpacing/>
              <w:jc w:val="left"/>
              <w:rPr>
                <w:sz w:val="24"/>
                <w:szCs w:val="24"/>
              </w:rPr>
            </w:pPr>
          </w:p>
        </w:tc>
        <w:tc>
          <w:tcPr>
            <w:tcW w:w="6561" w:type="dxa"/>
            <w:vAlign w:val="center"/>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Tổ chức tín dụng, tổ chức tài chính, tổ chức kinh doanh chứng khoán thành lập ở các nước thuộc khối OECD và có hệ số tín nhiệm đáp ứng các điều kiện khác theo quy định nội bộ của tổ chức kinh doanh chứng khoán</w:t>
            </w:r>
          </w:p>
        </w:tc>
        <w:tc>
          <w:tcPr>
            <w:tcW w:w="1560" w:type="dxa"/>
            <w:vAlign w:val="center"/>
          </w:tcPr>
          <w:p w:rsidR="00DB0200" w:rsidRPr="006234AA" w:rsidRDefault="00DB0200" w:rsidP="003C0546">
            <w:pPr>
              <w:tabs>
                <w:tab w:val="left" w:pos="1080"/>
              </w:tabs>
              <w:spacing w:after="120"/>
              <w:ind w:firstLine="0"/>
              <w:rPr>
                <w:sz w:val="24"/>
                <w:szCs w:val="24"/>
              </w:rPr>
            </w:pPr>
            <w:r w:rsidRPr="006234AA">
              <w:rPr>
                <w:sz w:val="24"/>
                <w:szCs w:val="24"/>
              </w:rPr>
              <w:t>3,2%</w:t>
            </w:r>
          </w:p>
        </w:tc>
      </w:tr>
      <w:tr w:rsidR="00DB0200" w:rsidRPr="006234AA" w:rsidTr="00D60CD2">
        <w:tc>
          <w:tcPr>
            <w:tcW w:w="918" w:type="dxa"/>
            <w:vAlign w:val="center"/>
          </w:tcPr>
          <w:p w:rsidR="00DB0200" w:rsidRPr="006234AA" w:rsidRDefault="00DB0200" w:rsidP="003C0546">
            <w:pPr>
              <w:pStyle w:val="ListParagraph"/>
              <w:numPr>
                <w:ilvl w:val="0"/>
                <w:numId w:val="10"/>
              </w:numPr>
              <w:tabs>
                <w:tab w:val="left" w:pos="1080"/>
              </w:tabs>
              <w:spacing w:after="120"/>
              <w:contextualSpacing/>
              <w:jc w:val="left"/>
              <w:rPr>
                <w:sz w:val="24"/>
                <w:szCs w:val="24"/>
              </w:rPr>
            </w:pPr>
          </w:p>
        </w:tc>
        <w:tc>
          <w:tcPr>
            <w:tcW w:w="6561" w:type="dxa"/>
            <w:vAlign w:val="center"/>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Tổ chức tín dụng, tổ chức tài chính, tổ chức kinh doanh chứng khoán thành lập ngoài các nước OECD; hoặc thành lập tại các nước thuộc khối OECD và không đáp ứng các điều kiện khác theo quy định nội bộ của tổ chức kinh doanh chứng khoán</w:t>
            </w:r>
          </w:p>
        </w:tc>
        <w:tc>
          <w:tcPr>
            <w:tcW w:w="1560" w:type="dxa"/>
            <w:vAlign w:val="center"/>
          </w:tcPr>
          <w:p w:rsidR="00DB0200" w:rsidRPr="006234AA" w:rsidRDefault="00DB0200" w:rsidP="003C0546">
            <w:pPr>
              <w:tabs>
                <w:tab w:val="left" w:pos="1080"/>
              </w:tabs>
              <w:spacing w:after="120"/>
              <w:ind w:firstLine="0"/>
              <w:rPr>
                <w:sz w:val="24"/>
                <w:szCs w:val="24"/>
              </w:rPr>
            </w:pPr>
            <w:r w:rsidRPr="006234AA">
              <w:rPr>
                <w:sz w:val="24"/>
                <w:szCs w:val="24"/>
              </w:rPr>
              <w:t>4,8%</w:t>
            </w:r>
          </w:p>
        </w:tc>
      </w:tr>
      <w:tr w:rsidR="00DB0200" w:rsidRPr="006234AA" w:rsidTr="00D60CD2">
        <w:tc>
          <w:tcPr>
            <w:tcW w:w="918" w:type="dxa"/>
            <w:vAlign w:val="center"/>
          </w:tcPr>
          <w:p w:rsidR="00DB0200" w:rsidRPr="006234AA" w:rsidRDefault="00DB0200" w:rsidP="003C0546">
            <w:pPr>
              <w:pStyle w:val="ListParagraph"/>
              <w:numPr>
                <w:ilvl w:val="0"/>
                <w:numId w:val="10"/>
              </w:numPr>
              <w:tabs>
                <w:tab w:val="left" w:pos="1080"/>
              </w:tabs>
              <w:spacing w:after="120"/>
              <w:contextualSpacing/>
              <w:jc w:val="left"/>
              <w:rPr>
                <w:sz w:val="24"/>
                <w:szCs w:val="24"/>
              </w:rPr>
            </w:pPr>
          </w:p>
        </w:tc>
        <w:tc>
          <w:tcPr>
            <w:tcW w:w="6561" w:type="dxa"/>
            <w:vAlign w:val="center"/>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 xml:space="preserve">Tổ chức tín dụng, tổ chức tài chính, tổ chức kinh doanh chứng khoán thành lập và hoạt động tại Việt Nam </w:t>
            </w:r>
          </w:p>
        </w:tc>
        <w:tc>
          <w:tcPr>
            <w:tcW w:w="1560" w:type="dxa"/>
            <w:vAlign w:val="center"/>
          </w:tcPr>
          <w:p w:rsidR="00DB0200" w:rsidRPr="006234AA" w:rsidRDefault="00DB0200" w:rsidP="003C0546">
            <w:pPr>
              <w:tabs>
                <w:tab w:val="left" w:pos="1080"/>
              </w:tabs>
              <w:spacing w:after="120"/>
              <w:ind w:firstLine="0"/>
              <w:rPr>
                <w:sz w:val="24"/>
                <w:szCs w:val="24"/>
              </w:rPr>
            </w:pPr>
            <w:r w:rsidRPr="006234AA">
              <w:rPr>
                <w:sz w:val="24"/>
                <w:szCs w:val="24"/>
              </w:rPr>
              <w:t>6%</w:t>
            </w:r>
          </w:p>
        </w:tc>
      </w:tr>
      <w:tr w:rsidR="00DB0200" w:rsidRPr="006234AA" w:rsidTr="00D60CD2">
        <w:trPr>
          <w:trHeight w:val="413"/>
        </w:trPr>
        <w:tc>
          <w:tcPr>
            <w:tcW w:w="918" w:type="dxa"/>
            <w:vAlign w:val="center"/>
          </w:tcPr>
          <w:p w:rsidR="00DB0200" w:rsidRPr="006234AA" w:rsidRDefault="00DB0200" w:rsidP="003C0546">
            <w:pPr>
              <w:pStyle w:val="ListParagraph"/>
              <w:numPr>
                <w:ilvl w:val="0"/>
                <w:numId w:val="10"/>
              </w:numPr>
              <w:tabs>
                <w:tab w:val="left" w:pos="1080"/>
              </w:tabs>
              <w:spacing w:after="120"/>
              <w:contextualSpacing/>
              <w:jc w:val="left"/>
              <w:rPr>
                <w:sz w:val="24"/>
                <w:szCs w:val="24"/>
              </w:rPr>
            </w:pPr>
          </w:p>
        </w:tc>
        <w:tc>
          <w:tcPr>
            <w:tcW w:w="6561" w:type="dxa"/>
            <w:vAlign w:val="center"/>
          </w:tcPr>
          <w:p w:rsidR="00DB0200" w:rsidRPr="006234AA" w:rsidRDefault="00DB0200" w:rsidP="003C0546">
            <w:pPr>
              <w:tabs>
                <w:tab w:val="left" w:pos="1080"/>
              </w:tabs>
              <w:spacing w:after="120"/>
              <w:ind w:firstLine="0"/>
              <w:rPr>
                <w:b/>
                <w:sz w:val="24"/>
                <w:szCs w:val="24"/>
                <w:lang w:val="nl-NL"/>
              </w:rPr>
            </w:pPr>
            <w:r w:rsidRPr="006234AA">
              <w:rPr>
                <w:sz w:val="24"/>
                <w:szCs w:val="24"/>
                <w:lang w:val="nl-NL"/>
              </w:rPr>
              <w:t xml:space="preserve">Các tổ chức, cá nhân khác </w:t>
            </w:r>
          </w:p>
        </w:tc>
        <w:tc>
          <w:tcPr>
            <w:tcW w:w="1560" w:type="dxa"/>
            <w:vAlign w:val="center"/>
          </w:tcPr>
          <w:p w:rsidR="00DB0200" w:rsidRPr="006234AA" w:rsidRDefault="00DB0200" w:rsidP="003C0546">
            <w:pPr>
              <w:tabs>
                <w:tab w:val="left" w:pos="1080"/>
              </w:tabs>
              <w:spacing w:after="120"/>
              <w:ind w:firstLine="0"/>
              <w:rPr>
                <w:sz w:val="24"/>
                <w:szCs w:val="24"/>
              </w:rPr>
            </w:pPr>
            <w:r w:rsidRPr="006234AA">
              <w:rPr>
                <w:sz w:val="24"/>
                <w:szCs w:val="24"/>
              </w:rPr>
              <w:t>8%</w:t>
            </w:r>
          </w:p>
        </w:tc>
      </w:tr>
    </w:tbl>
    <w:p w:rsidR="00DB0200" w:rsidRPr="006234AA" w:rsidRDefault="00DB0200" w:rsidP="003C0546">
      <w:pPr>
        <w:tabs>
          <w:tab w:val="left" w:pos="1080"/>
        </w:tabs>
        <w:spacing w:after="120"/>
        <w:rPr>
          <w:sz w:val="24"/>
          <w:szCs w:val="24"/>
        </w:rPr>
      </w:pPr>
    </w:p>
    <w:p w:rsidR="00DB0200" w:rsidRPr="006234AA" w:rsidRDefault="00DB0200" w:rsidP="003C0546">
      <w:pPr>
        <w:tabs>
          <w:tab w:val="left" w:pos="1080"/>
        </w:tabs>
        <w:spacing w:after="120"/>
        <w:rPr>
          <w:b/>
          <w:sz w:val="24"/>
          <w:szCs w:val="24"/>
        </w:rPr>
      </w:pPr>
      <w:r w:rsidRPr="006234AA">
        <w:rPr>
          <w:b/>
          <w:sz w:val="24"/>
          <w:szCs w:val="24"/>
        </w:rPr>
        <w:t>2. Hệ số rủi ro thanh toán  theo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
        <w:gridCol w:w="6491"/>
        <w:gridCol w:w="1677"/>
      </w:tblGrid>
      <w:tr w:rsidR="00DB0200" w:rsidRPr="006234AA" w:rsidTr="00D60CD2">
        <w:tc>
          <w:tcPr>
            <w:tcW w:w="847" w:type="dxa"/>
            <w:shd w:val="clear" w:color="auto" w:fill="D9D9D9"/>
          </w:tcPr>
          <w:p w:rsidR="00DB0200" w:rsidRPr="006234AA" w:rsidRDefault="00DB0200" w:rsidP="003C0546">
            <w:pPr>
              <w:tabs>
                <w:tab w:val="left" w:pos="1080"/>
              </w:tabs>
              <w:spacing w:after="120"/>
              <w:ind w:firstLine="0"/>
              <w:rPr>
                <w:b/>
                <w:sz w:val="24"/>
                <w:szCs w:val="24"/>
              </w:rPr>
            </w:pPr>
            <w:r w:rsidRPr="006234AA">
              <w:rPr>
                <w:b/>
                <w:sz w:val="24"/>
                <w:szCs w:val="24"/>
              </w:rPr>
              <w:t>STT</w:t>
            </w:r>
          </w:p>
        </w:tc>
        <w:tc>
          <w:tcPr>
            <w:tcW w:w="6491" w:type="dxa"/>
            <w:shd w:val="clear" w:color="auto" w:fill="D9D9D9"/>
          </w:tcPr>
          <w:p w:rsidR="00DB0200" w:rsidRPr="006234AA" w:rsidRDefault="00DB0200" w:rsidP="003C0546">
            <w:pPr>
              <w:tabs>
                <w:tab w:val="left" w:pos="1080"/>
              </w:tabs>
              <w:spacing w:after="120"/>
              <w:jc w:val="center"/>
              <w:rPr>
                <w:b/>
                <w:sz w:val="24"/>
                <w:szCs w:val="24"/>
              </w:rPr>
            </w:pPr>
            <w:r w:rsidRPr="006234AA">
              <w:rPr>
                <w:b/>
                <w:sz w:val="24"/>
                <w:szCs w:val="24"/>
              </w:rPr>
              <w:t>Thời gian quá hạn thanh toán, chuyển giao chứng khoán</w:t>
            </w:r>
          </w:p>
        </w:tc>
        <w:tc>
          <w:tcPr>
            <w:tcW w:w="1677" w:type="dxa"/>
            <w:shd w:val="clear" w:color="auto" w:fill="D9D9D9"/>
          </w:tcPr>
          <w:p w:rsidR="00DB0200" w:rsidRPr="006234AA" w:rsidRDefault="00DB0200" w:rsidP="003C0546">
            <w:pPr>
              <w:tabs>
                <w:tab w:val="left" w:pos="1080"/>
              </w:tabs>
              <w:spacing w:after="120"/>
              <w:ind w:firstLine="0"/>
              <w:rPr>
                <w:b/>
                <w:sz w:val="24"/>
                <w:szCs w:val="24"/>
              </w:rPr>
            </w:pPr>
            <w:r w:rsidRPr="006234AA">
              <w:rPr>
                <w:b/>
                <w:sz w:val="24"/>
                <w:szCs w:val="24"/>
              </w:rPr>
              <w:t>Hệ số rủi ro</w:t>
            </w:r>
          </w:p>
        </w:tc>
      </w:tr>
      <w:tr w:rsidR="00DB0200" w:rsidRPr="006234AA" w:rsidTr="00D60CD2">
        <w:trPr>
          <w:trHeight w:val="513"/>
        </w:trPr>
        <w:tc>
          <w:tcPr>
            <w:tcW w:w="847" w:type="dxa"/>
            <w:vAlign w:val="center"/>
          </w:tcPr>
          <w:p w:rsidR="00DB0200" w:rsidRPr="006234AA" w:rsidRDefault="00DB0200" w:rsidP="003C0546">
            <w:pPr>
              <w:tabs>
                <w:tab w:val="left" w:pos="1080"/>
              </w:tabs>
              <w:spacing w:after="120"/>
              <w:ind w:firstLine="0"/>
              <w:rPr>
                <w:sz w:val="24"/>
                <w:szCs w:val="24"/>
              </w:rPr>
            </w:pPr>
            <w:r w:rsidRPr="006234AA">
              <w:rPr>
                <w:sz w:val="24"/>
                <w:szCs w:val="24"/>
              </w:rPr>
              <w:t>1.</w:t>
            </w:r>
          </w:p>
        </w:tc>
        <w:tc>
          <w:tcPr>
            <w:tcW w:w="6491" w:type="dxa"/>
            <w:vAlign w:val="center"/>
          </w:tcPr>
          <w:p w:rsidR="00DB0200" w:rsidRPr="006234AA" w:rsidRDefault="00DB0200" w:rsidP="003C0546">
            <w:pPr>
              <w:tabs>
                <w:tab w:val="left" w:pos="1080"/>
              </w:tabs>
              <w:spacing w:after="120"/>
              <w:ind w:firstLine="0"/>
              <w:rPr>
                <w:sz w:val="24"/>
                <w:szCs w:val="24"/>
              </w:rPr>
            </w:pPr>
            <w:r w:rsidRPr="006234AA">
              <w:rPr>
                <w:sz w:val="24"/>
                <w:szCs w:val="24"/>
              </w:rPr>
              <w:t>0-15 ngày sau thời hạn thanh toán, chuyển giao chứng khoán</w:t>
            </w:r>
          </w:p>
        </w:tc>
        <w:tc>
          <w:tcPr>
            <w:tcW w:w="1677" w:type="dxa"/>
            <w:vAlign w:val="center"/>
          </w:tcPr>
          <w:p w:rsidR="00DB0200" w:rsidRPr="006234AA" w:rsidRDefault="00DB0200" w:rsidP="003C0546">
            <w:pPr>
              <w:tabs>
                <w:tab w:val="left" w:pos="1080"/>
              </w:tabs>
              <w:spacing w:after="120"/>
              <w:jc w:val="center"/>
              <w:rPr>
                <w:sz w:val="24"/>
                <w:szCs w:val="24"/>
              </w:rPr>
            </w:pPr>
            <w:r w:rsidRPr="006234AA">
              <w:rPr>
                <w:sz w:val="24"/>
                <w:szCs w:val="24"/>
              </w:rPr>
              <w:t>16%</w:t>
            </w:r>
          </w:p>
        </w:tc>
      </w:tr>
      <w:tr w:rsidR="00DB0200" w:rsidRPr="006234AA" w:rsidTr="00D60CD2">
        <w:trPr>
          <w:trHeight w:val="690"/>
        </w:trPr>
        <w:tc>
          <w:tcPr>
            <w:tcW w:w="847" w:type="dxa"/>
            <w:vAlign w:val="center"/>
          </w:tcPr>
          <w:p w:rsidR="00DB0200" w:rsidRPr="006234AA" w:rsidRDefault="00DB0200" w:rsidP="003C0546">
            <w:pPr>
              <w:tabs>
                <w:tab w:val="left" w:pos="1080"/>
              </w:tabs>
              <w:spacing w:after="120"/>
              <w:ind w:firstLine="0"/>
              <w:rPr>
                <w:sz w:val="24"/>
                <w:szCs w:val="24"/>
              </w:rPr>
            </w:pPr>
            <w:r w:rsidRPr="006234AA">
              <w:rPr>
                <w:sz w:val="24"/>
                <w:szCs w:val="24"/>
              </w:rPr>
              <w:t>2.</w:t>
            </w:r>
          </w:p>
        </w:tc>
        <w:tc>
          <w:tcPr>
            <w:tcW w:w="6491" w:type="dxa"/>
            <w:vAlign w:val="center"/>
          </w:tcPr>
          <w:p w:rsidR="00DB0200" w:rsidRPr="006234AA" w:rsidRDefault="00DB0200" w:rsidP="003C0546">
            <w:pPr>
              <w:tabs>
                <w:tab w:val="left" w:pos="1080"/>
              </w:tabs>
              <w:spacing w:after="120"/>
              <w:ind w:firstLine="0"/>
              <w:rPr>
                <w:sz w:val="24"/>
                <w:szCs w:val="24"/>
              </w:rPr>
            </w:pPr>
            <w:r w:rsidRPr="006234AA">
              <w:rPr>
                <w:sz w:val="24"/>
                <w:szCs w:val="24"/>
              </w:rPr>
              <w:t>16 – 30 ngày sau thời hạn thanh toán, chuyển giao chứng khoán</w:t>
            </w:r>
          </w:p>
        </w:tc>
        <w:tc>
          <w:tcPr>
            <w:tcW w:w="1677" w:type="dxa"/>
            <w:vAlign w:val="center"/>
          </w:tcPr>
          <w:p w:rsidR="00DB0200" w:rsidRPr="006234AA" w:rsidRDefault="00DB0200" w:rsidP="003C0546">
            <w:pPr>
              <w:tabs>
                <w:tab w:val="left" w:pos="1080"/>
              </w:tabs>
              <w:spacing w:after="120"/>
              <w:jc w:val="center"/>
              <w:rPr>
                <w:sz w:val="24"/>
                <w:szCs w:val="24"/>
              </w:rPr>
            </w:pPr>
            <w:r w:rsidRPr="006234AA">
              <w:rPr>
                <w:sz w:val="24"/>
                <w:szCs w:val="24"/>
              </w:rPr>
              <w:t>32%</w:t>
            </w:r>
          </w:p>
        </w:tc>
      </w:tr>
      <w:tr w:rsidR="00DB0200" w:rsidRPr="006234AA" w:rsidTr="00D60CD2">
        <w:trPr>
          <w:trHeight w:val="539"/>
        </w:trPr>
        <w:tc>
          <w:tcPr>
            <w:tcW w:w="847" w:type="dxa"/>
            <w:vAlign w:val="center"/>
          </w:tcPr>
          <w:p w:rsidR="00DB0200" w:rsidRPr="006234AA" w:rsidRDefault="00DB0200" w:rsidP="003C0546">
            <w:pPr>
              <w:tabs>
                <w:tab w:val="left" w:pos="1080"/>
              </w:tabs>
              <w:spacing w:after="120"/>
              <w:ind w:firstLine="0"/>
              <w:rPr>
                <w:sz w:val="24"/>
                <w:szCs w:val="24"/>
              </w:rPr>
            </w:pPr>
            <w:r w:rsidRPr="006234AA">
              <w:rPr>
                <w:sz w:val="24"/>
                <w:szCs w:val="24"/>
              </w:rPr>
              <w:lastRenderedPageBreak/>
              <w:t>3.</w:t>
            </w:r>
          </w:p>
        </w:tc>
        <w:tc>
          <w:tcPr>
            <w:tcW w:w="6491" w:type="dxa"/>
            <w:vAlign w:val="center"/>
          </w:tcPr>
          <w:p w:rsidR="00DB0200" w:rsidRPr="006234AA" w:rsidRDefault="00DB0200" w:rsidP="003C0546">
            <w:pPr>
              <w:tabs>
                <w:tab w:val="left" w:pos="1080"/>
              </w:tabs>
              <w:spacing w:after="120"/>
              <w:ind w:firstLine="0"/>
              <w:rPr>
                <w:sz w:val="24"/>
                <w:szCs w:val="24"/>
              </w:rPr>
            </w:pPr>
            <w:r w:rsidRPr="006234AA">
              <w:rPr>
                <w:sz w:val="24"/>
                <w:szCs w:val="24"/>
              </w:rPr>
              <w:t>31 – 60 ngày sau thời hạn thanh toán, chuyển giao chứng khoán</w:t>
            </w:r>
          </w:p>
        </w:tc>
        <w:tc>
          <w:tcPr>
            <w:tcW w:w="1677" w:type="dxa"/>
            <w:vAlign w:val="center"/>
          </w:tcPr>
          <w:p w:rsidR="00DB0200" w:rsidRPr="006234AA" w:rsidRDefault="00DB0200" w:rsidP="003C0546">
            <w:pPr>
              <w:tabs>
                <w:tab w:val="left" w:pos="1080"/>
              </w:tabs>
              <w:spacing w:after="120"/>
              <w:jc w:val="center"/>
              <w:rPr>
                <w:sz w:val="24"/>
                <w:szCs w:val="24"/>
              </w:rPr>
            </w:pPr>
            <w:r w:rsidRPr="006234AA">
              <w:rPr>
                <w:sz w:val="24"/>
                <w:szCs w:val="24"/>
              </w:rPr>
              <w:t>48%</w:t>
            </w:r>
          </w:p>
        </w:tc>
      </w:tr>
      <w:tr w:rsidR="00DB0200" w:rsidRPr="006234AA" w:rsidTr="00D60CD2">
        <w:trPr>
          <w:trHeight w:val="539"/>
        </w:trPr>
        <w:tc>
          <w:tcPr>
            <w:tcW w:w="847" w:type="dxa"/>
            <w:vAlign w:val="center"/>
          </w:tcPr>
          <w:p w:rsidR="00DB0200" w:rsidRPr="006234AA" w:rsidRDefault="00DB0200" w:rsidP="003C0546">
            <w:pPr>
              <w:tabs>
                <w:tab w:val="left" w:pos="1080"/>
              </w:tabs>
              <w:spacing w:after="120"/>
              <w:ind w:firstLine="0"/>
              <w:rPr>
                <w:sz w:val="24"/>
                <w:szCs w:val="24"/>
              </w:rPr>
            </w:pPr>
            <w:r w:rsidRPr="006234AA">
              <w:rPr>
                <w:sz w:val="24"/>
                <w:szCs w:val="24"/>
              </w:rPr>
              <w:t>4.</w:t>
            </w:r>
          </w:p>
        </w:tc>
        <w:tc>
          <w:tcPr>
            <w:tcW w:w="6491" w:type="dxa"/>
            <w:vAlign w:val="center"/>
          </w:tcPr>
          <w:p w:rsidR="00DB0200" w:rsidRPr="006234AA" w:rsidRDefault="00DB0200" w:rsidP="003C0546">
            <w:pPr>
              <w:tabs>
                <w:tab w:val="left" w:pos="1080"/>
              </w:tabs>
              <w:spacing w:after="120"/>
              <w:ind w:firstLine="0"/>
              <w:rPr>
                <w:sz w:val="24"/>
                <w:szCs w:val="24"/>
              </w:rPr>
            </w:pPr>
            <w:r w:rsidRPr="006234AA">
              <w:rPr>
                <w:sz w:val="24"/>
                <w:szCs w:val="24"/>
              </w:rPr>
              <w:t xml:space="preserve">Từ 60 ngày trở đi </w:t>
            </w:r>
          </w:p>
        </w:tc>
        <w:tc>
          <w:tcPr>
            <w:tcW w:w="1677" w:type="dxa"/>
            <w:vAlign w:val="center"/>
          </w:tcPr>
          <w:p w:rsidR="00DB0200" w:rsidRPr="006234AA" w:rsidRDefault="00DB0200" w:rsidP="003C0546">
            <w:pPr>
              <w:tabs>
                <w:tab w:val="left" w:pos="1080"/>
              </w:tabs>
              <w:spacing w:after="120"/>
              <w:jc w:val="center"/>
              <w:rPr>
                <w:sz w:val="24"/>
                <w:szCs w:val="24"/>
              </w:rPr>
            </w:pPr>
            <w:r w:rsidRPr="006234AA">
              <w:rPr>
                <w:sz w:val="24"/>
                <w:szCs w:val="24"/>
              </w:rPr>
              <w:t>100%</w:t>
            </w:r>
          </w:p>
        </w:tc>
      </w:tr>
    </w:tbl>
    <w:p w:rsidR="00DB0200" w:rsidRPr="006234AA" w:rsidRDefault="00DB0200" w:rsidP="003C0546">
      <w:pPr>
        <w:tabs>
          <w:tab w:val="left" w:pos="1080"/>
        </w:tabs>
        <w:spacing w:after="120"/>
        <w:jc w:val="center"/>
        <w:rPr>
          <w:b/>
          <w:sz w:val="12"/>
          <w:szCs w:val="24"/>
        </w:rPr>
      </w:pPr>
    </w:p>
    <w:p w:rsidR="00DB0200" w:rsidRPr="006234AA" w:rsidRDefault="00DB0200" w:rsidP="003C0546">
      <w:pPr>
        <w:tabs>
          <w:tab w:val="left" w:pos="426"/>
        </w:tabs>
        <w:spacing w:after="120"/>
        <w:rPr>
          <w:b/>
          <w:sz w:val="24"/>
          <w:szCs w:val="24"/>
        </w:rPr>
      </w:pPr>
      <w:r w:rsidRPr="006234AA">
        <w:rPr>
          <w:b/>
          <w:sz w:val="24"/>
          <w:szCs w:val="24"/>
        </w:rPr>
        <w:t xml:space="preserve">Ghi chú: </w:t>
      </w:r>
    </w:p>
    <w:p w:rsidR="00DB0200" w:rsidRPr="006234AA" w:rsidRDefault="00DB0200" w:rsidP="003C0546">
      <w:pPr>
        <w:tabs>
          <w:tab w:val="left" w:pos="426"/>
        </w:tabs>
        <w:spacing w:after="120"/>
        <w:rPr>
          <w:sz w:val="24"/>
          <w:szCs w:val="24"/>
        </w:rPr>
      </w:pPr>
      <w:r w:rsidRPr="006234AA">
        <w:rPr>
          <w:sz w:val="24"/>
          <w:szCs w:val="24"/>
        </w:rPr>
        <w:t>-</w:t>
      </w:r>
      <w:r w:rsidRPr="006234AA">
        <w:rPr>
          <w:b/>
          <w:sz w:val="24"/>
          <w:szCs w:val="24"/>
        </w:rPr>
        <w:t xml:space="preserve"> </w:t>
      </w:r>
      <w:r w:rsidRPr="006234AA">
        <w:rPr>
          <w:sz w:val="24"/>
          <w:szCs w:val="24"/>
        </w:rPr>
        <w:t>Thời hạn thanh toán/nhận chuyển giao chứng khoán</w:t>
      </w:r>
      <w:r w:rsidRPr="006234AA">
        <w:rPr>
          <w:b/>
          <w:sz w:val="24"/>
          <w:szCs w:val="24"/>
        </w:rPr>
        <w:t xml:space="preserve"> </w:t>
      </w:r>
      <w:r w:rsidRPr="006234AA">
        <w:rPr>
          <w:sz w:val="24"/>
          <w:szCs w:val="24"/>
        </w:rPr>
        <w:t>là T+3 (đối với cổ phiếu niêm yết),  T+1 (đối với trái phiếu niêm yết; hoặc T+n (đối với các giao dịch thỏa thuận ngoài hệ thống giao dịch trong n theo thỏa thuận của hai bên)</w:t>
      </w:r>
    </w:p>
    <w:p w:rsidR="00DB0200" w:rsidRPr="006234AA" w:rsidRDefault="00DB0200" w:rsidP="003C0546">
      <w:pPr>
        <w:tabs>
          <w:tab w:val="left" w:pos="426"/>
        </w:tabs>
        <w:spacing w:after="120"/>
        <w:rPr>
          <w:sz w:val="24"/>
          <w:szCs w:val="24"/>
        </w:rPr>
      </w:pPr>
      <w:r w:rsidRPr="006234AA">
        <w:rPr>
          <w:sz w:val="24"/>
          <w:szCs w:val="24"/>
        </w:rPr>
        <w:t>- Giá trị rủi ro thanh toán được điều chỉnh tăng thêm theo quy định tại khoản 8 Điều 9 trên cơ sở thông tin cung cấp bởi khách hành liên quan tới quy định tại khoản 11 Điều 2 .</w:t>
      </w:r>
    </w:p>
    <w:p w:rsidR="00DB0200" w:rsidRPr="006234AA" w:rsidRDefault="00DB0200" w:rsidP="003C0546">
      <w:pPr>
        <w:spacing w:after="120"/>
        <w:ind w:firstLine="0"/>
        <w:jc w:val="left"/>
        <w:rPr>
          <w:sz w:val="24"/>
          <w:szCs w:val="24"/>
        </w:rPr>
      </w:pPr>
    </w:p>
    <w:p w:rsidR="00DB0200" w:rsidRPr="006234AA" w:rsidRDefault="00DB0200" w:rsidP="003C0546">
      <w:pPr>
        <w:tabs>
          <w:tab w:val="left" w:pos="1080"/>
        </w:tabs>
        <w:spacing w:after="120"/>
        <w:ind w:firstLine="0"/>
        <w:rPr>
          <w:b/>
          <w:sz w:val="24"/>
          <w:szCs w:val="24"/>
        </w:rPr>
      </w:pPr>
      <w:r w:rsidRPr="006234AA">
        <w:rPr>
          <w:b/>
          <w:sz w:val="24"/>
          <w:szCs w:val="24"/>
        </w:rPr>
        <w:t>VI. HỆ SỐ RỦI RO THỊ TRƯỜNG</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7773"/>
        <w:gridCol w:w="1559"/>
      </w:tblGrid>
      <w:tr w:rsidR="00DB0200" w:rsidRPr="006234AA" w:rsidTr="00D60CD2">
        <w:trPr>
          <w:trHeight w:val="498"/>
        </w:trPr>
        <w:tc>
          <w:tcPr>
            <w:tcW w:w="875" w:type="dxa"/>
            <w:shd w:val="clear" w:color="auto" w:fill="D9D9D9"/>
            <w:vAlign w:val="center"/>
          </w:tcPr>
          <w:p w:rsidR="00DB0200" w:rsidRPr="006234AA" w:rsidRDefault="00DB0200" w:rsidP="003C0546">
            <w:pPr>
              <w:pStyle w:val="Default"/>
              <w:spacing w:before="120" w:after="120"/>
              <w:ind w:left="1701" w:hanging="1701"/>
              <w:jc w:val="center"/>
              <w:rPr>
                <w:color w:val="auto"/>
              </w:rPr>
            </w:pPr>
            <w:r w:rsidRPr="006234AA">
              <w:rPr>
                <w:b/>
                <w:bCs/>
                <w:color w:val="auto"/>
              </w:rPr>
              <w:t xml:space="preserve">STT </w:t>
            </w:r>
          </w:p>
        </w:tc>
        <w:tc>
          <w:tcPr>
            <w:tcW w:w="7773" w:type="dxa"/>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Loại tài sản</w:t>
            </w:r>
          </w:p>
        </w:tc>
        <w:tc>
          <w:tcPr>
            <w:tcW w:w="1559" w:type="dxa"/>
            <w:shd w:val="clear" w:color="auto" w:fill="D9D9D9"/>
            <w:vAlign w:val="center"/>
          </w:tcPr>
          <w:p w:rsidR="00DB0200" w:rsidRPr="006234AA" w:rsidRDefault="00DB0200" w:rsidP="003C0546">
            <w:pPr>
              <w:pStyle w:val="Default"/>
              <w:spacing w:before="120" w:after="120"/>
              <w:jc w:val="center"/>
              <w:rPr>
                <w:color w:val="auto"/>
              </w:rPr>
            </w:pPr>
            <w:r w:rsidRPr="006234AA">
              <w:rPr>
                <w:b/>
                <w:bCs/>
                <w:color w:val="auto"/>
              </w:rPr>
              <w:t>Hệ số rủi ro thị trường</w:t>
            </w:r>
          </w:p>
        </w:tc>
      </w:tr>
      <w:tr w:rsidR="00DB0200" w:rsidRPr="006234AA" w:rsidTr="00D60CD2">
        <w:trPr>
          <w:trHeight w:val="268"/>
        </w:trPr>
        <w:tc>
          <w:tcPr>
            <w:tcW w:w="8648" w:type="dxa"/>
            <w:gridSpan w:val="2"/>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Tiền</w:t>
            </w:r>
          </w:p>
        </w:tc>
        <w:tc>
          <w:tcPr>
            <w:tcW w:w="1559" w:type="dxa"/>
            <w:shd w:val="clear" w:color="auto" w:fill="D9D9D9"/>
          </w:tcPr>
          <w:p w:rsidR="00DB0200" w:rsidRPr="006234AA" w:rsidRDefault="00DB0200" w:rsidP="003C0546">
            <w:pPr>
              <w:pStyle w:val="Default"/>
              <w:spacing w:before="120" w:after="120"/>
              <w:rPr>
                <w:color w:val="auto"/>
              </w:rPr>
            </w:pPr>
          </w:p>
        </w:tc>
      </w:tr>
      <w:tr w:rsidR="00DB0200" w:rsidRPr="006234AA" w:rsidTr="00D60CD2">
        <w:trPr>
          <w:trHeight w:val="268"/>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1.</w:t>
            </w:r>
          </w:p>
        </w:tc>
        <w:tc>
          <w:tcPr>
            <w:tcW w:w="7773" w:type="dxa"/>
            <w:vAlign w:val="center"/>
          </w:tcPr>
          <w:p w:rsidR="00DB0200" w:rsidRPr="006234AA" w:rsidRDefault="00DB0200" w:rsidP="003C0546">
            <w:pPr>
              <w:pStyle w:val="Default"/>
              <w:spacing w:before="120" w:after="120"/>
              <w:ind w:left="1701" w:hanging="1701"/>
              <w:rPr>
                <w:color w:val="auto"/>
              </w:rPr>
            </w:pPr>
            <w:r w:rsidRPr="006234AA">
              <w:rPr>
                <w:color w:val="auto"/>
              </w:rPr>
              <w:t>Tiền mặt</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0%</w:t>
            </w:r>
          </w:p>
        </w:tc>
      </w:tr>
      <w:tr w:rsidR="00DB0200" w:rsidRPr="006234AA" w:rsidTr="00D60CD2">
        <w:trPr>
          <w:trHeight w:val="268"/>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2.</w:t>
            </w:r>
          </w:p>
        </w:tc>
        <w:tc>
          <w:tcPr>
            <w:tcW w:w="7773" w:type="dxa"/>
            <w:vAlign w:val="center"/>
          </w:tcPr>
          <w:p w:rsidR="00DB0200" w:rsidRPr="006234AA" w:rsidRDefault="00DB0200" w:rsidP="003C0546">
            <w:pPr>
              <w:pStyle w:val="Default"/>
              <w:spacing w:before="120" w:after="120"/>
              <w:ind w:left="1701" w:hanging="1701"/>
              <w:rPr>
                <w:color w:val="auto"/>
              </w:rPr>
            </w:pPr>
            <w:r w:rsidRPr="006234AA">
              <w:rPr>
                <w:color w:val="auto"/>
              </w:rPr>
              <w:t>Các khoản tương đương tiền</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0%</w:t>
            </w:r>
          </w:p>
        </w:tc>
      </w:tr>
      <w:tr w:rsidR="00DB0200" w:rsidRPr="006234AA" w:rsidTr="00D60CD2">
        <w:trPr>
          <w:trHeight w:val="263"/>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3.</w:t>
            </w:r>
          </w:p>
        </w:tc>
        <w:tc>
          <w:tcPr>
            <w:tcW w:w="7773" w:type="dxa"/>
            <w:vAlign w:val="center"/>
          </w:tcPr>
          <w:p w:rsidR="00DB0200" w:rsidRPr="006234AA" w:rsidRDefault="00DB0200" w:rsidP="003C0546">
            <w:pPr>
              <w:pStyle w:val="Default"/>
              <w:spacing w:before="120" w:after="120"/>
              <w:ind w:left="1701" w:hanging="1701"/>
              <w:rPr>
                <w:color w:val="auto"/>
              </w:rPr>
            </w:pPr>
            <w:r w:rsidRPr="006234AA">
              <w:rPr>
                <w:color w:val="auto"/>
              </w:rPr>
              <w:t>Giấy tờ có giá, công cụ chuyển nhượng trên thị trường tiền tệ</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0%</w:t>
            </w:r>
          </w:p>
        </w:tc>
      </w:tr>
      <w:tr w:rsidR="00DB0200" w:rsidRPr="006234AA" w:rsidTr="00D60CD2">
        <w:trPr>
          <w:trHeight w:val="247"/>
        </w:trPr>
        <w:tc>
          <w:tcPr>
            <w:tcW w:w="8648" w:type="dxa"/>
            <w:gridSpan w:val="2"/>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Chứng khoán Nợ</w:t>
            </w:r>
          </w:p>
        </w:tc>
        <w:tc>
          <w:tcPr>
            <w:tcW w:w="1559"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247"/>
        </w:trPr>
        <w:tc>
          <w:tcPr>
            <w:tcW w:w="8648" w:type="dxa"/>
            <w:gridSpan w:val="2"/>
            <w:shd w:val="clear" w:color="auto" w:fill="D9D9D9"/>
            <w:vAlign w:val="center"/>
          </w:tcPr>
          <w:p w:rsidR="00DB0200" w:rsidRPr="006234AA" w:rsidRDefault="00DB0200" w:rsidP="003C0546">
            <w:pPr>
              <w:pStyle w:val="Default"/>
              <w:spacing w:before="120" w:after="120"/>
              <w:ind w:left="1701" w:hanging="1701"/>
              <w:rPr>
                <w:b/>
                <w:bCs/>
                <w:color w:val="auto"/>
              </w:rPr>
            </w:pPr>
            <w:r w:rsidRPr="006234AA">
              <w:rPr>
                <w:b/>
                <w:bCs/>
                <w:color w:val="auto"/>
              </w:rPr>
              <w:t>Trái phiếu Chính phủ</w:t>
            </w:r>
          </w:p>
        </w:tc>
        <w:tc>
          <w:tcPr>
            <w:tcW w:w="1559"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247"/>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4.</w:t>
            </w:r>
          </w:p>
        </w:tc>
        <w:tc>
          <w:tcPr>
            <w:tcW w:w="7773" w:type="dxa"/>
            <w:vAlign w:val="center"/>
          </w:tcPr>
          <w:p w:rsidR="00DB0200" w:rsidRPr="006234AA" w:rsidRDefault="00DB0200" w:rsidP="003C0546">
            <w:pPr>
              <w:pStyle w:val="Default"/>
              <w:spacing w:before="120" w:after="120"/>
              <w:rPr>
                <w:color w:val="auto"/>
              </w:rPr>
            </w:pPr>
            <w:r w:rsidRPr="006234AA">
              <w:rPr>
                <w:color w:val="auto"/>
              </w:rPr>
              <w:t>Trái phiếu Chính phủ không trả lãi</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0%</w:t>
            </w:r>
          </w:p>
        </w:tc>
      </w:tr>
      <w:tr w:rsidR="00DB0200" w:rsidRPr="006234AA" w:rsidTr="00D60CD2">
        <w:trPr>
          <w:trHeight w:val="247"/>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5.</w:t>
            </w:r>
          </w:p>
        </w:tc>
        <w:tc>
          <w:tcPr>
            <w:tcW w:w="7773" w:type="dxa"/>
            <w:vAlign w:val="center"/>
          </w:tcPr>
          <w:p w:rsidR="00DB0200" w:rsidRPr="006234AA" w:rsidRDefault="00DB0200" w:rsidP="003C0546">
            <w:pPr>
              <w:pStyle w:val="Default"/>
              <w:spacing w:before="120" w:after="120"/>
              <w:rPr>
                <w:color w:val="auto"/>
              </w:rPr>
            </w:pPr>
            <w:r w:rsidRPr="006234AA">
              <w:rPr>
                <w:color w:val="auto"/>
              </w:rPr>
              <w:t xml:space="preserve">Trái phiếu Chính phủ trả lãi suất cuống phiếu </w:t>
            </w:r>
          </w:p>
        </w:tc>
        <w:tc>
          <w:tcPr>
            <w:tcW w:w="1559" w:type="dxa"/>
            <w:vAlign w:val="center"/>
          </w:tcPr>
          <w:p w:rsidR="00DB0200" w:rsidRPr="006234AA" w:rsidRDefault="00DB0200" w:rsidP="003C0546">
            <w:pPr>
              <w:pStyle w:val="Default"/>
              <w:spacing w:before="120" w:after="120"/>
              <w:jc w:val="center"/>
              <w:rPr>
                <w:color w:val="auto"/>
              </w:rPr>
            </w:pPr>
          </w:p>
        </w:tc>
      </w:tr>
      <w:tr w:rsidR="00DB0200" w:rsidRPr="006234AA" w:rsidTr="00D60CD2">
        <w:trPr>
          <w:trHeight w:val="247"/>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5.1</w:t>
            </w:r>
          </w:p>
        </w:tc>
        <w:tc>
          <w:tcPr>
            <w:tcW w:w="7773" w:type="dxa"/>
            <w:vAlign w:val="center"/>
          </w:tcPr>
          <w:p w:rsidR="00DB0200" w:rsidRPr="006234AA" w:rsidRDefault="00DB0200" w:rsidP="003C0546">
            <w:pPr>
              <w:pStyle w:val="Default"/>
              <w:spacing w:before="120" w:after="120"/>
              <w:rPr>
                <w:color w:val="auto"/>
              </w:rPr>
            </w:pPr>
            <w:r w:rsidRPr="006234AA">
              <w:rPr>
                <w:color w:val="auto"/>
              </w:rPr>
              <w:t>Trái phiếu Chính phủ, Trái phiếu Chính phủ các nước thuộc khối OECD hoặc được bảo lãnh bởi Chính phủ hoặc Ngân hàng Trung ương của các nước thuộc khối này, Trái phiếu được phát hành bởi các tổ chức quốc tế IBRD, ADB, IADB, AfDB, EIB và EBRD</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3%</w:t>
            </w:r>
          </w:p>
        </w:tc>
      </w:tr>
      <w:tr w:rsidR="00DB0200" w:rsidRPr="006234AA" w:rsidTr="00D60CD2">
        <w:trPr>
          <w:trHeight w:val="253"/>
        </w:trPr>
        <w:tc>
          <w:tcPr>
            <w:tcW w:w="875" w:type="dxa"/>
            <w:vMerge w:val="restart"/>
            <w:vAlign w:val="center"/>
          </w:tcPr>
          <w:p w:rsidR="00DB0200" w:rsidRPr="006234AA" w:rsidRDefault="00DB0200" w:rsidP="003C0546">
            <w:pPr>
              <w:pStyle w:val="Default"/>
              <w:spacing w:before="120" w:after="120"/>
              <w:ind w:left="1701" w:hanging="1701"/>
              <w:jc w:val="center"/>
              <w:rPr>
                <w:color w:val="auto"/>
              </w:rPr>
            </w:pPr>
            <w:r w:rsidRPr="006234AA">
              <w:rPr>
                <w:color w:val="auto"/>
              </w:rPr>
              <w:t>5.2</w:t>
            </w:r>
          </w:p>
        </w:tc>
        <w:tc>
          <w:tcPr>
            <w:tcW w:w="7773" w:type="dxa"/>
            <w:vAlign w:val="center"/>
          </w:tcPr>
          <w:p w:rsidR="00DB0200" w:rsidRPr="006234AA" w:rsidRDefault="00DB0200" w:rsidP="003C0546">
            <w:pPr>
              <w:pStyle w:val="Default"/>
              <w:spacing w:before="120" w:after="120"/>
              <w:ind w:firstLine="9"/>
              <w:rPr>
                <w:color w:val="auto"/>
              </w:rPr>
            </w:pPr>
            <w:r w:rsidRPr="006234AA">
              <w:rPr>
                <w:color w:val="auto"/>
              </w:rPr>
              <w:t>Trái phiếu công trình được Chính phủ, Bộ Tài chính bảo lãnh có thời gian đáo hạn còn lại dưới 1 năm;</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3%</w:t>
            </w:r>
          </w:p>
        </w:tc>
      </w:tr>
      <w:tr w:rsidR="00DB0200" w:rsidRPr="006234AA" w:rsidTr="00D60CD2">
        <w:trPr>
          <w:trHeight w:val="253"/>
        </w:trPr>
        <w:tc>
          <w:tcPr>
            <w:tcW w:w="875" w:type="dxa"/>
            <w:vMerge/>
            <w:vAlign w:val="center"/>
          </w:tcPr>
          <w:p w:rsidR="00DB0200" w:rsidRPr="006234AA" w:rsidRDefault="00DB0200" w:rsidP="003C0546">
            <w:pPr>
              <w:pStyle w:val="Default"/>
              <w:spacing w:before="120" w:after="120"/>
              <w:ind w:left="1701" w:hanging="1701"/>
              <w:jc w:val="center"/>
              <w:rPr>
                <w:color w:val="auto"/>
              </w:rPr>
            </w:pPr>
          </w:p>
        </w:tc>
        <w:tc>
          <w:tcPr>
            <w:tcW w:w="7773" w:type="dxa"/>
            <w:vAlign w:val="center"/>
          </w:tcPr>
          <w:p w:rsidR="00DB0200" w:rsidRPr="006234AA" w:rsidRDefault="00DB0200" w:rsidP="003C0546">
            <w:pPr>
              <w:pStyle w:val="Default"/>
              <w:spacing w:before="120" w:after="120"/>
              <w:ind w:firstLine="9"/>
              <w:rPr>
                <w:color w:val="auto"/>
              </w:rPr>
            </w:pPr>
            <w:r w:rsidRPr="006234AA">
              <w:rPr>
                <w:color w:val="auto"/>
              </w:rPr>
              <w:t>Trái phiếu công trình được Chính phủ, Bộ Tài chính bảo lãnh  có thời gian đáo hạn còn lại từ 1 tới 5 năm;</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4%</w:t>
            </w:r>
          </w:p>
        </w:tc>
      </w:tr>
      <w:tr w:rsidR="00DB0200" w:rsidRPr="006234AA" w:rsidTr="00D60CD2">
        <w:trPr>
          <w:trHeight w:val="253"/>
        </w:trPr>
        <w:tc>
          <w:tcPr>
            <w:tcW w:w="875" w:type="dxa"/>
            <w:vMerge/>
            <w:vAlign w:val="center"/>
          </w:tcPr>
          <w:p w:rsidR="00DB0200" w:rsidRPr="006234AA" w:rsidRDefault="00DB0200" w:rsidP="003C0546">
            <w:pPr>
              <w:pStyle w:val="Default"/>
              <w:spacing w:before="120" w:after="120"/>
              <w:ind w:left="1701" w:hanging="1701"/>
              <w:jc w:val="center"/>
              <w:rPr>
                <w:color w:val="auto"/>
              </w:rPr>
            </w:pPr>
          </w:p>
        </w:tc>
        <w:tc>
          <w:tcPr>
            <w:tcW w:w="7773" w:type="dxa"/>
            <w:vAlign w:val="center"/>
          </w:tcPr>
          <w:p w:rsidR="00DB0200" w:rsidRPr="006234AA" w:rsidRDefault="00DB0200" w:rsidP="003C0546">
            <w:pPr>
              <w:pStyle w:val="Default"/>
              <w:spacing w:before="120" w:after="120"/>
              <w:ind w:firstLine="9"/>
              <w:rPr>
                <w:color w:val="auto"/>
              </w:rPr>
            </w:pPr>
            <w:r w:rsidRPr="006234AA">
              <w:rPr>
                <w:color w:val="auto"/>
              </w:rPr>
              <w:t>Trái phiếu công trình được Chính phủ, Bộ Tài chính bảo lãnh có thời gian đáo hạn còn lại từ 5 năm trở lên;</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5%</w:t>
            </w:r>
          </w:p>
        </w:tc>
      </w:tr>
      <w:tr w:rsidR="00DB0200" w:rsidRPr="006234AA" w:rsidTr="00D60CD2">
        <w:trPr>
          <w:trHeight w:val="253"/>
        </w:trPr>
        <w:tc>
          <w:tcPr>
            <w:tcW w:w="10207" w:type="dxa"/>
            <w:gridSpan w:val="3"/>
            <w:shd w:val="clear" w:color="auto" w:fill="D9D9D9"/>
            <w:vAlign w:val="center"/>
          </w:tcPr>
          <w:p w:rsidR="00DB0200" w:rsidRPr="006234AA" w:rsidRDefault="00DB0200" w:rsidP="003C0546">
            <w:pPr>
              <w:pStyle w:val="Default"/>
              <w:spacing w:before="120" w:after="120"/>
              <w:rPr>
                <w:b/>
                <w:color w:val="auto"/>
              </w:rPr>
            </w:pPr>
            <w:r w:rsidRPr="006234AA">
              <w:rPr>
                <w:b/>
                <w:color w:val="auto"/>
              </w:rPr>
              <w:t>Trái phiếu doanh nghiệp</w:t>
            </w:r>
          </w:p>
        </w:tc>
      </w:tr>
      <w:tr w:rsidR="00DB0200" w:rsidRPr="006234AA" w:rsidTr="00D60CD2">
        <w:trPr>
          <w:trHeight w:val="253"/>
        </w:trPr>
        <w:tc>
          <w:tcPr>
            <w:tcW w:w="875" w:type="dxa"/>
            <w:vMerge w:val="restart"/>
            <w:vAlign w:val="center"/>
          </w:tcPr>
          <w:p w:rsidR="00DB0200" w:rsidRPr="006234AA" w:rsidRDefault="00DB0200" w:rsidP="003C0546">
            <w:pPr>
              <w:spacing w:after="120"/>
              <w:ind w:right="200" w:firstLine="0"/>
              <w:rPr>
                <w:sz w:val="24"/>
                <w:szCs w:val="24"/>
              </w:rPr>
            </w:pPr>
            <w:r w:rsidRPr="006234AA">
              <w:rPr>
                <w:sz w:val="24"/>
                <w:szCs w:val="24"/>
              </w:rPr>
              <w:lastRenderedPageBreak/>
              <w:t>6.</w:t>
            </w:r>
          </w:p>
        </w:tc>
        <w:tc>
          <w:tcPr>
            <w:tcW w:w="7773" w:type="dxa"/>
          </w:tcPr>
          <w:p w:rsidR="00DB0200" w:rsidRPr="006234AA" w:rsidRDefault="00DB0200" w:rsidP="003C0546">
            <w:pPr>
              <w:tabs>
                <w:tab w:val="left" w:pos="1080"/>
              </w:tabs>
              <w:spacing w:after="120"/>
              <w:ind w:firstLine="0"/>
              <w:rPr>
                <w:sz w:val="24"/>
                <w:szCs w:val="24"/>
              </w:rPr>
            </w:pPr>
            <w:r w:rsidRPr="006234AA">
              <w:rPr>
                <w:sz w:val="24"/>
                <w:szCs w:val="24"/>
              </w:rPr>
              <w:t>Trái phiếu niêm yết có thời gian đáo hạn còn lại dưới 1 năm, kể cả trái phiếu chuyển đổi</w:t>
            </w:r>
          </w:p>
        </w:tc>
        <w:tc>
          <w:tcPr>
            <w:tcW w:w="1559" w:type="dxa"/>
          </w:tcPr>
          <w:p w:rsidR="00DB0200" w:rsidRPr="006234AA" w:rsidRDefault="00DB0200" w:rsidP="003C0546">
            <w:pPr>
              <w:tabs>
                <w:tab w:val="left" w:pos="1080"/>
              </w:tabs>
              <w:spacing w:after="120"/>
              <w:ind w:firstLine="0"/>
              <w:rPr>
                <w:sz w:val="24"/>
                <w:szCs w:val="24"/>
              </w:rPr>
            </w:pPr>
            <w:r w:rsidRPr="006234AA">
              <w:rPr>
                <w:sz w:val="24"/>
                <w:szCs w:val="24"/>
              </w:rPr>
              <w:t xml:space="preserve">      8%</w:t>
            </w:r>
          </w:p>
        </w:tc>
      </w:tr>
      <w:tr w:rsidR="00DB0200" w:rsidRPr="006234AA" w:rsidTr="00D60CD2">
        <w:trPr>
          <w:trHeight w:val="253"/>
        </w:trPr>
        <w:tc>
          <w:tcPr>
            <w:tcW w:w="875" w:type="dxa"/>
            <w:vMerge/>
          </w:tcPr>
          <w:p w:rsidR="00DB0200" w:rsidRPr="006234AA" w:rsidRDefault="00DB0200" w:rsidP="003C0546">
            <w:pPr>
              <w:pStyle w:val="ListParagraph"/>
              <w:numPr>
                <w:ilvl w:val="0"/>
                <w:numId w:val="11"/>
              </w:numPr>
              <w:spacing w:after="120"/>
              <w:ind w:left="0" w:right="545" w:firstLine="0"/>
              <w:contextualSpacing/>
              <w:jc w:val="center"/>
              <w:rPr>
                <w:b/>
                <w:sz w:val="24"/>
                <w:szCs w:val="24"/>
              </w:rPr>
            </w:pPr>
          </w:p>
        </w:tc>
        <w:tc>
          <w:tcPr>
            <w:tcW w:w="7773" w:type="dxa"/>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 xml:space="preserve">Trái phiếu niêm yết có thời gian đáo hạn từ 1 tới 5 năm, kể cả trái phiếu chuyển đổi </w:t>
            </w:r>
          </w:p>
        </w:tc>
        <w:tc>
          <w:tcPr>
            <w:tcW w:w="1559" w:type="dxa"/>
          </w:tcPr>
          <w:p w:rsidR="00DB0200" w:rsidRPr="006234AA" w:rsidRDefault="00DB0200" w:rsidP="003C0546">
            <w:pPr>
              <w:tabs>
                <w:tab w:val="left" w:pos="1080"/>
              </w:tabs>
              <w:spacing w:after="120"/>
              <w:ind w:firstLine="0"/>
              <w:rPr>
                <w:sz w:val="24"/>
                <w:szCs w:val="24"/>
              </w:rPr>
            </w:pPr>
            <w:r w:rsidRPr="006234AA">
              <w:rPr>
                <w:sz w:val="24"/>
                <w:szCs w:val="24"/>
                <w:lang w:val="nl-NL"/>
              </w:rPr>
              <w:t xml:space="preserve">      </w:t>
            </w:r>
            <w:r w:rsidRPr="006234AA">
              <w:rPr>
                <w:sz w:val="24"/>
                <w:szCs w:val="24"/>
              </w:rPr>
              <w:t>15%</w:t>
            </w:r>
          </w:p>
        </w:tc>
      </w:tr>
      <w:tr w:rsidR="00DB0200" w:rsidRPr="006234AA" w:rsidTr="00D60CD2">
        <w:trPr>
          <w:trHeight w:val="253"/>
        </w:trPr>
        <w:tc>
          <w:tcPr>
            <w:tcW w:w="875" w:type="dxa"/>
            <w:vMerge/>
          </w:tcPr>
          <w:p w:rsidR="00DB0200" w:rsidRPr="006234AA" w:rsidRDefault="00DB0200" w:rsidP="003C0546">
            <w:pPr>
              <w:pStyle w:val="ListParagraph"/>
              <w:numPr>
                <w:ilvl w:val="0"/>
                <w:numId w:val="11"/>
              </w:numPr>
              <w:spacing w:after="120"/>
              <w:ind w:left="0" w:right="545" w:firstLine="0"/>
              <w:contextualSpacing/>
              <w:jc w:val="center"/>
              <w:rPr>
                <w:b/>
                <w:sz w:val="24"/>
                <w:szCs w:val="24"/>
              </w:rPr>
            </w:pPr>
          </w:p>
        </w:tc>
        <w:tc>
          <w:tcPr>
            <w:tcW w:w="7773" w:type="dxa"/>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Trái phiếu niêm yết có thời gian đáo hạn từ 5 năm trở lên, kể cả trái phiếu chuyển đổi</w:t>
            </w:r>
          </w:p>
        </w:tc>
        <w:tc>
          <w:tcPr>
            <w:tcW w:w="1559" w:type="dxa"/>
          </w:tcPr>
          <w:p w:rsidR="00DB0200" w:rsidRPr="006234AA" w:rsidRDefault="00DB0200" w:rsidP="003C0546">
            <w:pPr>
              <w:tabs>
                <w:tab w:val="left" w:pos="1080"/>
              </w:tabs>
              <w:spacing w:after="120"/>
              <w:ind w:left="567" w:firstLine="0"/>
              <w:jc w:val="left"/>
              <w:rPr>
                <w:sz w:val="24"/>
                <w:szCs w:val="24"/>
              </w:rPr>
            </w:pPr>
            <w:r w:rsidRPr="006234AA">
              <w:rPr>
                <w:sz w:val="24"/>
                <w:szCs w:val="24"/>
              </w:rPr>
              <w:t>20%</w:t>
            </w:r>
          </w:p>
        </w:tc>
      </w:tr>
      <w:tr w:rsidR="00DB0200" w:rsidRPr="006234AA" w:rsidTr="00D60CD2">
        <w:trPr>
          <w:trHeight w:val="253"/>
        </w:trPr>
        <w:tc>
          <w:tcPr>
            <w:tcW w:w="875" w:type="dxa"/>
            <w:vMerge w:val="restart"/>
            <w:vAlign w:val="center"/>
          </w:tcPr>
          <w:p w:rsidR="00DB0200" w:rsidRPr="006234AA" w:rsidRDefault="00DB0200" w:rsidP="003C0546">
            <w:pPr>
              <w:spacing w:after="120"/>
              <w:ind w:firstLine="0"/>
              <w:rPr>
                <w:sz w:val="24"/>
                <w:szCs w:val="24"/>
              </w:rPr>
            </w:pPr>
            <w:r w:rsidRPr="006234AA">
              <w:rPr>
                <w:sz w:val="24"/>
                <w:szCs w:val="24"/>
              </w:rPr>
              <w:t>7.</w:t>
            </w:r>
          </w:p>
        </w:tc>
        <w:tc>
          <w:tcPr>
            <w:tcW w:w="7773" w:type="dxa"/>
          </w:tcPr>
          <w:p w:rsidR="00DB0200" w:rsidRPr="006234AA" w:rsidRDefault="00DB0200" w:rsidP="003C0546">
            <w:pPr>
              <w:tabs>
                <w:tab w:val="left" w:pos="1080"/>
              </w:tabs>
              <w:spacing w:after="120"/>
              <w:ind w:firstLine="0"/>
              <w:rPr>
                <w:sz w:val="24"/>
                <w:szCs w:val="24"/>
              </w:rPr>
            </w:pPr>
            <w:r w:rsidRPr="006234AA">
              <w:rPr>
                <w:sz w:val="24"/>
                <w:szCs w:val="24"/>
              </w:rPr>
              <w:t>Trái phiếu không niêm yết có thời gian đáo hạn còn lại dưới 1 năm, kể cả trái phiếu chuyển đổi</w:t>
            </w:r>
          </w:p>
        </w:tc>
        <w:tc>
          <w:tcPr>
            <w:tcW w:w="1559" w:type="dxa"/>
          </w:tcPr>
          <w:p w:rsidR="00DB0200" w:rsidRPr="006234AA" w:rsidRDefault="00DB0200" w:rsidP="003C0546">
            <w:pPr>
              <w:pStyle w:val="ListParagraph"/>
              <w:numPr>
                <w:ilvl w:val="0"/>
                <w:numId w:val="0"/>
              </w:numPr>
              <w:tabs>
                <w:tab w:val="left" w:pos="1080"/>
              </w:tabs>
              <w:spacing w:after="120"/>
              <w:ind w:left="567"/>
              <w:jc w:val="left"/>
              <w:rPr>
                <w:sz w:val="24"/>
                <w:szCs w:val="24"/>
              </w:rPr>
            </w:pPr>
            <w:r w:rsidRPr="006234AA">
              <w:rPr>
                <w:sz w:val="24"/>
                <w:szCs w:val="24"/>
              </w:rPr>
              <w:t>25%</w:t>
            </w:r>
          </w:p>
        </w:tc>
      </w:tr>
      <w:tr w:rsidR="00DB0200" w:rsidRPr="006234AA" w:rsidTr="00D60CD2">
        <w:trPr>
          <w:trHeight w:val="253"/>
        </w:trPr>
        <w:tc>
          <w:tcPr>
            <w:tcW w:w="875" w:type="dxa"/>
            <w:vMerge/>
          </w:tcPr>
          <w:p w:rsidR="00DB0200" w:rsidRPr="006234AA" w:rsidRDefault="00DB0200" w:rsidP="003C0546">
            <w:pPr>
              <w:pStyle w:val="ListParagraph"/>
              <w:numPr>
                <w:ilvl w:val="0"/>
                <w:numId w:val="11"/>
              </w:numPr>
              <w:spacing w:after="120"/>
              <w:ind w:left="0" w:right="545" w:firstLine="0"/>
              <w:contextualSpacing/>
              <w:jc w:val="left"/>
              <w:rPr>
                <w:b/>
                <w:sz w:val="24"/>
                <w:szCs w:val="24"/>
              </w:rPr>
            </w:pPr>
          </w:p>
        </w:tc>
        <w:tc>
          <w:tcPr>
            <w:tcW w:w="7773" w:type="dxa"/>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 xml:space="preserve">Trái phiếu không niêm yết có thời gian đáo hạn từ 1 tới 5 năm, kể cả trái phiếu chuyển đổi </w:t>
            </w:r>
          </w:p>
        </w:tc>
        <w:tc>
          <w:tcPr>
            <w:tcW w:w="1559" w:type="dxa"/>
          </w:tcPr>
          <w:p w:rsidR="00DB0200" w:rsidRPr="006234AA" w:rsidRDefault="00DB0200" w:rsidP="003C0546">
            <w:pPr>
              <w:pStyle w:val="ListParagraph"/>
              <w:numPr>
                <w:ilvl w:val="0"/>
                <w:numId w:val="0"/>
              </w:numPr>
              <w:tabs>
                <w:tab w:val="left" w:pos="1080"/>
              </w:tabs>
              <w:spacing w:after="120"/>
              <w:ind w:left="567"/>
              <w:jc w:val="left"/>
              <w:rPr>
                <w:sz w:val="24"/>
                <w:szCs w:val="24"/>
              </w:rPr>
            </w:pPr>
            <w:r w:rsidRPr="006234AA">
              <w:rPr>
                <w:sz w:val="24"/>
                <w:szCs w:val="24"/>
              </w:rPr>
              <w:t>30%</w:t>
            </w:r>
          </w:p>
        </w:tc>
      </w:tr>
      <w:tr w:rsidR="00DB0200" w:rsidRPr="006234AA" w:rsidTr="00D60CD2">
        <w:trPr>
          <w:trHeight w:val="253"/>
        </w:trPr>
        <w:tc>
          <w:tcPr>
            <w:tcW w:w="875" w:type="dxa"/>
            <w:vMerge/>
          </w:tcPr>
          <w:p w:rsidR="00DB0200" w:rsidRPr="006234AA" w:rsidRDefault="00DB0200" w:rsidP="003C0546">
            <w:pPr>
              <w:pStyle w:val="ListParagraph"/>
              <w:numPr>
                <w:ilvl w:val="0"/>
                <w:numId w:val="11"/>
              </w:numPr>
              <w:spacing w:after="120"/>
              <w:ind w:left="0" w:right="545" w:firstLine="0"/>
              <w:contextualSpacing/>
              <w:jc w:val="left"/>
              <w:rPr>
                <w:b/>
                <w:sz w:val="24"/>
                <w:szCs w:val="24"/>
              </w:rPr>
            </w:pPr>
          </w:p>
        </w:tc>
        <w:tc>
          <w:tcPr>
            <w:tcW w:w="7773" w:type="dxa"/>
          </w:tcPr>
          <w:p w:rsidR="00DB0200" w:rsidRPr="006234AA" w:rsidRDefault="00DB0200" w:rsidP="003C0546">
            <w:pPr>
              <w:tabs>
                <w:tab w:val="left" w:pos="1080"/>
              </w:tabs>
              <w:spacing w:after="120"/>
              <w:ind w:firstLine="0"/>
              <w:rPr>
                <w:sz w:val="24"/>
                <w:szCs w:val="24"/>
                <w:lang w:val="nl-NL"/>
              </w:rPr>
            </w:pPr>
            <w:r w:rsidRPr="006234AA">
              <w:rPr>
                <w:sz w:val="24"/>
                <w:szCs w:val="24"/>
                <w:lang w:val="nl-NL"/>
              </w:rPr>
              <w:t>Trái phiếu không niêm yết có thời gian đáo hạn từ 5 năm trở lên, kể cả trái phiếu chuyển đổi</w:t>
            </w:r>
          </w:p>
        </w:tc>
        <w:tc>
          <w:tcPr>
            <w:tcW w:w="1559" w:type="dxa"/>
          </w:tcPr>
          <w:p w:rsidR="00DB0200" w:rsidRPr="006234AA" w:rsidRDefault="00DB0200" w:rsidP="003C0546">
            <w:pPr>
              <w:pStyle w:val="ListParagraph"/>
              <w:numPr>
                <w:ilvl w:val="0"/>
                <w:numId w:val="0"/>
              </w:numPr>
              <w:tabs>
                <w:tab w:val="left" w:pos="1080"/>
              </w:tabs>
              <w:spacing w:after="120"/>
              <w:ind w:left="567"/>
              <w:jc w:val="left"/>
              <w:rPr>
                <w:sz w:val="24"/>
                <w:szCs w:val="24"/>
              </w:rPr>
            </w:pPr>
            <w:r w:rsidRPr="006234AA">
              <w:rPr>
                <w:sz w:val="24"/>
                <w:szCs w:val="24"/>
              </w:rPr>
              <w:t>40%</w:t>
            </w:r>
          </w:p>
        </w:tc>
      </w:tr>
      <w:tr w:rsidR="00DB0200" w:rsidRPr="006234AA" w:rsidTr="00D60CD2">
        <w:trPr>
          <w:trHeight w:val="250"/>
        </w:trPr>
        <w:tc>
          <w:tcPr>
            <w:tcW w:w="8648" w:type="dxa"/>
            <w:gridSpan w:val="2"/>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Cổ phiếu</w:t>
            </w:r>
          </w:p>
        </w:tc>
        <w:tc>
          <w:tcPr>
            <w:tcW w:w="1559"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268"/>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 xml:space="preserve">8. </w:t>
            </w:r>
          </w:p>
        </w:tc>
        <w:tc>
          <w:tcPr>
            <w:tcW w:w="7773" w:type="dxa"/>
            <w:vAlign w:val="center"/>
          </w:tcPr>
          <w:p w:rsidR="00DB0200" w:rsidRPr="006234AA" w:rsidRDefault="00DB0200" w:rsidP="003C0546">
            <w:pPr>
              <w:pStyle w:val="Default"/>
              <w:spacing w:before="120" w:after="120"/>
              <w:ind w:left="9" w:hanging="9"/>
              <w:rPr>
                <w:color w:val="auto"/>
              </w:rPr>
            </w:pPr>
            <w:r w:rsidRPr="006234AA">
              <w:rPr>
                <w:color w:val="auto"/>
              </w:rPr>
              <w:t>Cổ phiếu phổ thông, cổ phiếu ưu đãi của các tổ chức niêm yết tại Sở Giao dịch Chứng khoán  Hồ Chí Minh; chứng chỉ quỹ mở</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10%</w:t>
            </w:r>
          </w:p>
        </w:tc>
      </w:tr>
      <w:tr w:rsidR="00DB0200" w:rsidRPr="006234AA" w:rsidTr="00D60CD2">
        <w:trPr>
          <w:trHeight w:val="268"/>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9.</w:t>
            </w:r>
          </w:p>
        </w:tc>
        <w:tc>
          <w:tcPr>
            <w:tcW w:w="7773" w:type="dxa"/>
            <w:vAlign w:val="center"/>
          </w:tcPr>
          <w:p w:rsidR="00DB0200" w:rsidRPr="006234AA" w:rsidRDefault="00DB0200" w:rsidP="003C0546">
            <w:pPr>
              <w:pStyle w:val="Default"/>
              <w:spacing w:before="120" w:after="120"/>
              <w:ind w:left="9" w:hanging="9"/>
              <w:rPr>
                <w:color w:val="auto"/>
              </w:rPr>
            </w:pPr>
            <w:r w:rsidRPr="006234AA">
              <w:rPr>
                <w:color w:val="auto"/>
              </w:rPr>
              <w:t>Cổ phiếu phổ thông, cổ phiếu ưu đãi của các tổ chức niêm yết tại Sở Giao dịch Chứng khoán  Hà Nội</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15%</w:t>
            </w:r>
          </w:p>
        </w:tc>
      </w:tr>
      <w:tr w:rsidR="00DB0200" w:rsidRPr="006234AA" w:rsidTr="00D60CD2">
        <w:trPr>
          <w:trHeight w:val="263"/>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 xml:space="preserve">10. </w:t>
            </w:r>
          </w:p>
        </w:tc>
        <w:tc>
          <w:tcPr>
            <w:tcW w:w="7773" w:type="dxa"/>
            <w:vAlign w:val="center"/>
          </w:tcPr>
          <w:p w:rsidR="00DB0200" w:rsidRPr="006234AA" w:rsidRDefault="00DB0200" w:rsidP="003C0546">
            <w:pPr>
              <w:pStyle w:val="Default"/>
              <w:spacing w:before="120" w:after="120"/>
              <w:ind w:left="9" w:hanging="9"/>
              <w:rPr>
                <w:color w:val="auto"/>
              </w:rPr>
            </w:pPr>
            <w:r w:rsidRPr="006234AA">
              <w:rPr>
                <w:color w:val="auto"/>
              </w:rPr>
              <w:t xml:space="preserve">Cổ phiếu phổ thông, cổ phiếu ưu đãi các công ty đại chúng chưa niêm yết, đăng ký giao dịch qua hệ thống UpCom </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20%</w:t>
            </w:r>
          </w:p>
        </w:tc>
      </w:tr>
      <w:tr w:rsidR="00DB0200" w:rsidRPr="006234AA" w:rsidTr="00D60CD2">
        <w:trPr>
          <w:trHeight w:val="263"/>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 xml:space="preserve">11. </w:t>
            </w:r>
          </w:p>
        </w:tc>
        <w:tc>
          <w:tcPr>
            <w:tcW w:w="7773" w:type="dxa"/>
            <w:vAlign w:val="center"/>
          </w:tcPr>
          <w:p w:rsidR="00DB0200" w:rsidRPr="006234AA" w:rsidRDefault="00DB0200" w:rsidP="003C0546">
            <w:pPr>
              <w:pStyle w:val="Default"/>
              <w:spacing w:before="120" w:after="120"/>
              <w:ind w:left="9" w:hanging="9"/>
              <w:rPr>
                <w:color w:val="auto"/>
              </w:rPr>
            </w:pPr>
            <w:r w:rsidRPr="006234AA">
              <w:rPr>
                <w:color w:val="auto"/>
              </w:rPr>
              <w:t>Cổ phiếu phổ thông, cổ phiếu ưu đãi của các công ty đại chúng đã đăng ký lưu ký, nhưng chưa  niêm yết hoặc đăng ký giao dịch; cổ phiếu đang trong đợt phát hành lần đầu (IPO)</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30%</w:t>
            </w:r>
          </w:p>
        </w:tc>
      </w:tr>
      <w:tr w:rsidR="00DB0200" w:rsidRPr="006234AA" w:rsidTr="00D60CD2">
        <w:trPr>
          <w:trHeight w:val="247"/>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 xml:space="preserve">12. </w:t>
            </w:r>
          </w:p>
        </w:tc>
        <w:tc>
          <w:tcPr>
            <w:tcW w:w="7773" w:type="dxa"/>
            <w:vAlign w:val="center"/>
          </w:tcPr>
          <w:p w:rsidR="00DB0200" w:rsidRPr="006234AA" w:rsidRDefault="00DB0200" w:rsidP="003C0546">
            <w:pPr>
              <w:pStyle w:val="Default"/>
              <w:spacing w:before="120" w:after="120"/>
              <w:ind w:left="10" w:hanging="10"/>
              <w:rPr>
                <w:color w:val="auto"/>
              </w:rPr>
            </w:pPr>
            <w:r w:rsidRPr="006234AA">
              <w:rPr>
                <w:color w:val="auto"/>
              </w:rPr>
              <w:t>Cổ phiếu của các công ty đại chúng  khác</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50%</w:t>
            </w:r>
          </w:p>
        </w:tc>
      </w:tr>
      <w:tr w:rsidR="00DB0200" w:rsidRPr="006234AA" w:rsidTr="00D60CD2">
        <w:trPr>
          <w:trHeight w:val="247"/>
        </w:trPr>
        <w:tc>
          <w:tcPr>
            <w:tcW w:w="8648" w:type="dxa"/>
            <w:gridSpan w:val="2"/>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Chứng chỉ quỹ đầu tư chứng khoán</w:t>
            </w:r>
          </w:p>
        </w:tc>
        <w:tc>
          <w:tcPr>
            <w:tcW w:w="1559"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253"/>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 xml:space="preserve">13. </w:t>
            </w:r>
          </w:p>
        </w:tc>
        <w:tc>
          <w:tcPr>
            <w:tcW w:w="7773" w:type="dxa"/>
            <w:vAlign w:val="center"/>
          </w:tcPr>
          <w:p w:rsidR="00DB0200" w:rsidRPr="006234AA" w:rsidRDefault="00DB0200" w:rsidP="003C0546">
            <w:pPr>
              <w:pStyle w:val="Default"/>
              <w:spacing w:before="120" w:after="120"/>
              <w:ind w:left="1701" w:hanging="1701"/>
              <w:rPr>
                <w:color w:val="auto"/>
              </w:rPr>
            </w:pPr>
            <w:r w:rsidRPr="006234AA">
              <w:rPr>
                <w:color w:val="auto"/>
              </w:rPr>
              <w:t>Quỹ đại chúng</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10%</w:t>
            </w:r>
          </w:p>
        </w:tc>
      </w:tr>
      <w:tr w:rsidR="00DB0200" w:rsidRPr="006234AA" w:rsidTr="00D60CD2">
        <w:trPr>
          <w:trHeight w:val="268"/>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 xml:space="preserve">14. </w:t>
            </w:r>
          </w:p>
        </w:tc>
        <w:tc>
          <w:tcPr>
            <w:tcW w:w="7773" w:type="dxa"/>
            <w:vAlign w:val="center"/>
          </w:tcPr>
          <w:p w:rsidR="00DB0200" w:rsidRPr="006234AA" w:rsidRDefault="00DB0200" w:rsidP="003C0546">
            <w:pPr>
              <w:pStyle w:val="Default"/>
              <w:spacing w:before="120" w:after="120"/>
              <w:ind w:left="1701" w:hanging="1701"/>
              <w:rPr>
                <w:color w:val="auto"/>
              </w:rPr>
            </w:pPr>
            <w:r w:rsidRPr="006234AA">
              <w:rPr>
                <w:color w:val="auto"/>
              </w:rPr>
              <w:t>Quỹ thành viên</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30%</w:t>
            </w:r>
          </w:p>
        </w:tc>
      </w:tr>
      <w:tr w:rsidR="00DB0200" w:rsidRPr="006234AA" w:rsidTr="00D60CD2">
        <w:trPr>
          <w:trHeight w:val="247"/>
        </w:trPr>
        <w:tc>
          <w:tcPr>
            <w:tcW w:w="8648" w:type="dxa"/>
            <w:gridSpan w:val="2"/>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Chứng khoán bị hạn chế giao dịch</w:t>
            </w:r>
          </w:p>
        </w:tc>
        <w:tc>
          <w:tcPr>
            <w:tcW w:w="1559"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247"/>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 xml:space="preserve">15. </w:t>
            </w:r>
          </w:p>
        </w:tc>
        <w:tc>
          <w:tcPr>
            <w:tcW w:w="7773" w:type="dxa"/>
            <w:vAlign w:val="center"/>
          </w:tcPr>
          <w:p w:rsidR="00DB0200" w:rsidRPr="006234AA" w:rsidRDefault="00DB0200" w:rsidP="003C0546">
            <w:pPr>
              <w:pStyle w:val="Default"/>
              <w:spacing w:before="120" w:after="120"/>
              <w:ind w:left="10" w:hanging="10"/>
              <w:rPr>
                <w:color w:val="auto"/>
              </w:rPr>
            </w:pPr>
            <w:r w:rsidRPr="006234AA">
              <w:rPr>
                <w:color w:val="auto"/>
              </w:rPr>
              <w:t>Chứng khoán bị tạm ngừng, đình chỉ giao dịch (không bao gồm trường hợp cổ phiếu tạm ngừng giao dịch để chuyển sàn giao dịch)</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40%</w:t>
            </w:r>
          </w:p>
        </w:tc>
      </w:tr>
      <w:tr w:rsidR="00DB0200" w:rsidRPr="006234AA" w:rsidTr="00D60CD2">
        <w:trPr>
          <w:trHeight w:val="270"/>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16.</w:t>
            </w:r>
          </w:p>
        </w:tc>
        <w:tc>
          <w:tcPr>
            <w:tcW w:w="7773" w:type="dxa"/>
            <w:vAlign w:val="center"/>
          </w:tcPr>
          <w:p w:rsidR="00DB0200" w:rsidRPr="006234AA" w:rsidRDefault="00DB0200" w:rsidP="003C0546">
            <w:pPr>
              <w:pStyle w:val="Default"/>
              <w:spacing w:before="120" w:after="120"/>
              <w:ind w:left="1701" w:hanging="1701"/>
              <w:rPr>
                <w:color w:val="auto"/>
              </w:rPr>
            </w:pPr>
            <w:r w:rsidRPr="006234AA">
              <w:rPr>
                <w:color w:val="auto"/>
              </w:rPr>
              <w:t>Chứng khoán bị hủy niêm yết, hủy giao dịch</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50%</w:t>
            </w:r>
          </w:p>
        </w:tc>
      </w:tr>
      <w:tr w:rsidR="00DB0200" w:rsidRPr="006234AA" w:rsidTr="00D60CD2">
        <w:trPr>
          <w:trHeight w:val="268"/>
        </w:trPr>
        <w:tc>
          <w:tcPr>
            <w:tcW w:w="8648" w:type="dxa"/>
            <w:gridSpan w:val="2"/>
            <w:shd w:val="clear" w:color="auto" w:fill="D9D9D9"/>
            <w:vAlign w:val="center"/>
          </w:tcPr>
          <w:p w:rsidR="00DB0200" w:rsidRPr="006234AA" w:rsidRDefault="00DB0200" w:rsidP="003C0546">
            <w:pPr>
              <w:pStyle w:val="Default"/>
              <w:spacing w:before="120" w:after="120"/>
              <w:ind w:left="1701" w:hanging="1701"/>
              <w:rPr>
                <w:b/>
                <w:color w:val="auto"/>
              </w:rPr>
            </w:pPr>
            <w:r w:rsidRPr="006234AA">
              <w:rPr>
                <w:b/>
                <w:color w:val="auto"/>
              </w:rPr>
              <w:t>Chứng khoán khác</w:t>
            </w:r>
          </w:p>
        </w:tc>
        <w:tc>
          <w:tcPr>
            <w:tcW w:w="1559"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383"/>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17.</w:t>
            </w:r>
          </w:p>
        </w:tc>
        <w:tc>
          <w:tcPr>
            <w:tcW w:w="7773" w:type="dxa"/>
            <w:vAlign w:val="center"/>
          </w:tcPr>
          <w:p w:rsidR="00DB0200" w:rsidRPr="006234AA" w:rsidRDefault="00DB0200" w:rsidP="003C0546">
            <w:pPr>
              <w:pStyle w:val="Default"/>
              <w:spacing w:before="120" w:after="120"/>
              <w:ind w:left="1701" w:hanging="1701"/>
              <w:rPr>
                <w:color w:val="auto"/>
              </w:rPr>
            </w:pPr>
            <w:r w:rsidRPr="006234AA">
              <w:rPr>
                <w:color w:val="auto"/>
              </w:rPr>
              <w:t>Cổ phần, phần vốn góp và các loại chứng khoán khác</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80%</w:t>
            </w:r>
          </w:p>
        </w:tc>
      </w:tr>
      <w:tr w:rsidR="00DB0200" w:rsidRPr="006234AA" w:rsidTr="00D60CD2">
        <w:trPr>
          <w:trHeight w:val="268"/>
        </w:trPr>
        <w:tc>
          <w:tcPr>
            <w:tcW w:w="8648" w:type="dxa"/>
            <w:gridSpan w:val="2"/>
            <w:shd w:val="clear" w:color="auto" w:fill="D9D9D9"/>
            <w:vAlign w:val="center"/>
          </w:tcPr>
          <w:p w:rsidR="00DB0200" w:rsidRPr="006234AA" w:rsidRDefault="00DB0200" w:rsidP="003C0546">
            <w:pPr>
              <w:pStyle w:val="Default"/>
              <w:spacing w:before="120" w:after="120"/>
              <w:ind w:left="1701" w:hanging="1701"/>
              <w:rPr>
                <w:b/>
                <w:color w:val="auto"/>
              </w:rPr>
            </w:pPr>
            <w:r w:rsidRPr="006234AA">
              <w:rPr>
                <w:b/>
                <w:color w:val="auto"/>
              </w:rPr>
              <w:lastRenderedPageBreak/>
              <w:t>Chứng khoán phái sinh niêm yết</w:t>
            </w:r>
          </w:p>
        </w:tc>
        <w:tc>
          <w:tcPr>
            <w:tcW w:w="1559"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383"/>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18.</w:t>
            </w:r>
          </w:p>
        </w:tc>
        <w:tc>
          <w:tcPr>
            <w:tcW w:w="7773" w:type="dxa"/>
            <w:vAlign w:val="center"/>
          </w:tcPr>
          <w:p w:rsidR="00DB0200" w:rsidRPr="006234AA" w:rsidRDefault="00DB0200" w:rsidP="003C0546">
            <w:pPr>
              <w:pStyle w:val="Default"/>
              <w:spacing w:before="120" w:after="120"/>
              <w:ind w:left="1701" w:hanging="1701"/>
              <w:rPr>
                <w:color w:val="auto"/>
              </w:rPr>
            </w:pPr>
            <w:r w:rsidRPr="006234AA">
              <w:rPr>
                <w:color w:val="auto"/>
              </w:rPr>
              <w:t>Hợp đồng tương lai chỉ số</w:t>
            </w:r>
          </w:p>
        </w:tc>
        <w:tc>
          <w:tcPr>
            <w:tcW w:w="1559" w:type="dxa"/>
            <w:vAlign w:val="center"/>
          </w:tcPr>
          <w:p w:rsidR="00DB0200" w:rsidRPr="006234AA" w:rsidRDefault="00DB0200" w:rsidP="003C0546">
            <w:pPr>
              <w:pStyle w:val="Default"/>
              <w:spacing w:before="120" w:after="120"/>
              <w:jc w:val="center"/>
              <w:rPr>
                <w:color w:val="auto"/>
              </w:rPr>
            </w:pPr>
            <w:r w:rsidRPr="006234AA">
              <w:rPr>
                <w:color w:val="auto"/>
              </w:rPr>
              <w:t>10% giá trị cam kết</w:t>
            </w:r>
          </w:p>
        </w:tc>
      </w:tr>
      <w:tr w:rsidR="00DB0200" w:rsidRPr="006234AA" w:rsidTr="00D60CD2">
        <w:trPr>
          <w:trHeight w:val="383"/>
        </w:trPr>
        <w:tc>
          <w:tcPr>
            <w:tcW w:w="875" w:type="dxa"/>
            <w:vAlign w:val="center"/>
          </w:tcPr>
          <w:p w:rsidR="00DB0200" w:rsidRPr="006234AA" w:rsidRDefault="00DB0200" w:rsidP="003C0546">
            <w:pPr>
              <w:pStyle w:val="Default"/>
              <w:spacing w:before="120" w:after="120"/>
              <w:ind w:left="1701" w:hanging="1701"/>
              <w:jc w:val="center"/>
              <w:rPr>
                <w:color w:val="auto"/>
              </w:rPr>
            </w:pPr>
          </w:p>
        </w:tc>
        <w:tc>
          <w:tcPr>
            <w:tcW w:w="7773" w:type="dxa"/>
            <w:vAlign w:val="center"/>
          </w:tcPr>
          <w:p w:rsidR="00DB0200" w:rsidRPr="006234AA" w:rsidRDefault="00DB0200" w:rsidP="003C0546">
            <w:pPr>
              <w:pStyle w:val="Default"/>
              <w:spacing w:before="120" w:after="120"/>
              <w:rPr>
                <w:color w:val="auto"/>
              </w:rPr>
            </w:pPr>
            <w:r w:rsidRPr="006234AA">
              <w:rPr>
                <w:color w:val="auto"/>
              </w:rPr>
              <w:t xml:space="preserve">trường hợp là giao dịch phòng ngừa rủi ro (hedging) cho một danh mục đầu tư (DMĐT): </w:t>
            </w:r>
          </w:p>
        </w:tc>
        <w:tc>
          <w:tcPr>
            <w:tcW w:w="1559" w:type="dxa"/>
            <w:vAlign w:val="center"/>
          </w:tcPr>
          <w:p w:rsidR="00DB0200" w:rsidRPr="006234AA" w:rsidDel="009604C5" w:rsidRDefault="00DB0200" w:rsidP="003C0546">
            <w:pPr>
              <w:pStyle w:val="Default"/>
              <w:spacing w:before="120" w:after="120"/>
              <w:jc w:val="center"/>
              <w:rPr>
                <w:color w:val="auto"/>
              </w:rPr>
            </w:pPr>
            <w:r w:rsidRPr="006234AA">
              <w:rPr>
                <w:color w:val="auto"/>
              </w:rPr>
              <w:t>(2.5% giá trị cam kết) + (2.5% giá trị thị trường của DMĐT)</w:t>
            </w:r>
          </w:p>
        </w:tc>
      </w:tr>
      <w:tr w:rsidR="00DB0200" w:rsidRPr="006234AA" w:rsidTr="00D60CD2">
        <w:trPr>
          <w:trHeight w:val="383"/>
        </w:trPr>
        <w:tc>
          <w:tcPr>
            <w:tcW w:w="875"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pStyle w:val="Default"/>
              <w:spacing w:before="120" w:after="120"/>
              <w:ind w:left="1701" w:hanging="1701"/>
              <w:jc w:val="center"/>
              <w:rPr>
                <w:color w:val="auto"/>
              </w:rPr>
            </w:pPr>
            <w:r w:rsidRPr="006234AA">
              <w:rPr>
                <w:color w:val="auto"/>
              </w:rPr>
              <w:t>19.</w:t>
            </w:r>
          </w:p>
        </w:tc>
        <w:tc>
          <w:tcPr>
            <w:tcW w:w="7773"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pStyle w:val="Default"/>
              <w:spacing w:before="120" w:after="120"/>
              <w:ind w:left="1701" w:hanging="1701"/>
              <w:rPr>
                <w:color w:val="auto"/>
              </w:rPr>
            </w:pPr>
            <w:r w:rsidRPr="006234AA">
              <w:rPr>
                <w:color w:val="auto"/>
              </w:rPr>
              <w:t>Hợp đồng tương lai trái phiếu Chính phủ</w:t>
            </w:r>
          </w:p>
        </w:tc>
        <w:tc>
          <w:tcPr>
            <w:tcW w:w="1559" w:type="dxa"/>
            <w:tcBorders>
              <w:top w:val="single" w:sz="4" w:space="0" w:color="auto"/>
              <w:left w:val="single" w:sz="4" w:space="0" w:color="auto"/>
              <w:bottom w:val="single" w:sz="4" w:space="0" w:color="auto"/>
              <w:right w:val="single" w:sz="4" w:space="0" w:color="auto"/>
            </w:tcBorders>
            <w:vAlign w:val="center"/>
          </w:tcPr>
          <w:p w:rsidR="00DB0200" w:rsidRPr="006234AA" w:rsidRDefault="00DB0200" w:rsidP="003C0546">
            <w:pPr>
              <w:pStyle w:val="Default"/>
              <w:spacing w:before="120" w:after="120"/>
              <w:jc w:val="center"/>
              <w:rPr>
                <w:color w:val="auto"/>
              </w:rPr>
            </w:pPr>
            <w:r w:rsidRPr="006234AA">
              <w:rPr>
                <w:color w:val="auto"/>
              </w:rPr>
              <w:t>8% giá trị cam kết</w:t>
            </w:r>
          </w:p>
        </w:tc>
      </w:tr>
    </w:tbl>
    <w:p w:rsidR="00DB0200" w:rsidRPr="006234AA" w:rsidRDefault="00DB0200" w:rsidP="003C0546">
      <w:pPr>
        <w:spacing w:after="120"/>
        <w:ind w:firstLine="0"/>
        <w:jc w:val="left"/>
        <w:rPr>
          <w:sz w:val="24"/>
          <w:szCs w:val="24"/>
        </w:rPr>
      </w:pPr>
    </w:p>
    <w:p w:rsidR="00DB0200" w:rsidRPr="006234AA" w:rsidRDefault="00DB0200" w:rsidP="003C0546">
      <w:pPr>
        <w:spacing w:after="120"/>
        <w:ind w:firstLine="0"/>
        <w:jc w:val="left"/>
        <w:rPr>
          <w:sz w:val="24"/>
          <w:szCs w:val="24"/>
        </w:rPr>
      </w:pPr>
    </w:p>
    <w:p w:rsidR="00DB0200" w:rsidRPr="006234AA" w:rsidRDefault="00DB0200" w:rsidP="003C0546">
      <w:pPr>
        <w:tabs>
          <w:tab w:val="left" w:pos="1080"/>
        </w:tabs>
        <w:spacing w:after="120"/>
        <w:ind w:firstLine="0"/>
        <w:rPr>
          <w:b/>
          <w:sz w:val="24"/>
          <w:szCs w:val="24"/>
        </w:rPr>
      </w:pPr>
      <w:r w:rsidRPr="006234AA">
        <w:rPr>
          <w:b/>
          <w:sz w:val="24"/>
          <w:szCs w:val="24"/>
        </w:rPr>
        <w:t>VII. GIÁ TRỊ TÀI SẢN ĐƯỢC CHẤP THUẬN KÝ QUỸ</w:t>
      </w:r>
    </w:p>
    <w:p w:rsidR="00DB0200" w:rsidRPr="006234AA" w:rsidRDefault="00DB0200" w:rsidP="003C0546">
      <w:pPr>
        <w:tabs>
          <w:tab w:val="left" w:pos="1080"/>
        </w:tabs>
        <w:spacing w:after="120"/>
        <w:jc w:val="center"/>
        <w:outlineLvl w:val="0"/>
        <w:rPr>
          <w:sz w:val="24"/>
          <w:szCs w:val="24"/>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7914"/>
        <w:gridCol w:w="1418"/>
      </w:tblGrid>
      <w:tr w:rsidR="00DB0200" w:rsidRPr="006234AA" w:rsidTr="00D60CD2">
        <w:trPr>
          <w:trHeight w:val="498"/>
        </w:trPr>
        <w:tc>
          <w:tcPr>
            <w:tcW w:w="875" w:type="dxa"/>
            <w:shd w:val="clear" w:color="auto" w:fill="D9D9D9"/>
            <w:vAlign w:val="center"/>
          </w:tcPr>
          <w:p w:rsidR="00DB0200" w:rsidRPr="006234AA" w:rsidRDefault="00DB0200" w:rsidP="003C0546">
            <w:pPr>
              <w:pStyle w:val="Default"/>
              <w:spacing w:before="120" w:after="120"/>
              <w:ind w:left="1701" w:hanging="1701"/>
              <w:jc w:val="center"/>
              <w:rPr>
                <w:color w:val="auto"/>
              </w:rPr>
            </w:pPr>
            <w:r w:rsidRPr="006234AA">
              <w:rPr>
                <w:b/>
                <w:bCs/>
                <w:color w:val="auto"/>
              </w:rPr>
              <w:t xml:space="preserve">STT </w:t>
            </w:r>
          </w:p>
        </w:tc>
        <w:tc>
          <w:tcPr>
            <w:tcW w:w="7914" w:type="dxa"/>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Loại tài sản</w:t>
            </w:r>
          </w:p>
        </w:tc>
        <w:tc>
          <w:tcPr>
            <w:tcW w:w="1418" w:type="dxa"/>
            <w:shd w:val="clear" w:color="auto" w:fill="D9D9D9"/>
            <w:vAlign w:val="center"/>
          </w:tcPr>
          <w:p w:rsidR="00DB0200" w:rsidRPr="006234AA" w:rsidRDefault="00DB0200" w:rsidP="003C0546">
            <w:pPr>
              <w:pStyle w:val="Default"/>
              <w:spacing w:before="120" w:after="120"/>
              <w:jc w:val="center"/>
              <w:rPr>
                <w:color w:val="auto"/>
              </w:rPr>
            </w:pPr>
            <w:r w:rsidRPr="006234AA">
              <w:rPr>
                <w:b/>
                <w:bCs/>
                <w:color w:val="auto"/>
              </w:rPr>
              <w:t>Tỷ lệ so với giá thị trường</w:t>
            </w:r>
          </w:p>
        </w:tc>
      </w:tr>
      <w:tr w:rsidR="00DB0200" w:rsidRPr="006234AA" w:rsidTr="00D60CD2">
        <w:trPr>
          <w:trHeight w:val="268"/>
        </w:trPr>
        <w:tc>
          <w:tcPr>
            <w:tcW w:w="8789" w:type="dxa"/>
            <w:gridSpan w:val="2"/>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Tiền</w:t>
            </w:r>
          </w:p>
        </w:tc>
        <w:tc>
          <w:tcPr>
            <w:tcW w:w="1418" w:type="dxa"/>
            <w:shd w:val="clear" w:color="auto" w:fill="D9D9D9"/>
          </w:tcPr>
          <w:p w:rsidR="00DB0200" w:rsidRPr="006234AA" w:rsidRDefault="00DB0200" w:rsidP="003C0546">
            <w:pPr>
              <w:pStyle w:val="Default"/>
              <w:spacing w:before="120" w:after="120"/>
              <w:rPr>
                <w:color w:val="auto"/>
              </w:rPr>
            </w:pPr>
          </w:p>
        </w:tc>
      </w:tr>
      <w:tr w:rsidR="00DB0200" w:rsidRPr="006234AA" w:rsidTr="00D60CD2">
        <w:trPr>
          <w:trHeight w:val="268"/>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1.</w:t>
            </w:r>
          </w:p>
        </w:tc>
        <w:tc>
          <w:tcPr>
            <w:tcW w:w="7914" w:type="dxa"/>
            <w:vAlign w:val="center"/>
          </w:tcPr>
          <w:p w:rsidR="00DB0200" w:rsidRPr="006234AA" w:rsidRDefault="00DB0200" w:rsidP="003C0546">
            <w:pPr>
              <w:pStyle w:val="Default"/>
              <w:spacing w:before="120" w:after="120"/>
              <w:ind w:left="1701" w:hanging="1701"/>
              <w:rPr>
                <w:color w:val="auto"/>
              </w:rPr>
            </w:pPr>
            <w:r w:rsidRPr="006234AA">
              <w:rPr>
                <w:color w:val="auto"/>
              </w:rPr>
              <w:t>Tiền mặt</w:t>
            </w:r>
          </w:p>
        </w:tc>
        <w:tc>
          <w:tcPr>
            <w:tcW w:w="1418" w:type="dxa"/>
            <w:vAlign w:val="center"/>
          </w:tcPr>
          <w:p w:rsidR="00DB0200" w:rsidRPr="006234AA" w:rsidRDefault="00DB0200" w:rsidP="003C0546">
            <w:pPr>
              <w:pStyle w:val="Default"/>
              <w:spacing w:before="120" w:after="120"/>
              <w:jc w:val="center"/>
              <w:rPr>
                <w:color w:val="auto"/>
              </w:rPr>
            </w:pPr>
            <w:r w:rsidRPr="006234AA">
              <w:rPr>
                <w:color w:val="auto"/>
              </w:rPr>
              <w:t>100%</w:t>
            </w:r>
          </w:p>
        </w:tc>
      </w:tr>
      <w:tr w:rsidR="00DB0200" w:rsidRPr="006234AA" w:rsidTr="00D60CD2">
        <w:trPr>
          <w:trHeight w:val="268"/>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2.</w:t>
            </w:r>
          </w:p>
        </w:tc>
        <w:tc>
          <w:tcPr>
            <w:tcW w:w="7914" w:type="dxa"/>
            <w:vAlign w:val="center"/>
          </w:tcPr>
          <w:p w:rsidR="00DB0200" w:rsidRPr="006234AA" w:rsidRDefault="00DB0200" w:rsidP="003C0546">
            <w:pPr>
              <w:pStyle w:val="Default"/>
              <w:spacing w:before="120" w:after="120"/>
              <w:ind w:left="1701" w:hanging="1701"/>
              <w:rPr>
                <w:color w:val="auto"/>
              </w:rPr>
            </w:pPr>
            <w:r w:rsidRPr="006234AA">
              <w:rPr>
                <w:color w:val="auto"/>
              </w:rPr>
              <w:t>Các khoản tương đương tiền</w:t>
            </w:r>
          </w:p>
        </w:tc>
        <w:tc>
          <w:tcPr>
            <w:tcW w:w="1418" w:type="dxa"/>
            <w:vAlign w:val="center"/>
          </w:tcPr>
          <w:p w:rsidR="00DB0200" w:rsidRPr="006234AA" w:rsidRDefault="00DB0200" w:rsidP="003C0546">
            <w:pPr>
              <w:pStyle w:val="Default"/>
              <w:spacing w:before="120" w:after="120"/>
              <w:jc w:val="center"/>
              <w:rPr>
                <w:color w:val="auto"/>
              </w:rPr>
            </w:pPr>
            <w:r w:rsidRPr="006234AA">
              <w:rPr>
                <w:color w:val="auto"/>
              </w:rPr>
              <w:t>100%</w:t>
            </w:r>
          </w:p>
        </w:tc>
      </w:tr>
      <w:tr w:rsidR="00DB0200" w:rsidRPr="006234AA" w:rsidTr="00D60CD2">
        <w:trPr>
          <w:trHeight w:val="263"/>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3.</w:t>
            </w:r>
          </w:p>
        </w:tc>
        <w:tc>
          <w:tcPr>
            <w:tcW w:w="7914" w:type="dxa"/>
            <w:vAlign w:val="center"/>
          </w:tcPr>
          <w:p w:rsidR="00DB0200" w:rsidRPr="006234AA" w:rsidRDefault="00DB0200" w:rsidP="003C0546">
            <w:pPr>
              <w:pStyle w:val="Default"/>
              <w:spacing w:before="120" w:after="120"/>
              <w:ind w:left="1701" w:hanging="1701"/>
              <w:rPr>
                <w:color w:val="auto"/>
              </w:rPr>
            </w:pPr>
            <w:r w:rsidRPr="006234AA">
              <w:rPr>
                <w:color w:val="auto"/>
              </w:rPr>
              <w:t>Giấy tờ có giá, công cụ chuyển nhượng trên thị trường tiền tệ</w:t>
            </w:r>
          </w:p>
        </w:tc>
        <w:tc>
          <w:tcPr>
            <w:tcW w:w="1418" w:type="dxa"/>
            <w:vAlign w:val="center"/>
          </w:tcPr>
          <w:p w:rsidR="00DB0200" w:rsidRPr="006234AA" w:rsidRDefault="00DB0200" w:rsidP="003C0546">
            <w:pPr>
              <w:pStyle w:val="Default"/>
              <w:spacing w:before="120" w:after="120"/>
              <w:jc w:val="center"/>
              <w:rPr>
                <w:color w:val="auto"/>
              </w:rPr>
            </w:pPr>
            <w:r w:rsidRPr="006234AA">
              <w:rPr>
                <w:color w:val="auto"/>
              </w:rPr>
              <w:t>100%</w:t>
            </w:r>
          </w:p>
        </w:tc>
      </w:tr>
      <w:tr w:rsidR="00DB0200" w:rsidRPr="006234AA" w:rsidTr="00D60CD2">
        <w:trPr>
          <w:trHeight w:val="247"/>
        </w:trPr>
        <w:tc>
          <w:tcPr>
            <w:tcW w:w="8789" w:type="dxa"/>
            <w:gridSpan w:val="2"/>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Chứng khoán Nợ</w:t>
            </w:r>
          </w:p>
        </w:tc>
        <w:tc>
          <w:tcPr>
            <w:tcW w:w="1418"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247"/>
        </w:trPr>
        <w:tc>
          <w:tcPr>
            <w:tcW w:w="8789" w:type="dxa"/>
            <w:gridSpan w:val="2"/>
            <w:shd w:val="clear" w:color="auto" w:fill="D9D9D9"/>
            <w:vAlign w:val="center"/>
          </w:tcPr>
          <w:p w:rsidR="00DB0200" w:rsidRPr="006234AA" w:rsidRDefault="00DB0200" w:rsidP="003C0546">
            <w:pPr>
              <w:pStyle w:val="Default"/>
              <w:spacing w:before="120" w:after="120"/>
              <w:ind w:left="1701" w:hanging="1701"/>
              <w:rPr>
                <w:b/>
                <w:bCs/>
                <w:color w:val="auto"/>
              </w:rPr>
            </w:pPr>
            <w:r w:rsidRPr="006234AA">
              <w:rPr>
                <w:b/>
                <w:bCs/>
                <w:color w:val="auto"/>
              </w:rPr>
              <w:t>Trái phiếu Chính phủ</w:t>
            </w:r>
          </w:p>
        </w:tc>
        <w:tc>
          <w:tcPr>
            <w:tcW w:w="1418"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247"/>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4.</w:t>
            </w:r>
          </w:p>
        </w:tc>
        <w:tc>
          <w:tcPr>
            <w:tcW w:w="7914" w:type="dxa"/>
            <w:vAlign w:val="center"/>
          </w:tcPr>
          <w:p w:rsidR="00DB0200" w:rsidRPr="006234AA" w:rsidRDefault="00DB0200" w:rsidP="003C0546">
            <w:pPr>
              <w:pStyle w:val="Default"/>
              <w:spacing w:before="120" w:after="120"/>
              <w:rPr>
                <w:color w:val="auto"/>
              </w:rPr>
            </w:pPr>
            <w:r w:rsidRPr="006234AA">
              <w:rPr>
                <w:color w:val="auto"/>
              </w:rPr>
              <w:t>Trái phiếu Chính phủ không trả lãi</w:t>
            </w:r>
          </w:p>
        </w:tc>
        <w:tc>
          <w:tcPr>
            <w:tcW w:w="1418" w:type="dxa"/>
            <w:vAlign w:val="center"/>
          </w:tcPr>
          <w:p w:rsidR="00DB0200" w:rsidRPr="006234AA" w:rsidRDefault="00DB0200" w:rsidP="003C0546">
            <w:pPr>
              <w:pStyle w:val="Default"/>
              <w:spacing w:before="120" w:after="120"/>
              <w:jc w:val="center"/>
              <w:rPr>
                <w:color w:val="auto"/>
              </w:rPr>
            </w:pPr>
            <w:r w:rsidRPr="006234AA">
              <w:rPr>
                <w:color w:val="auto"/>
              </w:rPr>
              <w:t>100%</w:t>
            </w:r>
          </w:p>
        </w:tc>
      </w:tr>
      <w:tr w:rsidR="00DB0200" w:rsidRPr="006234AA" w:rsidTr="00D60CD2">
        <w:trPr>
          <w:trHeight w:val="247"/>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5.</w:t>
            </w:r>
          </w:p>
        </w:tc>
        <w:tc>
          <w:tcPr>
            <w:tcW w:w="7914" w:type="dxa"/>
            <w:vAlign w:val="center"/>
          </w:tcPr>
          <w:p w:rsidR="00DB0200" w:rsidRPr="006234AA" w:rsidRDefault="00DB0200" w:rsidP="003C0546">
            <w:pPr>
              <w:pStyle w:val="Default"/>
              <w:spacing w:before="120" w:after="120"/>
              <w:rPr>
                <w:color w:val="auto"/>
              </w:rPr>
            </w:pPr>
            <w:r w:rsidRPr="006234AA">
              <w:rPr>
                <w:color w:val="auto"/>
              </w:rPr>
              <w:t xml:space="preserve">Trái phiếu Chính phủ trả lãi suất cuống phiếu </w:t>
            </w:r>
          </w:p>
        </w:tc>
        <w:tc>
          <w:tcPr>
            <w:tcW w:w="1418" w:type="dxa"/>
            <w:vAlign w:val="center"/>
          </w:tcPr>
          <w:p w:rsidR="00DB0200" w:rsidRPr="006234AA" w:rsidRDefault="00DB0200" w:rsidP="003C0546">
            <w:pPr>
              <w:pStyle w:val="Default"/>
              <w:spacing w:before="120" w:after="120"/>
              <w:jc w:val="center"/>
              <w:rPr>
                <w:color w:val="auto"/>
              </w:rPr>
            </w:pPr>
            <w:r w:rsidRPr="006234AA">
              <w:rPr>
                <w:color w:val="auto"/>
              </w:rPr>
              <w:t>97%</w:t>
            </w:r>
          </w:p>
        </w:tc>
      </w:tr>
      <w:tr w:rsidR="00DB0200" w:rsidRPr="006234AA" w:rsidTr="00D60CD2">
        <w:trPr>
          <w:trHeight w:val="250"/>
        </w:trPr>
        <w:tc>
          <w:tcPr>
            <w:tcW w:w="8789" w:type="dxa"/>
            <w:gridSpan w:val="2"/>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Cổ phiếu</w:t>
            </w:r>
          </w:p>
        </w:tc>
        <w:tc>
          <w:tcPr>
            <w:tcW w:w="1418"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268"/>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 xml:space="preserve">6. </w:t>
            </w:r>
          </w:p>
        </w:tc>
        <w:tc>
          <w:tcPr>
            <w:tcW w:w="7914" w:type="dxa"/>
            <w:vAlign w:val="center"/>
          </w:tcPr>
          <w:p w:rsidR="00DB0200" w:rsidRPr="006234AA" w:rsidRDefault="00DB0200" w:rsidP="003C0546">
            <w:pPr>
              <w:pStyle w:val="Default"/>
              <w:spacing w:before="120" w:after="120"/>
              <w:ind w:left="9" w:hanging="9"/>
              <w:rPr>
                <w:color w:val="auto"/>
              </w:rPr>
            </w:pPr>
            <w:r w:rsidRPr="006234AA">
              <w:rPr>
                <w:color w:val="auto"/>
              </w:rPr>
              <w:t>Cổ phiếu phổ thông, cổ phiếu ưu đãi của các tổ chức niêm yết tại Sở Giao dịch Chứng khoán  Hồ Chí Minh; chứng chỉ quỹ mở</w:t>
            </w:r>
          </w:p>
        </w:tc>
        <w:tc>
          <w:tcPr>
            <w:tcW w:w="1418" w:type="dxa"/>
            <w:vAlign w:val="center"/>
          </w:tcPr>
          <w:p w:rsidR="00DB0200" w:rsidRPr="006234AA" w:rsidRDefault="00DB0200" w:rsidP="003C0546">
            <w:pPr>
              <w:pStyle w:val="Default"/>
              <w:spacing w:before="120" w:after="120"/>
              <w:jc w:val="center"/>
              <w:rPr>
                <w:color w:val="auto"/>
              </w:rPr>
            </w:pPr>
            <w:r w:rsidRPr="006234AA">
              <w:rPr>
                <w:color w:val="auto"/>
              </w:rPr>
              <w:t>90%</w:t>
            </w:r>
          </w:p>
        </w:tc>
      </w:tr>
      <w:tr w:rsidR="00DB0200" w:rsidRPr="006234AA" w:rsidTr="00D60CD2">
        <w:trPr>
          <w:trHeight w:val="268"/>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7.</w:t>
            </w:r>
          </w:p>
        </w:tc>
        <w:tc>
          <w:tcPr>
            <w:tcW w:w="7914" w:type="dxa"/>
            <w:vAlign w:val="center"/>
          </w:tcPr>
          <w:p w:rsidR="00DB0200" w:rsidRPr="006234AA" w:rsidRDefault="00DB0200" w:rsidP="003C0546">
            <w:pPr>
              <w:pStyle w:val="Default"/>
              <w:spacing w:before="120" w:after="120"/>
              <w:ind w:left="9" w:hanging="9"/>
              <w:rPr>
                <w:color w:val="auto"/>
              </w:rPr>
            </w:pPr>
            <w:r w:rsidRPr="006234AA">
              <w:rPr>
                <w:color w:val="auto"/>
              </w:rPr>
              <w:t>Cổ phiếu phổ thông, cổ phiếu ưu đãi của các tổ chức niêm yết tại Sở Giao dịch Chứng khoán  Hà Nội</w:t>
            </w:r>
          </w:p>
        </w:tc>
        <w:tc>
          <w:tcPr>
            <w:tcW w:w="1418" w:type="dxa"/>
            <w:vAlign w:val="center"/>
          </w:tcPr>
          <w:p w:rsidR="00DB0200" w:rsidRPr="006234AA" w:rsidRDefault="00DB0200" w:rsidP="003C0546">
            <w:pPr>
              <w:pStyle w:val="Default"/>
              <w:spacing w:before="120" w:after="120"/>
              <w:jc w:val="center"/>
              <w:rPr>
                <w:color w:val="auto"/>
              </w:rPr>
            </w:pPr>
            <w:r w:rsidRPr="006234AA">
              <w:rPr>
                <w:color w:val="auto"/>
              </w:rPr>
              <w:t>85%</w:t>
            </w:r>
          </w:p>
        </w:tc>
      </w:tr>
      <w:tr w:rsidR="00DB0200" w:rsidRPr="006234AA" w:rsidTr="00D60CD2">
        <w:trPr>
          <w:trHeight w:val="247"/>
        </w:trPr>
        <w:tc>
          <w:tcPr>
            <w:tcW w:w="8789" w:type="dxa"/>
            <w:gridSpan w:val="2"/>
            <w:shd w:val="clear" w:color="auto" w:fill="D9D9D9"/>
            <w:vAlign w:val="center"/>
          </w:tcPr>
          <w:p w:rsidR="00DB0200" w:rsidRPr="006234AA" w:rsidRDefault="00DB0200" w:rsidP="003C0546">
            <w:pPr>
              <w:pStyle w:val="Default"/>
              <w:spacing w:before="120" w:after="120"/>
              <w:ind w:left="1701" w:hanging="1701"/>
              <w:rPr>
                <w:color w:val="auto"/>
              </w:rPr>
            </w:pPr>
            <w:r w:rsidRPr="006234AA">
              <w:rPr>
                <w:b/>
                <w:bCs/>
                <w:color w:val="auto"/>
              </w:rPr>
              <w:t>Chứng chỉ quỹ đầu tư chứng khoán</w:t>
            </w:r>
          </w:p>
        </w:tc>
        <w:tc>
          <w:tcPr>
            <w:tcW w:w="1418" w:type="dxa"/>
            <w:shd w:val="clear" w:color="auto" w:fill="D9D9D9"/>
          </w:tcPr>
          <w:p w:rsidR="00DB0200" w:rsidRPr="006234AA" w:rsidRDefault="00DB0200" w:rsidP="003C0546">
            <w:pPr>
              <w:pStyle w:val="Default"/>
              <w:spacing w:before="120" w:after="120"/>
              <w:jc w:val="center"/>
              <w:rPr>
                <w:color w:val="auto"/>
              </w:rPr>
            </w:pPr>
          </w:p>
        </w:tc>
      </w:tr>
      <w:tr w:rsidR="00DB0200" w:rsidRPr="006234AA" w:rsidTr="00D60CD2">
        <w:trPr>
          <w:trHeight w:val="253"/>
        </w:trPr>
        <w:tc>
          <w:tcPr>
            <w:tcW w:w="875" w:type="dxa"/>
            <w:vAlign w:val="center"/>
          </w:tcPr>
          <w:p w:rsidR="00DB0200" w:rsidRPr="006234AA" w:rsidRDefault="00DB0200" w:rsidP="003C0546">
            <w:pPr>
              <w:pStyle w:val="Default"/>
              <w:spacing w:before="120" w:after="120"/>
              <w:ind w:left="1701" w:hanging="1701"/>
              <w:jc w:val="center"/>
              <w:rPr>
                <w:color w:val="auto"/>
              </w:rPr>
            </w:pPr>
            <w:r w:rsidRPr="006234AA">
              <w:rPr>
                <w:color w:val="auto"/>
              </w:rPr>
              <w:t xml:space="preserve">8. </w:t>
            </w:r>
          </w:p>
        </w:tc>
        <w:tc>
          <w:tcPr>
            <w:tcW w:w="7914" w:type="dxa"/>
            <w:vAlign w:val="center"/>
          </w:tcPr>
          <w:p w:rsidR="00DB0200" w:rsidRPr="006234AA" w:rsidRDefault="00DB0200" w:rsidP="003C0546">
            <w:pPr>
              <w:pStyle w:val="Default"/>
              <w:spacing w:before="120" w:after="120"/>
              <w:ind w:left="1701" w:hanging="1701"/>
              <w:rPr>
                <w:color w:val="auto"/>
              </w:rPr>
            </w:pPr>
            <w:r w:rsidRPr="006234AA">
              <w:rPr>
                <w:color w:val="auto"/>
              </w:rPr>
              <w:t>Quỹ đại chúng</w:t>
            </w:r>
          </w:p>
        </w:tc>
        <w:tc>
          <w:tcPr>
            <w:tcW w:w="1418" w:type="dxa"/>
            <w:vAlign w:val="center"/>
          </w:tcPr>
          <w:p w:rsidR="00DB0200" w:rsidRPr="006234AA" w:rsidRDefault="00DB0200" w:rsidP="003C0546">
            <w:pPr>
              <w:pStyle w:val="Default"/>
              <w:spacing w:before="120" w:after="120"/>
              <w:jc w:val="center"/>
              <w:rPr>
                <w:color w:val="auto"/>
              </w:rPr>
            </w:pPr>
            <w:r w:rsidRPr="006234AA">
              <w:rPr>
                <w:color w:val="auto"/>
              </w:rPr>
              <w:t>90%</w:t>
            </w:r>
          </w:p>
        </w:tc>
      </w:tr>
    </w:tbl>
    <w:p w:rsidR="00DB0200" w:rsidRPr="006234AA" w:rsidRDefault="00DB0200" w:rsidP="003C0546">
      <w:pPr>
        <w:spacing w:after="120"/>
        <w:ind w:firstLine="0"/>
        <w:jc w:val="left"/>
        <w:rPr>
          <w:sz w:val="24"/>
          <w:szCs w:val="24"/>
        </w:rPr>
      </w:pPr>
    </w:p>
    <w:p w:rsidR="00DB0200" w:rsidRPr="006234AA" w:rsidRDefault="00DB0200" w:rsidP="003C0546">
      <w:pPr>
        <w:spacing w:after="120"/>
        <w:ind w:firstLine="0"/>
        <w:jc w:val="left"/>
        <w:rPr>
          <w:sz w:val="24"/>
          <w:szCs w:val="24"/>
        </w:rPr>
      </w:pPr>
      <w:r w:rsidRPr="006234AA">
        <w:rPr>
          <w:sz w:val="24"/>
          <w:szCs w:val="24"/>
        </w:rPr>
        <w:br w:type="page"/>
      </w:r>
    </w:p>
    <w:p w:rsidR="000D1B82" w:rsidRPr="006234AA" w:rsidRDefault="000D1B82" w:rsidP="003C0546">
      <w:pPr>
        <w:pStyle w:val="Heading5"/>
        <w:spacing w:after="120"/>
        <w:ind w:hanging="2912"/>
      </w:pPr>
      <w:bookmarkStart w:id="253" w:name="_Toc387730803"/>
      <w:bookmarkStart w:id="254" w:name="_Toc422672028"/>
      <w:r w:rsidRPr="006234AA">
        <w:lastRenderedPageBreak/>
        <w:t>Phương pháp tính ký quỹ</w:t>
      </w:r>
      <w:bookmarkEnd w:id="253"/>
      <w:bookmarkEnd w:id="254"/>
      <w:r w:rsidRPr="006234AA">
        <w:t xml:space="preserve"> </w:t>
      </w:r>
    </w:p>
    <w:p w:rsidR="009B26B1" w:rsidRPr="006234AA" w:rsidRDefault="00AA790F" w:rsidP="003C0546">
      <w:pPr>
        <w:spacing w:after="120"/>
        <w:ind w:firstLine="0"/>
        <w:jc w:val="center"/>
        <w:rPr>
          <w:b/>
          <w:bCs/>
          <w:i/>
          <w:iCs/>
          <w:lang w:val="nl-NL"/>
        </w:rPr>
      </w:pPr>
      <w:r w:rsidRPr="006234AA">
        <w:rPr>
          <w:i/>
          <w:iCs/>
          <w:lang w:val="nl-NL"/>
        </w:rPr>
        <w:t xml:space="preserve"> </w:t>
      </w:r>
      <w:r w:rsidR="009B26B1" w:rsidRPr="006234AA">
        <w:rPr>
          <w:i/>
          <w:iCs/>
          <w:lang w:val="nl-NL"/>
        </w:rPr>
        <w:t>(Ban hành kèm theo Thông tư số /2014/TT-BTC ngày tháng năm 2014 của Bộ Tài chính về chứng khoán phái sinh và thị trường chứng khoán phái sinh)</w:t>
      </w:r>
    </w:p>
    <w:p w:rsidR="00E15965" w:rsidRPr="006234AA" w:rsidRDefault="00FC4C85" w:rsidP="003C0546">
      <w:pPr>
        <w:pStyle w:val="ListParagraph"/>
        <w:numPr>
          <w:ilvl w:val="0"/>
          <w:numId w:val="6"/>
        </w:numPr>
        <w:tabs>
          <w:tab w:val="left" w:pos="426"/>
        </w:tabs>
        <w:spacing w:after="120"/>
        <w:ind w:left="851" w:hanging="851"/>
        <w:rPr>
          <w:b/>
          <w:bCs/>
        </w:rPr>
      </w:pPr>
      <w:r w:rsidRPr="006234AA">
        <w:rPr>
          <w:b/>
          <w:bCs/>
        </w:rPr>
        <w:t>Ký quỹ</w:t>
      </w:r>
      <w:r w:rsidR="00E15965" w:rsidRPr="006234AA">
        <w:rPr>
          <w:b/>
          <w:bCs/>
        </w:rPr>
        <w:t xml:space="preserve"> bù trừ</w:t>
      </w:r>
    </w:p>
    <w:p w:rsidR="00E15965" w:rsidRPr="006234AA" w:rsidRDefault="00FC4C85" w:rsidP="003C0546">
      <w:pPr>
        <w:tabs>
          <w:tab w:val="left" w:pos="1134"/>
        </w:tabs>
        <w:spacing w:after="120"/>
        <w:ind w:firstLine="0"/>
        <w:rPr>
          <w:lang w:val="nl-NL"/>
        </w:rPr>
      </w:pPr>
      <w:r w:rsidRPr="006234AA">
        <w:rPr>
          <w:lang w:val="nl-NL"/>
        </w:rPr>
        <w:t>Ký quỹ</w:t>
      </w:r>
      <w:r w:rsidR="00E15965" w:rsidRPr="006234AA">
        <w:rPr>
          <w:lang w:val="nl-NL"/>
        </w:rPr>
        <w:t xml:space="preserve"> bù trừ do </w:t>
      </w:r>
      <w:r w:rsidR="00F5451B" w:rsidRPr="006234AA">
        <w:rPr>
          <w:lang w:val="nl-NL"/>
        </w:rPr>
        <w:t>Trung tâm lưu ký chứng khoán</w:t>
      </w:r>
      <w:r w:rsidR="00E15965" w:rsidRPr="006234AA">
        <w:rPr>
          <w:lang w:val="nl-NL"/>
        </w:rPr>
        <w:t xml:space="preserve"> quy định cụ thể và theo nguyên tắc sau:</w:t>
      </w:r>
    </w:p>
    <w:p w:rsidR="00E15965" w:rsidRPr="006234AA" w:rsidRDefault="00FC4C85" w:rsidP="003C0546">
      <w:pPr>
        <w:spacing w:after="120"/>
        <w:ind w:firstLine="0"/>
        <w:rPr>
          <w:b/>
          <w:bCs/>
          <w:lang w:val="nl-NL"/>
        </w:rPr>
      </w:pPr>
      <w:r w:rsidRPr="006234AA">
        <w:rPr>
          <w:lang w:val="nl-NL"/>
        </w:rPr>
        <w:t>Ký quỹ</w:t>
      </w:r>
      <w:r w:rsidR="00E15965" w:rsidRPr="006234AA">
        <w:rPr>
          <w:lang w:val="nl-NL"/>
        </w:rPr>
        <w:t xml:space="preserve"> bù trừ = MG</w:t>
      </w:r>
      <w:r w:rsidR="00E15965" w:rsidRPr="006234AA">
        <w:rPr>
          <w:vertAlign w:val="subscript"/>
          <w:lang w:val="nl-NL"/>
        </w:rPr>
        <w:t>TV</w:t>
      </w:r>
      <w:r w:rsidR="00E15965" w:rsidRPr="006234AA">
        <w:rPr>
          <w:lang w:val="nl-NL"/>
        </w:rPr>
        <w:t xml:space="preserve"> = Max (</w:t>
      </w:r>
      <m:oMath>
        <m:sSup>
          <m:sSupPr>
            <m:ctrlPr>
              <w:rPr>
                <w:rFonts w:ascii="Cambria Math" w:hAnsi="Cambria Math"/>
                <w:i/>
                <w:lang w:val="nl-NL"/>
              </w:rPr>
            </m:ctrlPr>
          </m:sSupPr>
          <m:e>
            <m:r>
              <w:rPr>
                <w:rFonts w:ascii="Cambria Math" w:hAnsi="Cambria Math"/>
                <w:lang w:val="nl-NL"/>
              </w:rPr>
              <m:t>MG</m:t>
            </m:r>
          </m:e>
          <m:sup>
            <m:r>
              <w:rPr>
                <w:rFonts w:ascii="Cambria Math" w:hAnsi="Cambria Math"/>
                <w:lang w:val="nl-NL"/>
              </w:rPr>
              <m:t>TV</m:t>
            </m:r>
          </m:sup>
        </m:sSup>
        <m:r>
          <w:rPr>
            <w:rFonts w:ascii="Cambria Math" w:hAnsi="Cambria Math"/>
            <w:lang w:val="nl-NL"/>
          </w:rPr>
          <m:t>,</m:t>
        </m:r>
      </m:oMath>
      <w:r w:rsidR="00E15965" w:rsidRPr="006234AA">
        <w:rPr>
          <w:lang w:val="nl-NL"/>
        </w:rPr>
        <w:t xml:space="preserve"> MGmin)</w:t>
      </w:r>
    </w:p>
    <w:p w:rsidR="00E15965" w:rsidRPr="006234AA" w:rsidRDefault="00E15965" w:rsidP="003C0546">
      <w:pPr>
        <w:spacing w:after="120"/>
        <w:ind w:firstLine="0"/>
        <w:rPr>
          <w:b/>
          <w:bCs/>
          <w:lang w:val="nl-NL"/>
        </w:rPr>
      </w:pPr>
      <w:r w:rsidRPr="006234AA">
        <w:rPr>
          <w:lang w:val="nl-NL"/>
        </w:rPr>
        <w:t>Max (</w:t>
      </w:r>
      <w:r w:rsidRPr="006234AA">
        <w:rPr>
          <w:i/>
          <w:lang w:val="nl-NL"/>
        </w:rPr>
        <w:t xml:space="preserve">Ký quỹ vị thế tài khoản, bao gồm tài khoản tự doanh của thành viên bù trừ, tài khoản của từng khách hàng môi giới, tài khoản giao dịch tự doanh của từng thành viên giao dịch ủy thác </w:t>
      </w:r>
      <w:r w:rsidR="00666F37" w:rsidRPr="006234AA">
        <w:rPr>
          <w:i/>
          <w:lang w:val="nl-NL"/>
        </w:rPr>
        <w:t>bù trừ, thanh toán</w:t>
      </w:r>
      <w:r w:rsidRPr="006234AA">
        <w:rPr>
          <w:i/>
          <w:lang w:val="nl-NL"/>
        </w:rPr>
        <w:t xml:space="preserve">, tài khoản của từng khách hàng môi giới của thành viên giao dịch ủy thác </w:t>
      </w:r>
      <w:r w:rsidR="00666F37" w:rsidRPr="006234AA">
        <w:rPr>
          <w:i/>
          <w:lang w:val="nl-NL"/>
        </w:rPr>
        <w:t>bù trừ, thanh toán</w:t>
      </w:r>
      <w:r w:rsidRPr="006234AA">
        <w:rPr>
          <w:lang w:val="nl-NL"/>
        </w:rPr>
        <w:t xml:space="preserve">, </w:t>
      </w:r>
      <w:r w:rsidRPr="006234AA">
        <w:rPr>
          <w:i/>
          <w:lang w:val="nl-NL"/>
        </w:rPr>
        <w:t>Ký quỹ rủi ro tối thiểu)</w:t>
      </w:r>
    </w:p>
    <w:p w:rsidR="00E15965" w:rsidRPr="006234AA" w:rsidRDefault="00E15965" w:rsidP="003C0546">
      <w:pPr>
        <w:pStyle w:val="ListParagraph"/>
        <w:numPr>
          <w:ilvl w:val="0"/>
          <w:numId w:val="9"/>
        </w:numPr>
        <w:spacing w:after="120"/>
        <w:rPr>
          <w:b/>
          <w:i/>
        </w:rPr>
      </w:pPr>
      <w:r w:rsidRPr="006234AA">
        <w:rPr>
          <w:b/>
          <w:i/>
        </w:rPr>
        <w:t>Ký quỹ vị thế tài khoản</w:t>
      </w:r>
    </w:p>
    <w:p w:rsidR="00E15965" w:rsidRPr="006234AA" w:rsidRDefault="007965E6" w:rsidP="003C0546">
      <w:pPr>
        <w:spacing w:after="120"/>
        <w:ind w:firstLine="0"/>
        <w:rPr>
          <w:lang w:val="nl-NL"/>
        </w:rPr>
      </w:pPr>
      <m:oMath>
        <m:sSup>
          <m:sSupPr>
            <m:ctrlPr>
              <w:rPr>
                <w:rFonts w:ascii="Cambria Math" w:hAnsi="Cambria Math"/>
                <w:i/>
                <w:lang w:val="nl-NL"/>
              </w:rPr>
            </m:ctrlPr>
          </m:sSupPr>
          <m:e>
            <m:r>
              <w:rPr>
                <w:rFonts w:ascii="Cambria Math" w:hAnsi="Cambria Math"/>
                <w:lang w:val="nl-NL"/>
              </w:rPr>
              <m:t>MG</m:t>
            </m:r>
          </m:e>
          <m:sup>
            <m:r>
              <w:rPr>
                <w:rFonts w:ascii="Cambria Math" w:hAnsi="Cambria Math"/>
                <w:lang w:val="nl-NL"/>
              </w:rPr>
              <m:t>TV</m:t>
            </m:r>
          </m:sup>
        </m:sSup>
        <m:r>
          <w:rPr>
            <w:rFonts w:ascii="Cambria Math" w:hAnsi="Cambria Math"/>
            <w:lang w:val="nl-NL"/>
          </w:rPr>
          <m:t>=</m:t>
        </m:r>
        <m:nary>
          <m:naryPr>
            <m:chr m:val="∑"/>
            <m:limLoc m:val="undOvr"/>
            <m:ctrlPr>
              <w:rPr>
                <w:rFonts w:ascii="Cambria Math" w:hAnsi="Cambria Math"/>
                <w:i/>
                <w:lang w:val="nl-NL"/>
              </w:rPr>
            </m:ctrlPr>
          </m:naryPr>
          <m:sub>
            <m:r>
              <w:rPr>
                <w:rFonts w:ascii="Cambria Math" w:hAnsi="Cambria Math"/>
                <w:lang w:val="nl-NL"/>
              </w:rPr>
              <m:t>j=1</m:t>
            </m:r>
          </m:sub>
          <m:sup>
            <m:r>
              <w:rPr>
                <w:rFonts w:ascii="Cambria Math" w:hAnsi="Cambria Math"/>
                <w:lang w:val="nl-NL"/>
              </w:rPr>
              <m:t>n</m:t>
            </m:r>
          </m:sup>
          <m:e>
            <m:nary>
              <m:naryPr>
                <m:chr m:val="∑"/>
                <m:limLoc m:val="undOvr"/>
                <m:ctrlPr>
                  <w:rPr>
                    <w:rFonts w:ascii="Cambria Math" w:hAnsi="Cambria Math"/>
                    <w:i/>
                    <w:lang w:val="nl-NL"/>
                  </w:rPr>
                </m:ctrlPr>
              </m:naryPr>
              <m:sub>
                <m:r>
                  <w:rPr>
                    <w:rFonts w:ascii="Cambria Math" w:hAnsi="Cambria Math"/>
                    <w:lang w:val="nl-NL"/>
                  </w:rPr>
                  <m:t>i=1</m:t>
                </m:r>
              </m:sub>
              <m:sup>
                <m:r>
                  <w:rPr>
                    <w:rFonts w:ascii="Cambria Math" w:hAnsi="Cambria Math"/>
                    <w:lang w:val="nl-NL"/>
                  </w:rPr>
                  <m:t>N</m:t>
                </m:r>
              </m:sup>
              <m:e>
                <m:sSubSup>
                  <m:sSubSupPr>
                    <m:ctrlPr>
                      <w:rPr>
                        <w:rFonts w:ascii="Cambria Math" w:hAnsi="Cambria Math"/>
                        <w:i/>
                        <w:lang w:val="nl-NL"/>
                      </w:rPr>
                    </m:ctrlPr>
                  </m:sSubSupPr>
                  <m:e>
                    <m:r>
                      <w:rPr>
                        <w:rFonts w:ascii="Cambria Math" w:hAnsi="Cambria Math"/>
                        <w:lang w:val="nl-NL"/>
                      </w:rPr>
                      <m:t>MG</m:t>
                    </m:r>
                  </m:e>
                  <m:sub>
                    <m:r>
                      <w:rPr>
                        <w:rFonts w:ascii="Cambria Math" w:hAnsi="Cambria Math"/>
                        <w:lang w:val="nl-NL"/>
                      </w:rPr>
                      <m:t>i</m:t>
                    </m:r>
                  </m:sub>
                  <m:sup>
                    <m:r>
                      <w:rPr>
                        <w:rFonts w:ascii="Cambria Math" w:hAnsi="Cambria Math"/>
                        <w:lang w:val="nl-NL"/>
                      </w:rPr>
                      <m:t>TV,j</m:t>
                    </m:r>
                  </m:sup>
                </m:sSubSup>
              </m:e>
            </m:nary>
          </m:e>
        </m:nary>
      </m:oMath>
      <w:r w:rsidR="00E15965" w:rsidRPr="006234AA">
        <w:rPr>
          <w:lang w:val="nl-NL"/>
        </w:rPr>
        <w:t xml:space="preserve">= </w:t>
      </w:r>
    </w:p>
    <w:p w:rsidR="00E15965" w:rsidRPr="006234AA" w:rsidRDefault="00E15965" w:rsidP="003C0546">
      <w:pPr>
        <w:spacing w:after="120"/>
        <w:ind w:firstLine="0"/>
        <w:rPr>
          <w:lang w:val="nl-NL"/>
        </w:rPr>
      </w:pPr>
      <w:r w:rsidRPr="006234AA">
        <w:rPr>
          <w:lang w:val="nl-NL"/>
        </w:rPr>
        <w:t>=</w:t>
      </w:r>
      <m:oMath>
        <m:nary>
          <m:naryPr>
            <m:chr m:val="∑"/>
            <m:limLoc m:val="undOvr"/>
            <m:ctrlPr>
              <w:rPr>
                <w:rFonts w:ascii="Cambria Math" w:hAnsi="Cambria Math"/>
                <w:i/>
                <w:lang w:val="nl-NL"/>
              </w:rPr>
            </m:ctrlPr>
          </m:naryPr>
          <m:sub>
            <m:r>
              <w:rPr>
                <w:rFonts w:ascii="Cambria Math" w:hAnsi="Cambria Math"/>
                <w:lang w:val="nl-NL"/>
              </w:rPr>
              <m:t>j=1</m:t>
            </m:r>
          </m:sub>
          <m:sup>
            <m:r>
              <w:rPr>
                <w:rFonts w:ascii="Cambria Math" w:hAnsi="Cambria Math"/>
                <w:lang w:val="nl-NL"/>
              </w:rPr>
              <m:t>n</m:t>
            </m:r>
          </m:sup>
          <m:e>
            <m:nary>
              <m:naryPr>
                <m:chr m:val="∑"/>
                <m:limLoc m:val="undOvr"/>
                <m:ctrlPr>
                  <w:rPr>
                    <w:rFonts w:ascii="Cambria Math" w:hAnsi="Cambria Math"/>
                    <w:i/>
                    <w:lang w:val="nl-NL"/>
                  </w:rPr>
                </m:ctrlPr>
              </m:naryPr>
              <m:sub>
                <m:r>
                  <w:rPr>
                    <w:rFonts w:ascii="Cambria Math" w:hAnsi="Cambria Math"/>
                    <w:lang w:val="nl-NL"/>
                  </w:rPr>
                  <m:t>i=1</m:t>
                </m:r>
              </m:sub>
              <m:sup>
                <m:r>
                  <w:rPr>
                    <w:rFonts w:ascii="Cambria Math" w:hAnsi="Cambria Math"/>
                    <w:lang w:val="nl-NL"/>
                  </w:rPr>
                  <m:t>N</m:t>
                </m:r>
              </m:sup>
              <m:e>
                <m:d>
                  <m:dPr>
                    <m:begChr m:val="["/>
                    <m:endChr m:val="]"/>
                    <m:ctrlPr>
                      <w:rPr>
                        <w:rFonts w:ascii="Cambria Math" w:hAnsi="Cambria Math"/>
                        <w:i/>
                        <w:lang w:val="nl-NL"/>
                      </w:rPr>
                    </m:ctrlPr>
                  </m:dPr>
                  <m:e>
                    <m:d>
                      <m:dPr>
                        <m:ctrlPr>
                          <w:rPr>
                            <w:rFonts w:ascii="Cambria Math" w:hAnsi="Cambria Math"/>
                            <w:i/>
                            <w:lang w:val="nl-NL"/>
                          </w:rPr>
                        </m:ctrlPr>
                      </m:dPr>
                      <m:e>
                        <m:sSub>
                          <m:sSubPr>
                            <m:ctrlPr>
                              <w:rPr>
                                <w:rFonts w:ascii="Cambria Math" w:hAnsi="Cambria Math"/>
                                <w:i/>
                                <w:lang w:val="nl-NL"/>
                              </w:rPr>
                            </m:ctrlPr>
                          </m:sSubPr>
                          <m:e>
                            <m:d>
                              <m:dPr>
                                <m:begChr m:val=""/>
                                <m:endChr m:val="|"/>
                                <m:ctrlPr>
                                  <w:rPr>
                                    <w:rFonts w:ascii="Cambria Math" w:hAnsi="Cambria Math"/>
                                    <w:i/>
                                    <w:lang w:val="nl-NL"/>
                                  </w:rPr>
                                </m:ctrlPr>
                              </m:dPr>
                              <m:e>
                                <m:sSubSup>
                                  <m:sSubSupPr>
                                    <m:ctrlPr>
                                      <w:rPr>
                                        <w:rFonts w:ascii="Cambria Math" w:hAnsi="Cambria Math"/>
                                        <w:i/>
                                        <w:lang w:val="nl-NL"/>
                                      </w:rPr>
                                    </m:ctrlPr>
                                  </m:sSubSupPr>
                                  <m:e>
                                    <m:r>
                                      <w:rPr>
                                        <w:rFonts w:ascii="Cambria Math" w:hAnsi="Cambria Math"/>
                                        <w:lang w:val="nl-NL"/>
                                      </w:rPr>
                                      <m:t>MG</m:t>
                                    </m:r>
                                  </m:e>
                                  <m:sub>
                                    <m:r>
                                      <w:rPr>
                                        <w:rFonts w:ascii="Cambria Math" w:hAnsi="Cambria Math"/>
                                        <w:lang w:val="nl-NL"/>
                                      </w:rPr>
                                      <m:t>i,t</m:t>
                                    </m:r>
                                  </m:sub>
                                  <m:sup>
                                    <m:r>
                                      <w:rPr>
                                        <w:rFonts w:ascii="Cambria Math" w:hAnsi="Cambria Math"/>
                                        <w:lang w:val="nl-NL"/>
                                      </w:rPr>
                                      <m:t>TV,j</m:t>
                                    </m:r>
                                  </m:sup>
                                </m:sSubSup>
                              </m:e>
                            </m:d>
                          </m:e>
                          <m:sub>
                            <m:r>
                              <w:rPr>
                                <w:rFonts w:ascii="Cambria Math" w:hAnsi="Cambria Math"/>
                                <w:lang w:val="nl-NL"/>
                              </w:rPr>
                              <m:t>∆S</m:t>
                            </m:r>
                          </m:sub>
                        </m:sSub>
                        <m:r>
                          <w:rPr>
                            <w:rFonts w:ascii="Cambria Math" w:hAnsi="Cambria Math"/>
                            <w:lang w:val="nl-NL"/>
                          </w:rPr>
                          <m:t>-</m:t>
                        </m:r>
                        <m:sSubSup>
                          <m:sSubSupPr>
                            <m:ctrlPr>
                              <w:rPr>
                                <w:rFonts w:ascii="Cambria Math" w:hAnsi="Cambria Math"/>
                                <w:i/>
                                <w:lang w:val="nl-NL"/>
                              </w:rPr>
                            </m:ctrlPr>
                          </m:sSubSupPr>
                          <m:e>
                            <m:r>
                              <w:rPr>
                                <w:rFonts w:ascii="Cambria Math" w:hAnsi="Cambria Math"/>
                                <w:lang w:val="nl-NL"/>
                              </w:rPr>
                              <m:t>MG</m:t>
                            </m:r>
                          </m:e>
                          <m:sub>
                            <m:r>
                              <w:rPr>
                                <w:rFonts w:ascii="Cambria Math" w:hAnsi="Cambria Math"/>
                                <w:lang w:val="nl-NL"/>
                              </w:rPr>
                              <m:t>i,t</m:t>
                            </m:r>
                          </m:sub>
                          <m:sup>
                            <m:r>
                              <w:rPr>
                                <w:rFonts w:ascii="Cambria Math" w:hAnsi="Cambria Math"/>
                                <w:lang w:val="nl-NL"/>
                              </w:rPr>
                              <m:t>-TV,j</m:t>
                            </m:r>
                          </m:sup>
                        </m:sSubSup>
                      </m:e>
                    </m:d>
                    <m:r>
                      <w:rPr>
                        <w:rFonts w:ascii="Cambria Math" w:hAnsi="Cambria Math"/>
                        <w:lang w:val="nl-NL"/>
                      </w:rPr>
                      <m:t>+</m:t>
                    </m:r>
                    <m:sSubSup>
                      <m:sSubSupPr>
                        <m:ctrlPr>
                          <w:rPr>
                            <w:rFonts w:ascii="Cambria Math" w:hAnsi="Cambria Math"/>
                            <w:i/>
                            <w:lang w:val="nl-NL"/>
                          </w:rPr>
                        </m:ctrlPr>
                      </m:sSubSupPr>
                      <m:e>
                        <m:r>
                          <w:rPr>
                            <w:rFonts w:ascii="Cambria Math" w:hAnsi="Cambria Math"/>
                            <w:lang w:val="nl-NL"/>
                          </w:rPr>
                          <m:t>MG</m:t>
                        </m:r>
                      </m:e>
                      <m:sub>
                        <m:r>
                          <w:rPr>
                            <w:rFonts w:ascii="Cambria Math" w:hAnsi="Cambria Math"/>
                            <w:lang w:val="nl-NL"/>
                          </w:rPr>
                          <m:t>i,T</m:t>
                        </m:r>
                      </m:sub>
                      <m:sup>
                        <m:r>
                          <w:rPr>
                            <w:rFonts w:ascii="Cambria Math" w:hAnsi="Cambria Math"/>
                            <w:lang w:val="nl-NL"/>
                          </w:rPr>
                          <m:t>TV,j</m:t>
                        </m:r>
                      </m:sup>
                    </m:sSubSup>
                    <m:r>
                      <w:rPr>
                        <w:rFonts w:ascii="Cambria Math" w:hAnsi="Cambria Math"/>
                        <w:lang w:val="nl-NL"/>
                      </w:rPr>
                      <m:t>+</m:t>
                    </m:r>
                    <m:sSubSup>
                      <m:sSubSupPr>
                        <m:ctrlPr>
                          <w:rPr>
                            <w:rFonts w:ascii="Cambria Math" w:hAnsi="Cambria Math"/>
                            <w:i/>
                            <w:lang w:val="nl-NL"/>
                          </w:rPr>
                        </m:ctrlPr>
                      </m:sSubSupPr>
                      <m:e>
                        <m:r>
                          <w:rPr>
                            <w:rFonts w:ascii="Cambria Math" w:hAnsi="Cambria Math"/>
                            <w:lang w:val="nl-NL"/>
                          </w:rPr>
                          <m:t>MG</m:t>
                        </m:r>
                      </m:e>
                      <m:sub>
                        <m:r>
                          <w:rPr>
                            <w:rFonts w:ascii="Cambria Math" w:hAnsi="Cambria Math"/>
                            <w:lang w:val="nl-NL"/>
                          </w:rPr>
                          <m:t>i,T-</m:t>
                        </m:r>
                      </m:sub>
                      <m:sup>
                        <m:r>
                          <w:rPr>
                            <w:rFonts w:ascii="Cambria Math" w:hAnsi="Cambria Math"/>
                            <w:lang w:val="nl-NL"/>
                          </w:rPr>
                          <m:t>TV,j</m:t>
                        </m:r>
                      </m:sup>
                    </m:sSubSup>
                  </m:e>
                </m:d>
              </m:e>
            </m:nary>
          </m:e>
        </m:nary>
      </m:oMath>
    </w:p>
    <w:p w:rsidR="00E15965" w:rsidRPr="006234AA" w:rsidRDefault="007965E6" w:rsidP="003C0546">
      <w:pPr>
        <w:spacing w:after="120"/>
        <w:ind w:firstLine="0"/>
        <w:rPr>
          <w:lang w:val="nl-NL"/>
        </w:rPr>
      </w:pPr>
      <m:oMath>
        <m:sSup>
          <m:sSupPr>
            <m:ctrlPr>
              <w:rPr>
                <w:rFonts w:ascii="Cambria Math" w:hAnsi="Cambria Math"/>
                <w:i/>
                <w:lang w:val="nl-NL"/>
              </w:rPr>
            </m:ctrlPr>
          </m:sSupPr>
          <m:e>
            <m:r>
              <w:rPr>
                <w:rFonts w:ascii="Cambria Math" w:hAnsi="Cambria Math"/>
                <w:lang w:val="nl-NL"/>
              </w:rPr>
              <m:t>MG</m:t>
            </m:r>
          </m:e>
          <m:sup>
            <m:r>
              <w:rPr>
                <w:rFonts w:ascii="Cambria Math" w:hAnsi="Cambria Math"/>
                <w:lang w:val="nl-NL"/>
              </w:rPr>
              <m:t>TV</m:t>
            </m:r>
          </m:sup>
        </m:sSup>
      </m:oMath>
      <w:r w:rsidR="00E15965" w:rsidRPr="006234AA">
        <w:rPr>
          <w:lang w:val="nl-NL"/>
        </w:rPr>
        <w:t xml:space="preserve"> là ký quỹ vị thế các tài khoản đứng tên thành viên TV</w:t>
      </w:r>
    </w:p>
    <w:p w:rsidR="00E15965" w:rsidRPr="006234AA" w:rsidRDefault="00E15965" w:rsidP="003C0546">
      <w:pPr>
        <w:spacing w:after="120"/>
        <w:ind w:firstLine="0"/>
        <w:rPr>
          <w:lang w:val="nl-NL"/>
        </w:rPr>
      </w:pPr>
      <w:r w:rsidRPr="006234AA">
        <w:rPr>
          <w:lang w:val="nl-NL"/>
        </w:rPr>
        <w:t xml:space="preserve">j=1,n là số các tài khoản </w:t>
      </w:r>
      <w:r w:rsidR="00666F37" w:rsidRPr="006234AA">
        <w:rPr>
          <w:lang w:val="nl-NL"/>
        </w:rPr>
        <w:t>bù trừ, thanh toán</w:t>
      </w:r>
      <w:r w:rsidRPr="006234AA">
        <w:rPr>
          <w:lang w:val="nl-NL"/>
        </w:rPr>
        <w:t xml:space="preserve"> đứng tên thành viên TV, tài khoản tự doanh của thành viên bù trừ, tài khoản của từng khách hàng môi giới, tài khoản giao dịch tự doanh của từng thành viên giao dịch ủy thác </w:t>
      </w:r>
      <w:r w:rsidR="00666F37" w:rsidRPr="006234AA">
        <w:rPr>
          <w:lang w:val="nl-NL"/>
        </w:rPr>
        <w:t>bù trừ, thanh toán</w:t>
      </w:r>
      <w:r w:rsidRPr="006234AA">
        <w:rPr>
          <w:lang w:val="nl-NL"/>
        </w:rPr>
        <w:t xml:space="preserve">, tài khoản của từng khách hàng môi giới của thành viên giao dịch ủy thác </w:t>
      </w:r>
      <w:r w:rsidR="00666F37" w:rsidRPr="006234AA">
        <w:rPr>
          <w:lang w:val="nl-NL"/>
        </w:rPr>
        <w:t>bù trừ, thanh toán</w:t>
      </w:r>
    </w:p>
    <w:p w:rsidR="00E15965" w:rsidRPr="006234AA" w:rsidRDefault="00E15965" w:rsidP="003C0546">
      <w:pPr>
        <w:spacing w:after="120"/>
        <w:ind w:firstLine="0"/>
        <w:rPr>
          <w:lang w:val="nl-NL"/>
        </w:rPr>
      </w:pPr>
      <w:r w:rsidRPr="006234AA">
        <w:rPr>
          <w:lang w:val="nl-NL"/>
        </w:rPr>
        <w:t>i = 1, N là số nhóm sản phẩm</w:t>
      </w:r>
      <w:r w:rsidRPr="006234AA">
        <w:rPr>
          <w:rStyle w:val="FootnoteReference"/>
          <w:rFonts w:eastAsiaTheme="majorEastAsia"/>
          <w:lang w:val="nl-NL"/>
        </w:rPr>
        <w:footnoteReference w:id="3"/>
      </w:r>
      <w:r w:rsidRPr="006234AA">
        <w:rPr>
          <w:lang w:val="nl-NL"/>
        </w:rPr>
        <w:t xml:space="preserve"> </w:t>
      </w:r>
    </w:p>
    <w:p w:rsidR="00E15965" w:rsidRPr="006234AA" w:rsidRDefault="007965E6" w:rsidP="003C0546">
      <w:pPr>
        <w:spacing w:after="120"/>
        <w:ind w:firstLine="0"/>
        <w:rPr>
          <w:b/>
          <w:bCs/>
          <w:lang w:val="nl-NL"/>
        </w:rPr>
      </w:pPr>
      <m:oMath>
        <m:sSubSup>
          <m:sSubSupPr>
            <m:ctrlPr>
              <w:rPr>
                <w:rFonts w:ascii="Cambria Math" w:hAnsi="Cambria Math"/>
                <w:i/>
                <w:lang w:val="nl-NL"/>
              </w:rPr>
            </m:ctrlPr>
          </m:sSubSupPr>
          <m:e>
            <m:r>
              <w:rPr>
                <w:rFonts w:ascii="Cambria Math" w:hAnsi="Cambria Math"/>
                <w:lang w:val="nl-NL"/>
              </w:rPr>
              <m:t>MG</m:t>
            </m:r>
          </m:e>
          <m:sub>
            <m:r>
              <w:rPr>
                <w:rFonts w:ascii="Cambria Math" w:hAnsi="Cambria Math"/>
                <w:lang w:val="nl-NL"/>
              </w:rPr>
              <m:t>i</m:t>
            </m:r>
          </m:sub>
          <m:sup>
            <m:r>
              <w:rPr>
                <w:rFonts w:ascii="Cambria Math" w:hAnsi="Cambria Math"/>
                <w:lang w:val="nl-NL"/>
              </w:rPr>
              <m:t>TV,j</m:t>
            </m:r>
          </m:sup>
        </m:sSubSup>
      </m:oMath>
      <w:r w:rsidR="00E15965" w:rsidRPr="006234AA">
        <w:rPr>
          <w:lang w:val="nl-NL"/>
        </w:rPr>
        <w:t>là Ký quỹ vị thế cho nhóm sản phẩm i trên tài khoản j đứng tên thành viên TV</w:t>
      </w:r>
    </w:p>
    <w:p w:rsidR="00E15965" w:rsidRPr="006234AA" w:rsidRDefault="00E15965" w:rsidP="003C0546">
      <w:pPr>
        <w:spacing w:after="120"/>
        <w:ind w:firstLine="0"/>
        <w:rPr>
          <w:b/>
          <w:bCs/>
          <w:lang w:val="nl-NL"/>
        </w:rPr>
      </w:pPr>
      <w:r w:rsidRPr="006234AA">
        <w:rPr>
          <w:lang w:val="nl-NL"/>
        </w:rPr>
        <w:t>Trong đó, ký quỹ vị thế cho từng nhóm sản phẩm =</w:t>
      </w:r>
    </w:p>
    <w:p w:rsidR="00E15965" w:rsidRPr="006234AA" w:rsidRDefault="00E15965" w:rsidP="003C0546">
      <w:pPr>
        <w:spacing w:after="120"/>
        <w:ind w:firstLine="0"/>
        <w:rPr>
          <w:b/>
          <w:bCs/>
          <w:lang w:val="nl-NL"/>
        </w:rPr>
      </w:pPr>
      <w:r w:rsidRPr="006234AA">
        <w:rPr>
          <w:lang w:val="nl-NL"/>
        </w:rPr>
        <w:t>Max(Ký quỹ biến động giá + Ký quỹ chuyển giao vật chất + Ký quỹ trước khi xác định giá thanh toán cuối cùng, Mức ký quỹ vị thế tối thiểu)</w:t>
      </w:r>
    </w:p>
    <w:p w:rsidR="00E15965" w:rsidRPr="006234AA" w:rsidRDefault="00E15965" w:rsidP="003C0546">
      <w:pPr>
        <w:spacing w:after="120"/>
        <w:ind w:firstLine="0"/>
        <w:rPr>
          <w:i/>
          <w:u w:val="single"/>
          <w:lang w:val="nl-NL"/>
        </w:rPr>
      </w:pPr>
      <w:r w:rsidRPr="006234AA">
        <w:rPr>
          <w:i/>
          <w:u w:val="single"/>
          <w:lang w:val="nl-NL"/>
        </w:rPr>
        <w:t xml:space="preserve">a) Ký quỹ biến động giá </w:t>
      </w:r>
    </w:p>
    <w:p w:rsidR="00E15965" w:rsidRPr="006234AA" w:rsidRDefault="00E15965" w:rsidP="003C0546">
      <w:pPr>
        <w:spacing w:after="120"/>
        <w:ind w:firstLine="0"/>
        <w:rPr>
          <w:rFonts w:eastAsia="Batang"/>
          <w:lang w:val="nl-NL"/>
        </w:rPr>
      </w:pPr>
      <w:r w:rsidRPr="006234AA">
        <w:rPr>
          <w:rFonts w:eastAsia="Batang"/>
          <w:lang w:val="nl-NL"/>
        </w:rPr>
        <w:t xml:space="preserve">Ký quỹ biến động giá của nhóm sản phẩm i được xác định như sau </w:t>
      </w:r>
    </w:p>
    <w:p w:rsidR="00E15965" w:rsidRPr="006234AA" w:rsidRDefault="007965E6" w:rsidP="003C0546">
      <w:pPr>
        <w:pBdr>
          <w:top w:val="single" w:sz="4" w:space="1" w:color="auto"/>
          <w:left w:val="single" w:sz="4" w:space="4" w:color="auto"/>
          <w:bottom w:val="single" w:sz="4" w:space="1" w:color="auto"/>
          <w:right w:val="single" w:sz="4" w:space="4" w:color="auto"/>
        </w:pBdr>
        <w:spacing w:after="120"/>
        <w:ind w:firstLine="0"/>
        <w:rPr>
          <w:rFonts w:eastAsia="Batang"/>
          <w:lang w:val="nl-NL"/>
        </w:rPr>
      </w:pPr>
      <m:oMath>
        <m:sSub>
          <m:sSubPr>
            <m:ctrlPr>
              <w:rPr>
                <w:rFonts w:ascii="Cambria Math" w:eastAsia="Batang" w:hAnsi="Cambria Math"/>
                <w:i/>
                <w:lang w:val="nl-NL"/>
              </w:rPr>
            </m:ctrlPr>
          </m:sSubPr>
          <m:e>
            <m:d>
              <m:dPr>
                <m:begChr m:val=""/>
                <m:endChr m:val="|"/>
                <m:ctrlPr>
                  <w:rPr>
                    <w:rFonts w:ascii="Cambria Math" w:eastAsia="Batang" w:hAnsi="Cambria Math"/>
                    <w:i/>
                    <w:lang w:val="nl-NL"/>
                  </w:rPr>
                </m:ctrlPr>
              </m:dPr>
              <m:e>
                <m:sSubSup>
                  <m:sSubSupPr>
                    <m:ctrlPr>
                      <w:rPr>
                        <w:rFonts w:ascii="Cambria Math" w:eastAsia="Batang" w:hAnsi="Cambria Math"/>
                        <w:i/>
                        <w:lang w:val="nl-NL"/>
                      </w:rPr>
                    </m:ctrlPr>
                  </m:sSubSupPr>
                  <m:e>
                    <m:r>
                      <w:rPr>
                        <w:rFonts w:ascii="Cambria Math" w:eastAsia="Batang" w:hAnsi="Cambria Math"/>
                        <w:lang w:val="nl-NL"/>
                      </w:rPr>
                      <m:t>MG</m:t>
                    </m:r>
                  </m:e>
                  <m:sub>
                    <m:r>
                      <w:rPr>
                        <w:rFonts w:ascii="Cambria Math" w:eastAsia="Batang" w:hAnsi="Cambria Math"/>
                        <w:lang w:val="nl-NL"/>
                      </w:rPr>
                      <m:t>i,t</m:t>
                    </m:r>
                  </m:sub>
                  <m:sup>
                    <m:r>
                      <w:rPr>
                        <w:rFonts w:ascii="Cambria Math" w:eastAsia="Batang" w:hAnsi="Cambria Math"/>
                        <w:lang w:val="nl-NL"/>
                      </w:rPr>
                      <m:t>TV,j</m:t>
                    </m:r>
                  </m:sup>
                </m:sSubSup>
              </m:e>
            </m:d>
          </m:e>
          <m:sub>
            <m:r>
              <w:rPr>
                <w:rFonts w:ascii="Cambria Math" w:eastAsia="Batang" w:hAnsi="Cambria Math"/>
                <w:lang w:val="nl-NL"/>
              </w:rPr>
              <m:t>∆S</m:t>
            </m:r>
          </m:sub>
        </m:sSub>
      </m:oMath>
      <w:r w:rsidR="00E15965" w:rsidRPr="006234AA">
        <w:rPr>
          <w:rFonts w:eastAsia="Batang"/>
          <w:lang w:val="nl-NL"/>
        </w:rPr>
        <w:t xml:space="preserve"> = </w:t>
      </w:r>
      <m:oMath>
        <m:sSubSup>
          <m:sSubSupPr>
            <m:ctrlPr>
              <w:rPr>
                <w:rFonts w:ascii="Cambria Math" w:eastAsia="Batang" w:hAnsi="Cambria Math"/>
                <w:i/>
                <w:lang w:val="nl-NL"/>
              </w:rPr>
            </m:ctrlPr>
          </m:sSubSupPr>
          <m:e>
            <m:r>
              <w:rPr>
                <w:rFonts w:ascii="Cambria Math" w:eastAsia="Batang" w:hAnsi="Cambria Math"/>
                <w:lang w:val="nl-NL"/>
              </w:rPr>
              <m:t>M</m:t>
            </m:r>
          </m:e>
          <m:sub>
            <m:r>
              <w:rPr>
                <w:rFonts w:ascii="Cambria Math" w:eastAsia="Batang" w:hAnsi="Cambria Math"/>
                <w:lang w:val="nl-NL"/>
              </w:rPr>
              <m:t>i,t</m:t>
            </m:r>
          </m:sub>
          <m:sup>
            <m:r>
              <w:rPr>
                <w:rFonts w:ascii="Cambria Math" w:eastAsia="Batang" w:hAnsi="Cambria Math"/>
                <w:lang w:val="nl-NL"/>
              </w:rPr>
              <m:t>TV,j</m:t>
            </m:r>
          </m:sup>
        </m:sSubSup>
      </m:oMath>
      <w:r w:rsidR="00E15965" w:rsidRPr="006234AA">
        <w:rPr>
          <w:lang w:val="nl-NL"/>
        </w:rPr>
        <w:t xml:space="preserve"> × (</w:t>
      </w:r>
      <m:oMath>
        <m:sSub>
          <m:sSubPr>
            <m:ctrlPr>
              <w:rPr>
                <w:rFonts w:ascii="Cambria Math" w:hAnsi="Cambria Math"/>
                <w:i/>
                <w:lang w:val="nl-NL"/>
              </w:rPr>
            </m:ctrlPr>
          </m:sSubPr>
          <m:e>
            <m:r>
              <w:rPr>
                <w:rFonts w:ascii="Cambria Math" w:hAnsi="Cambria Math"/>
                <w:lang w:val="nl-NL"/>
              </w:rPr>
              <m:t>S</m:t>
            </m:r>
          </m:e>
          <m:sub>
            <m:r>
              <w:rPr>
                <w:rFonts w:ascii="Cambria Math" w:hAnsi="Cambria Math"/>
                <w:lang w:val="nl-NL"/>
              </w:rPr>
              <m:t>0,i</m:t>
            </m:r>
          </m:sub>
        </m:sSub>
      </m:oMath>
      <w:r w:rsidR="00E15965" w:rsidRPr="006234AA">
        <w:rPr>
          <w:rFonts w:ascii="Cambria Math" w:hAnsi="Cambria Math" w:cs="Cambria Math"/>
          <w:lang w:val="nl-NL"/>
        </w:rPr>
        <w:t>‒</w:t>
      </w:r>
      <w:r w:rsidR="00E15965" w:rsidRPr="006234AA">
        <w:rPr>
          <w:lang w:val="nl-NL"/>
        </w:rPr>
        <w:t xml:space="preserve"> </w:t>
      </w:r>
      <m:oMath>
        <m:sSub>
          <m:sSubPr>
            <m:ctrlPr>
              <w:rPr>
                <w:rFonts w:ascii="Cambria Math" w:hAnsi="Cambria Math"/>
                <w:i/>
                <w:lang w:val="nl-NL"/>
              </w:rPr>
            </m:ctrlPr>
          </m:sSubPr>
          <m:e>
            <m:r>
              <w:rPr>
                <w:rFonts w:ascii="Cambria Math" w:hAnsi="Cambria Math"/>
                <w:lang w:val="nl-NL"/>
              </w:rPr>
              <m:t>S</m:t>
            </m:r>
          </m:e>
          <m:sub>
            <m:r>
              <m:rPr>
                <m:sty m:val="p"/>
              </m:rPr>
              <w:rPr>
                <w:rFonts w:ascii="Cambria Math" w:hAnsi="Cambria Math"/>
                <w:vertAlign w:val="subscript"/>
                <w:lang w:val="nl-NL"/>
              </w:rPr>
              <w:sym w:font="Symbol" w:char="F06C"/>
            </m:r>
            <m:r>
              <m:rPr>
                <m:sty m:val="p"/>
              </m:rPr>
              <w:rPr>
                <w:rFonts w:ascii="Cambria Math" w:hAnsi="Cambria Math"/>
                <w:vertAlign w:val="subscript"/>
                <w:lang w:val="nl-NL"/>
              </w:rPr>
              <m:t>,i</m:t>
            </m:r>
          </m:sub>
        </m:sSub>
      </m:oMath>
      <w:r w:rsidR="00E15965" w:rsidRPr="006234AA">
        <w:rPr>
          <w:lang w:val="nl-NL"/>
        </w:rPr>
        <w:t>) × k</w:t>
      </w:r>
      <w:r w:rsidR="00E15965" w:rsidRPr="006234AA">
        <w:rPr>
          <w:vertAlign w:val="subscript"/>
          <w:lang w:val="nl-NL"/>
        </w:rPr>
        <w:t>i</w:t>
      </w:r>
      <w:r w:rsidR="00E15965" w:rsidRPr="006234AA">
        <w:rPr>
          <w:lang w:val="nl-NL"/>
        </w:rPr>
        <w:t xml:space="preserve"> + </w:t>
      </w:r>
      <m:oMath>
        <m:sSubSup>
          <m:sSubSupPr>
            <m:ctrlPr>
              <w:rPr>
                <w:rFonts w:ascii="Cambria Math" w:eastAsia="Batang" w:hAnsi="Cambria Math"/>
                <w:i/>
                <w:lang w:val="nl-NL"/>
              </w:rPr>
            </m:ctrlPr>
          </m:sSubSupPr>
          <m:e>
            <m:r>
              <w:rPr>
                <w:rFonts w:ascii="Cambria Math" w:eastAsia="Batang" w:hAnsi="Cambria Math"/>
                <w:lang w:val="nl-NL"/>
              </w:rPr>
              <m:t>B</m:t>
            </m:r>
          </m:e>
          <m:sub>
            <m:r>
              <w:rPr>
                <w:rFonts w:ascii="Cambria Math" w:eastAsia="Batang" w:hAnsi="Cambria Math"/>
                <w:lang w:val="nl-NL"/>
              </w:rPr>
              <m:t>i,t</m:t>
            </m:r>
          </m:sub>
          <m:sup>
            <m:r>
              <w:rPr>
                <w:rFonts w:ascii="Cambria Math" w:eastAsia="Batang" w:hAnsi="Cambria Math"/>
                <w:lang w:val="nl-NL"/>
              </w:rPr>
              <m:t>TV,j</m:t>
            </m:r>
          </m:sup>
        </m:sSubSup>
      </m:oMath>
      <w:r w:rsidR="00E15965" w:rsidRPr="006234AA">
        <w:rPr>
          <w:lang w:val="nl-NL"/>
        </w:rPr>
        <w:t>× (</w:t>
      </w:r>
      <m:oMath>
        <m:sSub>
          <m:sSubPr>
            <m:ctrlPr>
              <w:rPr>
                <w:rFonts w:ascii="Cambria Math" w:hAnsi="Cambria Math"/>
                <w:i/>
                <w:lang w:val="nl-NL"/>
              </w:rPr>
            </m:ctrlPr>
          </m:sSubPr>
          <m:e>
            <m:r>
              <w:rPr>
                <w:rFonts w:ascii="Cambria Math" w:hAnsi="Cambria Math"/>
                <w:lang w:val="nl-NL"/>
              </w:rPr>
              <m:t>S</m:t>
            </m:r>
          </m:e>
          <m:sub>
            <m:r>
              <m:rPr>
                <m:sty m:val="p"/>
              </m:rPr>
              <w:rPr>
                <w:rFonts w:ascii="Cambria Math" w:hAnsi="Cambria Math"/>
                <w:vertAlign w:val="subscript"/>
                <w:lang w:val="nl-NL"/>
              </w:rPr>
              <w:sym w:font="Symbol" w:char="F06C"/>
            </m:r>
            <m:r>
              <m:rPr>
                <m:sty m:val="p"/>
              </m:rPr>
              <w:rPr>
                <w:rFonts w:ascii="Cambria Math" w:hAnsi="Cambria Math"/>
                <w:vertAlign w:val="subscript"/>
                <w:lang w:val="nl-NL"/>
              </w:rPr>
              <m:t>,i</m:t>
            </m:r>
          </m:sub>
        </m:sSub>
      </m:oMath>
      <w:r w:rsidR="00E15965" w:rsidRPr="006234AA">
        <w:rPr>
          <w:rFonts w:ascii="Cambria Math" w:hAnsi="Cambria Math" w:cs="Cambria Math"/>
          <w:lang w:val="nl-NL"/>
        </w:rPr>
        <w:t>‒</w:t>
      </w:r>
      <w:r w:rsidR="00E15965" w:rsidRPr="006234AA">
        <w:rPr>
          <w:lang w:val="nl-NL"/>
        </w:rPr>
        <w:t xml:space="preserve"> </w:t>
      </w:r>
      <m:oMath>
        <m:sSub>
          <m:sSubPr>
            <m:ctrlPr>
              <w:rPr>
                <w:rFonts w:ascii="Cambria Math" w:hAnsi="Cambria Math"/>
                <w:i/>
                <w:lang w:val="nl-NL"/>
              </w:rPr>
            </m:ctrlPr>
          </m:sSubPr>
          <m:e>
            <m:r>
              <w:rPr>
                <w:rFonts w:ascii="Cambria Math" w:hAnsi="Cambria Math"/>
                <w:lang w:val="nl-NL"/>
              </w:rPr>
              <m:t>S</m:t>
            </m:r>
          </m:e>
          <m:sub>
            <m:r>
              <w:rPr>
                <w:rFonts w:ascii="Cambria Math" w:hAnsi="Cambria Math"/>
                <w:lang w:val="nl-NL"/>
              </w:rPr>
              <m:t>0,i</m:t>
            </m:r>
          </m:sub>
        </m:sSub>
      </m:oMath>
      <w:r w:rsidR="00E15965" w:rsidRPr="006234AA">
        <w:rPr>
          <w:lang w:val="nl-NL"/>
        </w:rPr>
        <w:t>) × k</w:t>
      </w:r>
      <w:r w:rsidR="00E15965" w:rsidRPr="006234AA">
        <w:rPr>
          <w:vertAlign w:val="subscript"/>
          <w:lang w:val="nl-NL"/>
        </w:rPr>
        <w:t>i</w:t>
      </w:r>
    </w:p>
    <w:p w:rsidR="00E15965" w:rsidRPr="006234AA" w:rsidRDefault="00E15965" w:rsidP="003C0546">
      <w:pPr>
        <w:spacing w:after="120"/>
        <w:ind w:firstLine="0"/>
        <w:rPr>
          <w:lang w:val="nl-NL"/>
        </w:rPr>
      </w:pPr>
      <w:r w:rsidRPr="006234AA">
        <w:rPr>
          <w:lang w:val="nl-NL"/>
        </w:rPr>
        <w:t xml:space="preserve">Trong đó, </w:t>
      </w:r>
    </w:p>
    <w:p w:rsidR="00E15965" w:rsidRPr="006234AA" w:rsidRDefault="00E15965" w:rsidP="003C0546">
      <w:pPr>
        <w:spacing w:after="120"/>
        <w:ind w:firstLine="0"/>
        <w:rPr>
          <w:lang w:val="nl-NL"/>
        </w:rPr>
      </w:pPr>
      <w:r w:rsidRPr="006234AA">
        <w:rPr>
          <w:lang w:val="nl-NL"/>
        </w:rPr>
        <w:lastRenderedPageBreak/>
        <w:t>i là nhóm sản phẩm i</w:t>
      </w:r>
    </w:p>
    <w:p w:rsidR="00E15965" w:rsidRPr="006234AA" w:rsidRDefault="00E15965" w:rsidP="003C0546">
      <w:pPr>
        <w:spacing w:after="120"/>
        <w:ind w:firstLine="0"/>
        <w:rPr>
          <w:lang w:val="nl-NL"/>
        </w:rPr>
      </w:pPr>
      <w:r w:rsidRPr="006234AA">
        <w:rPr>
          <w:lang w:val="nl-NL"/>
        </w:rPr>
        <w:t>S</w:t>
      </w:r>
      <w:r w:rsidRPr="006234AA">
        <w:rPr>
          <w:vertAlign w:val="subscript"/>
          <w:lang w:val="nl-NL"/>
        </w:rPr>
        <w:t>0</w:t>
      </w:r>
      <w:r w:rsidRPr="006234AA">
        <w:rPr>
          <w:lang w:val="nl-NL"/>
        </w:rPr>
        <w:t xml:space="preserve"> là giá tham chiếu </w:t>
      </w:r>
    </w:p>
    <w:p w:rsidR="00E15965" w:rsidRPr="006234AA" w:rsidRDefault="00E15965" w:rsidP="003C0546">
      <w:pPr>
        <w:spacing w:after="120"/>
        <w:ind w:firstLine="0"/>
        <w:rPr>
          <w:lang w:val="nl-NL"/>
        </w:rPr>
      </w:pPr>
      <w:r w:rsidRPr="006234AA">
        <w:rPr>
          <w:lang w:val="nl-NL"/>
        </w:rPr>
        <w:t>khoảng giá ký quỹ S</w:t>
      </w:r>
      <w:r w:rsidRPr="006234AA">
        <w:rPr>
          <w:vertAlign w:val="subscript"/>
          <w:lang w:val="nl-NL"/>
        </w:rPr>
        <w:sym w:font="Symbol" w:char="F06C"/>
      </w:r>
      <w:r w:rsidRPr="006234AA">
        <w:rPr>
          <w:lang w:val="nl-NL"/>
        </w:rPr>
        <w:t xml:space="preserve"> áp dụng đối với thành viên được xác định như sau:</w:t>
      </w:r>
    </w:p>
    <w:p w:rsidR="00E15965" w:rsidRPr="006234AA" w:rsidRDefault="007965E6" w:rsidP="003C0546">
      <w:pPr>
        <w:spacing w:after="120"/>
        <w:ind w:firstLine="0"/>
        <w:rPr>
          <w:lang w:val="nl-NL"/>
        </w:rPr>
      </w:pPr>
      <m:oMath>
        <m:sSub>
          <m:sSubPr>
            <m:ctrlPr>
              <w:rPr>
                <w:rFonts w:ascii="Cambria Math" w:hAnsi="Cambria Math"/>
                <w:i/>
                <w:lang w:val="nl-NL"/>
              </w:rPr>
            </m:ctrlPr>
          </m:sSubPr>
          <m:e>
            <m:r>
              <w:rPr>
                <w:rFonts w:ascii="Cambria Math" w:hAnsi="Cambria Math"/>
                <w:lang w:val="nl-NL"/>
              </w:rPr>
              <m:t>S</m:t>
            </m:r>
          </m:e>
          <m:sub>
            <m:r>
              <m:rPr>
                <m:sty m:val="p"/>
              </m:rPr>
              <w:rPr>
                <w:rFonts w:ascii="Cambria Math" w:hAnsi="Cambria Math"/>
                <w:vertAlign w:val="subscript"/>
                <w:lang w:val="nl-NL"/>
              </w:rPr>
              <w:sym w:font="Symbol" w:char="F06C"/>
            </m:r>
          </m:sub>
        </m:sSub>
        <m:r>
          <w:rPr>
            <w:rFonts w:ascii="Cambria Math" w:hAnsi="Cambria Math"/>
            <w:lang w:val="nl-NL"/>
          </w:rPr>
          <m:t>=</m:t>
        </m:r>
        <m:sSub>
          <m:sSubPr>
            <m:ctrlPr>
              <w:rPr>
                <w:rFonts w:ascii="Cambria Math" w:hAnsi="Cambria Math"/>
                <w:i/>
                <w:lang w:val="nl-NL"/>
              </w:rPr>
            </m:ctrlPr>
          </m:sSubPr>
          <m:e>
            <m:r>
              <w:rPr>
                <w:rFonts w:ascii="Cambria Math" w:hAnsi="Cambria Math"/>
                <w:lang w:val="nl-NL"/>
              </w:rPr>
              <m:t>S</m:t>
            </m:r>
          </m:e>
          <m:sub>
            <m:r>
              <w:rPr>
                <w:rFonts w:ascii="Cambria Math" w:hAnsi="Cambria Math"/>
                <w:lang w:val="nl-NL"/>
              </w:rPr>
              <m:t>0</m:t>
            </m:r>
          </m:sub>
        </m:sSub>
        <m:r>
          <w:rPr>
            <w:rFonts w:ascii="Cambria Math" w:hAnsi="Cambria Math"/>
            <w:lang w:val="nl-NL"/>
          </w:rPr>
          <m:t>×</m:t>
        </m:r>
        <m:d>
          <m:dPr>
            <m:ctrlPr>
              <w:rPr>
                <w:rFonts w:ascii="Cambria Math" w:hAnsi="Cambria Math"/>
                <w:i/>
                <w:lang w:val="nl-NL"/>
              </w:rPr>
            </m:ctrlPr>
          </m:dPr>
          <m:e>
            <m:r>
              <w:rPr>
                <w:rFonts w:ascii="Cambria Math" w:hAnsi="Cambria Math"/>
                <w:lang w:val="nl-NL"/>
              </w:rPr>
              <m:t>1+</m:t>
            </m:r>
            <m:f>
              <m:fPr>
                <m:ctrlPr>
                  <w:rPr>
                    <w:rFonts w:ascii="Cambria Math" w:hAnsi="Cambria Math"/>
                    <w:i/>
                    <w:lang w:val="nl-NL"/>
                  </w:rPr>
                </m:ctrlPr>
              </m:fPr>
              <m:num>
                <m:r>
                  <m:rPr>
                    <m:sty m:val="p"/>
                  </m:rPr>
                  <w:rPr>
                    <w:rFonts w:ascii="Cambria Math" w:hAnsi="Cambria Math"/>
                    <w:vertAlign w:val="subscript"/>
                    <w:lang w:val="nl-NL"/>
                  </w:rPr>
                  <w:sym w:font="Symbol" w:char="F06C"/>
                </m:r>
                <m:r>
                  <w:rPr>
                    <w:rFonts w:ascii="Cambria Math" w:hAnsi="Cambria Math"/>
                    <w:lang w:val="nl-NL"/>
                  </w:rPr>
                  <m:t>× Tỷ lệ ký quỹ thành viên</m:t>
                </m:r>
              </m:num>
              <m:den>
                <m:r>
                  <w:rPr>
                    <w:rFonts w:ascii="Cambria Math" w:hAnsi="Cambria Math"/>
                    <w:lang w:val="nl-NL"/>
                  </w:rPr>
                  <m:t>10</m:t>
                </m:r>
              </m:den>
            </m:f>
          </m:e>
        </m:d>
      </m:oMath>
      <w:r w:rsidR="00E15965" w:rsidRPr="006234AA">
        <w:rPr>
          <w:lang w:val="nl-NL"/>
        </w:rPr>
        <w:t xml:space="preserve"> , </w:t>
      </w:r>
    </w:p>
    <w:p w:rsidR="00E15965" w:rsidRPr="006234AA" w:rsidRDefault="00E15965" w:rsidP="003C0546">
      <w:pPr>
        <w:spacing w:after="120"/>
        <w:ind w:firstLine="0"/>
        <w:rPr>
          <w:lang w:val="nl-NL"/>
        </w:rPr>
      </w:pPr>
      <w:r w:rsidRPr="006234AA">
        <w:rPr>
          <w:vertAlign w:val="subscript"/>
          <w:lang w:val="nl-NL"/>
        </w:rPr>
        <w:sym w:font="Symbol" w:char="F06C"/>
      </w:r>
      <w:r w:rsidRPr="006234AA">
        <w:rPr>
          <w:lang w:val="nl-NL"/>
        </w:rPr>
        <w:t xml:space="preserve"> = 0, </w:t>
      </w:r>
      <m:oMath>
        <m:r>
          <w:rPr>
            <w:rFonts w:ascii="Cambria Math" w:hAnsi="Cambria Math"/>
            <w:lang w:val="nl-NL"/>
          </w:rPr>
          <m:t>±1;±2;…±10</m:t>
        </m:r>
      </m:oMath>
    </w:p>
    <w:p w:rsidR="00E15965" w:rsidRPr="006234AA" w:rsidRDefault="007965E6" w:rsidP="003C0546">
      <w:pPr>
        <w:spacing w:after="120"/>
        <w:ind w:firstLine="0"/>
        <w:rPr>
          <w:lang w:val="nl-NL"/>
        </w:rPr>
      </w:pPr>
      <m:oMath>
        <m:sSubSup>
          <m:sSubSupPr>
            <m:ctrlPr>
              <w:rPr>
                <w:rFonts w:ascii="Cambria Math" w:eastAsia="Batang" w:hAnsi="Cambria Math"/>
                <w:i/>
                <w:lang w:val="nl-NL"/>
              </w:rPr>
            </m:ctrlPr>
          </m:sSubSupPr>
          <m:e>
            <m:r>
              <w:rPr>
                <w:rFonts w:ascii="Cambria Math" w:eastAsia="Batang" w:hAnsi="Cambria Math"/>
                <w:lang w:val="nl-NL"/>
              </w:rPr>
              <m:t>M</m:t>
            </m:r>
          </m:e>
          <m:sub>
            <m:r>
              <w:rPr>
                <w:rFonts w:ascii="Cambria Math" w:eastAsia="Batang" w:hAnsi="Cambria Math"/>
                <w:lang w:val="nl-NL"/>
              </w:rPr>
              <m:t>i,t</m:t>
            </m:r>
          </m:sub>
          <m:sup>
            <m:r>
              <w:rPr>
                <w:rFonts w:ascii="Cambria Math" w:eastAsia="Batang" w:hAnsi="Cambria Math"/>
                <w:lang w:val="nl-NL"/>
              </w:rPr>
              <m:t>TV,j</m:t>
            </m:r>
          </m:sup>
        </m:sSubSup>
      </m:oMath>
      <w:r w:rsidR="00E15965" w:rsidRPr="006234AA">
        <w:rPr>
          <w:lang w:val="nl-NL"/>
        </w:rPr>
        <w:t xml:space="preserve"> là khối lượng hợp đồng phái sinh trên tài sản cơ sở i đã mua, đang còn hiệu lực và đứng tên thành viên</w:t>
      </w:r>
    </w:p>
    <w:p w:rsidR="00E15965" w:rsidRPr="006234AA" w:rsidRDefault="007965E6" w:rsidP="003C0546">
      <w:pPr>
        <w:spacing w:after="120"/>
        <w:ind w:firstLine="0"/>
        <w:rPr>
          <w:lang w:val="nl-NL"/>
        </w:rPr>
      </w:pPr>
      <m:oMath>
        <m:sSubSup>
          <m:sSubSupPr>
            <m:ctrlPr>
              <w:rPr>
                <w:rFonts w:ascii="Cambria Math" w:eastAsia="Batang" w:hAnsi="Cambria Math"/>
                <w:i/>
                <w:lang w:val="nl-NL"/>
              </w:rPr>
            </m:ctrlPr>
          </m:sSubSupPr>
          <m:e>
            <m:r>
              <w:rPr>
                <w:rFonts w:ascii="Cambria Math" w:eastAsia="Batang" w:hAnsi="Cambria Math"/>
                <w:lang w:val="nl-NL"/>
              </w:rPr>
              <m:t>B</m:t>
            </m:r>
          </m:e>
          <m:sub>
            <m:r>
              <w:rPr>
                <w:rFonts w:ascii="Cambria Math" w:eastAsia="Batang" w:hAnsi="Cambria Math"/>
                <w:lang w:val="nl-NL"/>
              </w:rPr>
              <m:t>i,t</m:t>
            </m:r>
          </m:sub>
          <m:sup>
            <m:r>
              <w:rPr>
                <w:rFonts w:ascii="Cambria Math" w:eastAsia="Batang" w:hAnsi="Cambria Math"/>
                <w:lang w:val="nl-NL"/>
              </w:rPr>
              <m:t>TV,j</m:t>
            </m:r>
          </m:sup>
        </m:sSubSup>
      </m:oMath>
      <w:r w:rsidR="00E15965" w:rsidRPr="006234AA">
        <w:rPr>
          <w:lang w:val="nl-NL"/>
        </w:rPr>
        <w:t xml:space="preserve"> là khối lượng hợp đồng trên tài sản cơ sở i đã bán, đang còn hiệu lực và đứng tên thành viên,</w:t>
      </w:r>
    </w:p>
    <w:p w:rsidR="00E15965" w:rsidRPr="006234AA" w:rsidRDefault="00E15965" w:rsidP="003C0546">
      <w:pPr>
        <w:spacing w:after="120"/>
        <w:ind w:firstLine="0"/>
        <w:rPr>
          <w:bCs/>
          <w:lang w:val="nl-NL"/>
        </w:rPr>
      </w:pPr>
      <w:r w:rsidRPr="006234AA">
        <w:rPr>
          <w:bCs/>
          <w:lang w:val="nl-NL"/>
        </w:rPr>
        <w:t xml:space="preserve">Trường hợp là giao dịch phòng ngừa rủi ro, trong đó thành viên giao dịch chứng khoán phái sinh kết hợp với giao dịch hoặc sở hữu tài sản cơ sở cho cùng nhóm sản phẩm phái sinh, thì ký quỹ biến động giá được giảm trừ. Mức giảm trừ ký quỹ được xác định như sau: </w:t>
      </w:r>
    </w:p>
    <w:p w:rsidR="00E15965" w:rsidRPr="006234AA" w:rsidRDefault="007965E6" w:rsidP="003C0546">
      <w:pPr>
        <w:spacing w:after="120"/>
        <w:rPr>
          <w:lang w:val="nl-NL"/>
        </w:rPr>
      </w:pPr>
      <m:oMathPara>
        <m:oMath>
          <m:sSubSup>
            <m:sSubSupPr>
              <m:ctrlPr>
                <w:rPr>
                  <w:rFonts w:ascii="Cambria Math" w:eastAsia="Batang" w:hAnsi="Cambria Math"/>
                  <w:i/>
                  <w:lang w:val="nl-NL"/>
                </w:rPr>
              </m:ctrlPr>
            </m:sSubSupPr>
            <m:e>
              <m:r>
                <w:rPr>
                  <w:rFonts w:ascii="Cambria Math" w:eastAsia="Batang" w:hAnsi="Cambria Math"/>
                  <w:lang w:val="nl-NL"/>
                </w:rPr>
                <m:t>MG</m:t>
              </m:r>
            </m:e>
            <m:sub>
              <m:r>
                <w:rPr>
                  <w:rFonts w:ascii="Cambria Math" w:eastAsia="Batang" w:hAnsi="Cambria Math"/>
                  <w:lang w:val="nl-NL"/>
                </w:rPr>
                <m:t>i,t</m:t>
              </m:r>
            </m:sub>
            <m:sup>
              <m:r>
                <w:rPr>
                  <w:rFonts w:ascii="Cambria Math" w:eastAsia="Batang" w:hAnsi="Cambria Math"/>
                  <w:lang w:val="nl-NL"/>
                </w:rPr>
                <m:t>-TV,j</m:t>
              </m:r>
            </m:sup>
          </m:sSubSup>
          <m:r>
            <w:rPr>
              <w:rFonts w:ascii="Cambria Math" w:eastAsia="Batang" w:hAnsi="Cambria Math"/>
              <w:lang w:val="nl-NL"/>
            </w:rPr>
            <m:t>=</m:t>
          </m:r>
          <m:d>
            <m:dPr>
              <m:ctrlPr>
                <w:rPr>
                  <w:rFonts w:ascii="Cambria Math" w:eastAsia="Batang" w:hAnsi="Cambria Math"/>
                  <w:i/>
                  <w:lang w:val="nl-NL"/>
                </w:rPr>
              </m:ctrlPr>
            </m:dPr>
            <m:e>
              <m:r>
                <w:rPr>
                  <w:rFonts w:ascii="Cambria Math" w:eastAsia="Batang" w:hAnsi="Cambria Math"/>
                  <w:lang w:val="nl-NL"/>
                </w:rPr>
                <m:t>B+S</m:t>
              </m:r>
            </m:e>
          </m:d>
          <m:r>
            <w:rPr>
              <w:rFonts w:ascii="Cambria Math" w:eastAsia="Batang" w:hAnsi="Cambria Math"/>
              <w:lang w:val="nl-NL"/>
            </w:rPr>
            <m:t>×C×ρ</m:t>
          </m:r>
        </m:oMath>
      </m:oMathPara>
    </w:p>
    <w:p w:rsidR="00E15965" w:rsidRPr="006234AA" w:rsidRDefault="00E15965" w:rsidP="003C0546">
      <w:pPr>
        <w:spacing w:after="120"/>
        <w:rPr>
          <w:bCs/>
          <w:lang w:val="nl-NL"/>
        </w:rPr>
      </w:pPr>
      <w:r w:rsidRPr="006234AA">
        <w:rPr>
          <w:bCs/>
          <w:lang w:val="nl-NL"/>
        </w:rPr>
        <w:t>Trong đó</w:t>
      </w:r>
    </w:p>
    <w:p w:rsidR="00E15965" w:rsidRPr="006234AA" w:rsidRDefault="00E15965" w:rsidP="003C0546">
      <w:pPr>
        <w:spacing w:after="120"/>
        <w:ind w:firstLine="0"/>
        <w:rPr>
          <w:bCs/>
          <w:lang w:val="nl-NL"/>
        </w:rPr>
      </w:pPr>
      <m:oMathPara>
        <m:oMath>
          <m:r>
            <w:rPr>
              <w:rFonts w:ascii="Cambria Math" w:hAnsi="Cambria Math"/>
              <w:lang w:val="nl-NL"/>
            </w:rPr>
            <m:t>B=</m:t>
          </m:r>
          <m:f>
            <m:fPr>
              <m:ctrlPr>
                <w:rPr>
                  <w:rFonts w:ascii="Cambria Math" w:hAnsi="Cambria Math"/>
                  <w:bCs/>
                  <w:i/>
                  <w:lang w:val="nl-NL"/>
                </w:rPr>
              </m:ctrlPr>
            </m:fPr>
            <m:num>
              <m:nary>
                <m:naryPr>
                  <m:chr m:val="∑"/>
                  <m:limLoc m:val="undOvr"/>
                  <m:ctrlPr>
                    <w:rPr>
                      <w:rFonts w:ascii="Cambria Math" w:hAnsi="Cambria Math"/>
                      <w:bCs/>
                      <w:i/>
                      <w:lang w:val="nl-NL"/>
                    </w:rPr>
                  </m:ctrlPr>
                </m:naryPr>
                <m:sub>
                  <m:r>
                    <w:rPr>
                      <w:rFonts w:ascii="Cambria Math" w:hAnsi="Cambria Math"/>
                      <w:lang w:val="nl-NL"/>
                    </w:rPr>
                    <m:t>i=1</m:t>
                  </m:r>
                </m:sub>
                <m:sup>
                  <m:r>
                    <w:rPr>
                      <w:rFonts w:ascii="Cambria Math" w:hAnsi="Cambria Math"/>
                      <w:lang w:val="nl-NL"/>
                    </w:rPr>
                    <m:t>m</m:t>
                  </m:r>
                </m:sup>
                <m:e>
                  <m:sSub>
                    <m:sSubPr>
                      <m:ctrlPr>
                        <w:rPr>
                          <w:rFonts w:ascii="Cambria Math" w:hAnsi="Cambria Math"/>
                          <w:bCs/>
                          <w:i/>
                          <w:lang w:val="nl-NL"/>
                        </w:rPr>
                      </m:ctrlPr>
                    </m:sSubPr>
                    <m:e>
                      <m:r>
                        <w:rPr>
                          <w:rFonts w:ascii="Cambria Math" w:hAnsi="Cambria Math"/>
                          <w:lang w:val="nl-NL"/>
                        </w:rPr>
                        <m:t>Lỗ hợp đồng</m:t>
                      </m:r>
                    </m:e>
                    <m:sub>
                      <m:r>
                        <w:rPr>
                          <w:rFonts w:ascii="Cambria Math" w:hAnsi="Cambria Math"/>
                          <w:lang w:val="nl-NL"/>
                        </w:rPr>
                        <m:t>i</m:t>
                      </m:r>
                    </m:sub>
                  </m:sSub>
                </m:e>
              </m:nary>
            </m:num>
            <m:den>
              <m:d>
                <m:dPr>
                  <m:begChr m:val="|"/>
                  <m:endChr m:val="|"/>
                  <m:ctrlPr>
                    <w:rPr>
                      <w:rFonts w:ascii="Cambria Math" w:hAnsi="Cambria Math"/>
                      <w:bCs/>
                      <w:i/>
                      <w:lang w:val="nl-NL"/>
                    </w:rPr>
                  </m:ctrlPr>
                </m:dPr>
                <m:e>
                  <m:nary>
                    <m:naryPr>
                      <m:chr m:val="∑"/>
                      <m:limLoc m:val="undOvr"/>
                      <m:ctrlPr>
                        <w:rPr>
                          <w:rFonts w:ascii="Cambria Math" w:hAnsi="Cambria Math"/>
                          <w:bCs/>
                          <w:i/>
                          <w:lang w:val="nl-NL"/>
                        </w:rPr>
                      </m:ctrlPr>
                    </m:naryPr>
                    <m:sub>
                      <m:r>
                        <w:rPr>
                          <w:rFonts w:ascii="Cambria Math" w:hAnsi="Cambria Math"/>
                          <w:lang w:val="nl-NL"/>
                        </w:rPr>
                        <m:t>i=1</m:t>
                      </m:r>
                    </m:sub>
                    <m:sup>
                      <m:r>
                        <w:rPr>
                          <w:rFonts w:ascii="Cambria Math" w:hAnsi="Cambria Math"/>
                          <w:lang w:val="nl-NL"/>
                        </w:rPr>
                        <m:t>m</m:t>
                      </m:r>
                    </m:sup>
                    <m:e>
                      <m:f>
                        <m:fPr>
                          <m:ctrlPr>
                            <w:rPr>
                              <w:rFonts w:ascii="Cambria Math" w:hAnsi="Cambria Math"/>
                              <w:bCs/>
                              <w:i/>
                              <w:lang w:val="nl-NL"/>
                            </w:rPr>
                          </m:ctrlPr>
                        </m:fPr>
                        <m:num>
                          <m:r>
                            <w:rPr>
                              <w:rFonts w:ascii="Cambria Math" w:hAnsi="Cambria Math"/>
                              <w:lang w:val="nl-NL"/>
                            </w:rPr>
                            <m:t xml:space="preserve"> </m:t>
                          </m:r>
                          <m:sSub>
                            <m:sSubPr>
                              <m:ctrlPr>
                                <w:rPr>
                                  <w:rFonts w:ascii="Cambria Math" w:hAnsi="Cambria Math"/>
                                  <w:bCs/>
                                  <w:i/>
                                  <w:lang w:val="nl-NL"/>
                                </w:rPr>
                              </m:ctrlPr>
                            </m:sSubPr>
                            <m:e>
                              <m:r>
                                <w:rPr>
                                  <w:rFonts w:ascii="Cambria Math" w:hAnsi="Cambria Math"/>
                                  <w:lang w:val="nl-NL"/>
                                </w:rPr>
                                <m:t>Net Delta</m:t>
                              </m:r>
                            </m:e>
                            <m:sub>
                              <m:r>
                                <w:rPr>
                                  <w:rFonts w:ascii="Cambria Math" w:hAnsi="Cambria Math"/>
                                  <w:lang w:val="nl-NL"/>
                                </w:rPr>
                                <m:t>i</m:t>
                              </m:r>
                            </m:sub>
                          </m:sSub>
                        </m:num>
                        <m:den>
                          <m:sSub>
                            <m:sSubPr>
                              <m:ctrlPr>
                                <w:rPr>
                                  <w:rFonts w:ascii="Cambria Math" w:hAnsi="Cambria Math"/>
                                  <w:bCs/>
                                  <w:i/>
                                  <w:lang w:val="nl-NL"/>
                                </w:rPr>
                              </m:ctrlPr>
                            </m:sSubPr>
                            <m:e>
                              <m:r>
                                <w:rPr>
                                  <w:rFonts w:ascii="Cambria Math" w:hAnsi="Cambria Math"/>
                                  <w:lang w:val="nl-NL"/>
                                </w:rPr>
                                <m:t>β</m:t>
                              </m:r>
                            </m:e>
                            <m:sub>
                              <m:r>
                                <w:rPr>
                                  <w:rFonts w:ascii="Cambria Math" w:hAnsi="Cambria Math"/>
                                  <w:lang w:val="nl-NL"/>
                                </w:rPr>
                                <m:t>i</m:t>
                              </m:r>
                            </m:sub>
                          </m:sSub>
                        </m:den>
                      </m:f>
                    </m:e>
                  </m:nary>
                </m:e>
              </m:d>
            </m:den>
          </m:f>
        </m:oMath>
      </m:oMathPara>
    </w:p>
    <w:p w:rsidR="00E15965" w:rsidRPr="006234AA" w:rsidRDefault="00E15965" w:rsidP="003C0546">
      <w:pPr>
        <w:spacing w:after="120"/>
        <w:ind w:firstLine="0"/>
        <w:rPr>
          <w:bCs/>
          <w:lang w:val="nl-NL"/>
        </w:rPr>
      </w:pPr>
      <m:oMathPara>
        <m:oMath>
          <m:r>
            <w:rPr>
              <w:rFonts w:ascii="Cambria Math" w:hAnsi="Cambria Math"/>
              <w:lang w:val="nl-NL"/>
            </w:rPr>
            <m:t>S=</m:t>
          </m:r>
          <m:f>
            <m:fPr>
              <m:ctrlPr>
                <w:rPr>
                  <w:rFonts w:ascii="Cambria Math" w:hAnsi="Cambria Math"/>
                  <w:bCs/>
                  <w:i/>
                  <w:lang w:val="nl-NL"/>
                </w:rPr>
              </m:ctrlPr>
            </m:fPr>
            <m:num>
              <m:nary>
                <m:naryPr>
                  <m:chr m:val="∑"/>
                  <m:limLoc m:val="undOvr"/>
                  <m:ctrlPr>
                    <w:rPr>
                      <w:rFonts w:ascii="Cambria Math" w:hAnsi="Cambria Math"/>
                      <w:bCs/>
                      <w:i/>
                      <w:lang w:val="nl-NL"/>
                    </w:rPr>
                  </m:ctrlPr>
                </m:naryPr>
                <m:sub>
                  <m:r>
                    <w:rPr>
                      <w:rFonts w:ascii="Cambria Math" w:hAnsi="Cambria Math"/>
                      <w:lang w:val="nl-NL"/>
                    </w:rPr>
                    <m:t>i=1</m:t>
                  </m:r>
                </m:sub>
                <m:sup>
                  <m:r>
                    <w:rPr>
                      <w:rFonts w:ascii="Cambria Math" w:hAnsi="Cambria Math"/>
                      <w:lang w:val="nl-NL"/>
                    </w:rPr>
                    <m:t>q</m:t>
                  </m:r>
                </m:sup>
                <m:e>
                  <m:sSub>
                    <m:sSubPr>
                      <m:ctrlPr>
                        <w:rPr>
                          <w:rFonts w:ascii="Cambria Math" w:hAnsi="Cambria Math"/>
                          <w:bCs/>
                          <w:i/>
                          <w:lang w:val="nl-NL"/>
                        </w:rPr>
                      </m:ctrlPr>
                    </m:sSubPr>
                    <m:e>
                      <m:r>
                        <w:rPr>
                          <w:rFonts w:ascii="Cambria Math" w:hAnsi="Cambria Math"/>
                          <w:lang w:val="nl-NL"/>
                        </w:rPr>
                        <m:t>Lỗ hợp đồng</m:t>
                      </m:r>
                    </m:e>
                    <m:sub>
                      <m:r>
                        <w:rPr>
                          <w:rFonts w:ascii="Cambria Math" w:hAnsi="Cambria Math"/>
                          <w:lang w:val="nl-NL"/>
                        </w:rPr>
                        <m:t>i</m:t>
                      </m:r>
                    </m:sub>
                  </m:sSub>
                </m:e>
              </m:nary>
            </m:num>
            <m:den>
              <m:d>
                <m:dPr>
                  <m:begChr m:val="|"/>
                  <m:endChr m:val="|"/>
                  <m:ctrlPr>
                    <w:rPr>
                      <w:rFonts w:ascii="Cambria Math" w:hAnsi="Cambria Math"/>
                      <w:bCs/>
                      <w:i/>
                      <w:lang w:val="nl-NL"/>
                    </w:rPr>
                  </m:ctrlPr>
                </m:dPr>
                <m:e>
                  <m:nary>
                    <m:naryPr>
                      <m:chr m:val="∑"/>
                      <m:limLoc m:val="undOvr"/>
                      <m:ctrlPr>
                        <w:rPr>
                          <w:rFonts w:ascii="Cambria Math" w:hAnsi="Cambria Math"/>
                          <w:bCs/>
                          <w:i/>
                          <w:lang w:val="nl-NL"/>
                        </w:rPr>
                      </m:ctrlPr>
                    </m:naryPr>
                    <m:sub>
                      <m:r>
                        <w:rPr>
                          <w:rFonts w:ascii="Cambria Math" w:hAnsi="Cambria Math"/>
                          <w:lang w:val="nl-NL"/>
                        </w:rPr>
                        <m:t>i=1</m:t>
                      </m:r>
                    </m:sub>
                    <m:sup>
                      <m:r>
                        <w:rPr>
                          <w:rFonts w:ascii="Cambria Math" w:hAnsi="Cambria Math"/>
                          <w:lang w:val="nl-NL"/>
                        </w:rPr>
                        <m:t>q</m:t>
                      </m:r>
                    </m:sup>
                    <m:e>
                      <m:f>
                        <m:fPr>
                          <m:ctrlPr>
                            <w:rPr>
                              <w:rFonts w:ascii="Cambria Math" w:hAnsi="Cambria Math"/>
                              <w:bCs/>
                              <w:i/>
                              <w:lang w:val="nl-NL"/>
                            </w:rPr>
                          </m:ctrlPr>
                        </m:fPr>
                        <m:num>
                          <m:r>
                            <w:rPr>
                              <w:rFonts w:ascii="Cambria Math" w:hAnsi="Cambria Math"/>
                              <w:lang w:val="nl-NL"/>
                            </w:rPr>
                            <m:t xml:space="preserve"> </m:t>
                          </m:r>
                          <m:sSub>
                            <m:sSubPr>
                              <m:ctrlPr>
                                <w:rPr>
                                  <w:rFonts w:ascii="Cambria Math" w:hAnsi="Cambria Math"/>
                                  <w:bCs/>
                                  <w:i/>
                                  <w:lang w:val="nl-NL"/>
                                </w:rPr>
                              </m:ctrlPr>
                            </m:sSubPr>
                            <m:e>
                              <m:r>
                                <w:rPr>
                                  <w:rFonts w:ascii="Cambria Math" w:hAnsi="Cambria Math"/>
                                  <w:lang w:val="nl-NL"/>
                                </w:rPr>
                                <m:t>Net Delta</m:t>
                              </m:r>
                            </m:e>
                            <m:sub>
                              <m:r>
                                <w:rPr>
                                  <w:rFonts w:ascii="Cambria Math" w:hAnsi="Cambria Math"/>
                                  <w:lang w:val="nl-NL"/>
                                </w:rPr>
                                <m:t>i</m:t>
                              </m:r>
                            </m:sub>
                          </m:sSub>
                        </m:num>
                        <m:den>
                          <m:sSub>
                            <m:sSubPr>
                              <m:ctrlPr>
                                <w:rPr>
                                  <w:rFonts w:ascii="Cambria Math" w:hAnsi="Cambria Math"/>
                                  <w:bCs/>
                                  <w:i/>
                                  <w:lang w:val="nl-NL"/>
                                </w:rPr>
                              </m:ctrlPr>
                            </m:sSubPr>
                            <m:e>
                              <m:r>
                                <w:rPr>
                                  <w:rFonts w:ascii="Cambria Math" w:hAnsi="Cambria Math"/>
                                  <w:lang w:val="nl-NL"/>
                                </w:rPr>
                                <m:t>β</m:t>
                              </m:r>
                            </m:e>
                            <m:sub>
                              <m:r>
                                <w:rPr>
                                  <w:rFonts w:ascii="Cambria Math" w:hAnsi="Cambria Math"/>
                                  <w:lang w:val="nl-NL"/>
                                </w:rPr>
                                <m:t>i</m:t>
                              </m:r>
                            </m:sub>
                          </m:sSub>
                        </m:den>
                      </m:f>
                    </m:e>
                  </m:nary>
                </m:e>
              </m:d>
            </m:den>
          </m:f>
        </m:oMath>
      </m:oMathPara>
    </w:p>
    <w:p w:rsidR="00E15965" w:rsidRPr="006234AA" w:rsidRDefault="00E15965" w:rsidP="003C0546">
      <w:pPr>
        <w:spacing w:after="120"/>
        <w:ind w:firstLine="0"/>
        <w:rPr>
          <w:bCs/>
          <w:lang w:val="nl-NL"/>
        </w:rPr>
      </w:pPr>
      <m:oMathPara>
        <m:oMath>
          <m:r>
            <w:rPr>
              <w:rFonts w:ascii="Cambria Math" w:hAnsi="Cambria Math"/>
              <w:lang w:val="nl-NL"/>
            </w:rPr>
            <m:t>C=Min</m:t>
          </m:r>
          <m:d>
            <m:dPr>
              <m:begChr m:val="{"/>
              <m:endChr m:val="}"/>
              <m:ctrlPr>
                <w:rPr>
                  <w:rFonts w:ascii="Cambria Math" w:hAnsi="Cambria Math"/>
                  <w:bCs/>
                  <w:i/>
                  <w:lang w:val="nl-NL"/>
                </w:rPr>
              </m:ctrlPr>
            </m:dPr>
            <m:e>
              <m:nary>
                <m:naryPr>
                  <m:chr m:val="∑"/>
                  <m:limLoc m:val="undOvr"/>
                  <m:ctrlPr>
                    <w:rPr>
                      <w:rFonts w:ascii="Cambria Math" w:hAnsi="Cambria Math"/>
                      <w:bCs/>
                      <w:i/>
                      <w:lang w:val="nl-NL"/>
                    </w:rPr>
                  </m:ctrlPr>
                </m:naryPr>
                <m:sub>
                  <m:r>
                    <w:rPr>
                      <w:rFonts w:ascii="Cambria Math" w:hAnsi="Cambria Math"/>
                      <w:lang w:val="nl-NL"/>
                    </w:rPr>
                    <m:t>j=1</m:t>
                  </m:r>
                </m:sub>
                <m:sup>
                  <m:r>
                    <w:rPr>
                      <w:rFonts w:ascii="Cambria Math" w:hAnsi="Cambria Math"/>
                      <w:lang w:val="nl-NL"/>
                    </w:rPr>
                    <m:t>m</m:t>
                  </m:r>
                </m:sup>
                <m:e>
                  <m:d>
                    <m:dPr>
                      <m:begChr m:val="|"/>
                      <m:endChr m:val="|"/>
                      <m:ctrlPr>
                        <w:rPr>
                          <w:rFonts w:ascii="Cambria Math" w:hAnsi="Cambria Math"/>
                          <w:bCs/>
                          <w:i/>
                          <w:lang w:val="nl-NL"/>
                        </w:rPr>
                      </m:ctrlPr>
                    </m:dPr>
                    <m:e>
                      <m:sSub>
                        <m:sSubPr>
                          <m:ctrlPr>
                            <w:rPr>
                              <w:rFonts w:ascii="Cambria Math" w:hAnsi="Cambria Math"/>
                              <w:bCs/>
                              <w:i/>
                              <w:lang w:val="nl-NL"/>
                            </w:rPr>
                          </m:ctrlPr>
                        </m:sSubPr>
                        <m:e>
                          <m:r>
                            <w:rPr>
                              <w:rFonts w:ascii="Cambria Math" w:hAnsi="Cambria Math"/>
                              <w:lang w:val="nl-NL"/>
                            </w:rPr>
                            <m:t>k</m:t>
                          </m:r>
                        </m:e>
                        <m:sub>
                          <m:r>
                            <w:rPr>
                              <w:rFonts w:ascii="Cambria Math" w:hAnsi="Cambria Math"/>
                              <w:lang w:val="nl-NL"/>
                            </w:rPr>
                            <m:t>j</m:t>
                          </m:r>
                        </m:sub>
                      </m:sSub>
                    </m:e>
                  </m:d>
                  <m:r>
                    <w:rPr>
                      <w:rFonts w:ascii="Cambria Math" w:hAnsi="Cambria Math"/>
                      <w:lang w:val="nl-NL"/>
                    </w:rPr>
                    <m:t>,</m:t>
                  </m:r>
                </m:e>
              </m:nary>
              <m:nary>
                <m:naryPr>
                  <m:chr m:val="∑"/>
                  <m:limLoc m:val="undOvr"/>
                  <m:ctrlPr>
                    <w:rPr>
                      <w:rFonts w:ascii="Cambria Math" w:hAnsi="Cambria Math"/>
                      <w:bCs/>
                      <w:i/>
                      <w:lang w:val="nl-NL"/>
                    </w:rPr>
                  </m:ctrlPr>
                </m:naryPr>
                <m:sub>
                  <m:r>
                    <w:rPr>
                      <w:rFonts w:ascii="Cambria Math" w:hAnsi="Cambria Math"/>
                      <w:lang w:val="nl-NL"/>
                    </w:rPr>
                    <m:t>j=1</m:t>
                  </m:r>
                </m:sub>
                <m:sup>
                  <m:r>
                    <w:rPr>
                      <w:rFonts w:ascii="Cambria Math" w:hAnsi="Cambria Math"/>
                      <w:lang w:val="nl-NL"/>
                    </w:rPr>
                    <m:t>q</m:t>
                  </m:r>
                </m:sup>
                <m:e>
                  <m:d>
                    <m:dPr>
                      <m:begChr m:val="|"/>
                      <m:endChr m:val="|"/>
                      <m:ctrlPr>
                        <w:rPr>
                          <w:rFonts w:ascii="Cambria Math" w:hAnsi="Cambria Math"/>
                          <w:bCs/>
                          <w:i/>
                          <w:lang w:val="nl-NL"/>
                        </w:rPr>
                      </m:ctrlPr>
                    </m:dPr>
                    <m:e>
                      <m:sSub>
                        <m:sSubPr>
                          <m:ctrlPr>
                            <w:rPr>
                              <w:rFonts w:ascii="Cambria Math" w:hAnsi="Cambria Math"/>
                              <w:bCs/>
                              <w:i/>
                              <w:lang w:val="nl-NL"/>
                            </w:rPr>
                          </m:ctrlPr>
                        </m:sSubPr>
                        <m:e>
                          <m:r>
                            <w:rPr>
                              <w:rFonts w:ascii="Cambria Math" w:hAnsi="Cambria Math"/>
                              <w:lang w:val="nl-NL"/>
                            </w:rPr>
                            <m:t>ε</m:t>
                          </m:r>
                        </m:e>
                        <m:sub>
                          <m:r>
                            <w:rPr>
                              <w:rFonts w:ascii="Cambria Math" w:hAnsi="Cambria Math"/>
                              <w:lang w:val="nl-NL"/>
                            </w:rPr>
                            <m:t>j</m:t>
                          </m:r>
                        </m:sub>
                      </m:sSub>
                    </m:e>
                  </m:d>
                </m:e>
              </m:nary>
            </m:e>
          </m:d>
        </m:oMath>
      </m:oMathPara>
    </w:p>
    <w:p w:rsidR="00E15965" w:rsidRPr="006234AA" w:rsidRDefault="007965E6" w:rsidP="003C0546">
      <w:pPr>
        <w:spacing w:after="120"/>
        <w:ind w:firstLine="0"/>
        <w:rPr>
          <w:bCs/>
          <w:lang w:val="nl-NL"/>
        </w:rPr>
      </w:pPr>
      <m:oMath>
        <m:sSubSup>
          <m:sSubSupPr>
            <m:ctrlPr>
              <w:rPr>
                <w:rFonts w:ascii="Cambria Math" w:eastAsia="Batang" w:hAnsi="Cambria Math"/>
                <w:i/>
                <w:lang w:val="nl-NL"/>
              </w:rPr>
            </m:ctrlPr>
          </m:sSubSupPr>
          <m:e>
            <m:r>
              <w:rPr>
                <w:rFonts w:ascii="Cambria Math" w:eastAsia="Batang" w:hAnsi="Cambria Math"/>
                <w:lang w:val="nl-NL"/>
              </w:rPr>
              <m:t>MG</m:t>
            </m:r>
          </m:e>
          <m:sub>
            <m:r>
              <w:rPr>
                <w:rFonts w:ascii="Cambria Math" w:eastAsia="Batang" w:hAnsi="Cambria Math"/>
                <w:lang w:val="nl-NL"/>
              </w:rPr>
              <m:t>i,t</m:t>
            </m:r>
          </m:sub>
          <m:sup>
            <m:r>
              <w:rPr>
                <w:rFonts w:ascii="Cambria Math" w:eastAsia="Batang" w:hAnsi="Cambria Math"/>
                <w:lang w:val="nl-NL"/>
              </w:rPr>
              <m:t>-TV,j</m:t>
            </m:r>
          </m:sup>
        </m:sSubSup>
      </m:oMath>
      <w:r w:rsidR="00E15965" w:rsidRPr="006234AA">
        <w:rPr>
          <w:lang w:val="nl-NL"/>
        </w:rPr>
        <w:t xml:space="preserve"> là mức giảm trừ ký quỹ</w:t>
      </w:r>
    </w:p>
    <w:p w:rsidR="00E15965" w:rsidRPr="006234AA" w:rsidRDefault="00E15965" w:rsidP="003C0546">
      <w:pPr>
        <w:spacing w:after="120"/>
        <w:ind w:firstLine="0"/>
        <w:rPr>
          <w:bCs/>
          <w:lang w:val="nl-NL"/>
        </w:rPr>
      </w:pPr>
      <w:r w:rsidRPr="006234AA">
        <w:rPr>
          <w:bCs/>
          <w:lang w:val="nl-NL"/>
        </w:rPr>
        <w:t>Net Delta = Delta ròng của hợp đồng i = Số lượng hợp đồng bán i – Số lượng hợp đồng mua i trên tài khoản j đứng tên thành viên TV</w:t>
      </w:r>
    </w:p>
    <w:p w:rsidR="00E15965" w:rsidRPr="006234AA" w:rsidRDefault="00E15965" w:rsidP="003C0546">
      <w:pPr>
        <w:spacing w:after="120"/>
        <w:ind w:firstLine="0"/>
        <w:rPr>
          <w:bCs/>
          <w:lang w:val="nl-NL"/>
        </w:rPr>
      </w:pPr>
      <w:r w:rsidRPr="006234AA">
        <w:rPr>
          <w:bCs/>
          <w:lang w:val="nl-NL"/>
        </w:rPr>
        <w:t>m số hợp đồng có delta ròng dương và q là số hợp đồng có delta ròng âm.</w:t>
      </w:r>
    </w:p>
    <w:p w:rsidR="00E15965" w:rsidRPr="006234AA" w:rsidRDefault="00E15965" w:rsidP="003C0546">
      <w:pPr>
        <w:spacing w:after="120"/>
        <w:ind w:firstLine="0"/>
        <w:rPr>
          <w:bCs/>
          <w:lang w:val="nl-NL"/>
        </w:rPr>
      </w:pPr>
      <w:r w:rsidRPr="006234AA">
        <w:rPr>
          <w:bCs/>
          <w:lang w:val="nl-NL"/>
        </w:rPr>
        <w:t xml:space="preserve">β = Hệ số tương quan quy mô, ρ hệ số tương quan giá </w:t>
      </w:r>
    </w:p>
    <w:p w:rsidR="00E15965" w:rsidRPr="006234AA" w:rsidRDefault="00E15965" w:rsidP="003C0546">
      <w:pPr>
        <w:spacing w:after="120"/>
        <w:ind w:firstLine="0"/>
        <w:rPr>
          <w:bCs/>
          <w:lang w:val="nl-NL"/>
        </w:rPr>
      </w:pPr>
      <w:r w:rsidRPr="006234AA">
        <w:rPr>
          <w:bCs/>
          <w:lang w:val="nl-NL"/>
        </w:rPr>
        <w:t>k và</w:t>
      </w:r>
      <m:oMath>
        <m:r>
          <w:rPr>
            <w:rFonts w:ascii="Cambria Math" w:hAnsi="Cambria Math"/>
            <w:lang w:val="nl-NL"/>
          </w:rPr>
          <m:t xml:space="preserve"> ε</m:t>
        </m:r>
      </m:oMath>
      <w:r w:rsidRPr="006234AA">
        <w:rPr>
          <w:bCs/>
          <w:lang w:val="nl-NL"/>
        </w:rPr>
        <w:t xml:space="preserve"> = Delta ròng/Hệ số tương quan quy mô</w:t>
      </w:r>
    </w:p>
    <w:p w:rsidR="00E15965" w:rsidRPr="006234AA" w:rsidRDefault="00E15965" w:rsidP="003C0546">
      <w:pPr>
        <w:spacing w:after="120"/>
        <w:ind w:firstLine="0"/>
        <w:rPr>
          <w:lang w:val="nl-NL"/>
        </w:rPr>
      </w:pPr>
      <w:r w:rsidRPr="006234AA">
        <w:rPr>
          <w:lang w:val="nl-NL"/>
        </w:rPr>
        <w:t>Hệ số tương quan giá và hệ số tương quan quy mô cho từng nhóm sản phẩm quy định tại phần III Phụ lục số này.</w:t>
      </w:r>
    </w:p>
    <w:p w:rsidR="00E15965" w:rsidRPr="006234AA" w:rsidRDefault="00E15965" w:rsidP="003C0546">
      <w:pPr>
        <w:spacing w:after="120"/>
        <w:ind w:firstLine="0"/>
        <w:rPr>
          <w:bCs/>
          <w:i/>
          <w:u w:val="single"/>
          <w:lang w:val="nl-NL"/>
        </w:rPr>
      </w:pPr>
      <w:r w:rsidRPr="006234AA">
        <w:rPr>
          <w:i/>
          <w:u w:val="single"/>
          <w:lang w:val="nl-NL"/>
        </w:rPr>
        <w:lastRenderedPageBreak/>
        <w:t>b) Ký quỹ chuyển giao vật chất (chỉ xác định đối với các hợp đồng đến hạn chuyển giao vật chất)</w:t>
      </w:r>
    </w:p>
    <w:p w:rsidR="00E15965" w:rsidRPr="006234AA" w:rsidRDefault="00E15965" w:rsidP="003C0546">
      <w:pPr>
        <w:spacing w:after="120"/>
        <w:ind w:firstLine="0"/>
        <w:rPr>
          <w:lang w:val="nl-NL"/>
        </w:rPr>
      </w:pPr>
      <w:r w:rsidRPr="006234AA">
        <w:rPr>
          <w:lang w:val="nl-NL"/>
        </w:rPr>
        <w:t>Ký quỹ chuyển giao vật chất = Tổng ký quỹ chuyển giao vật chất cho từng tài sản cơ sở</w:t>
      </w:r>
    </w:p>
    <w:p w:rsidR="00E15965" w:rsidRPr="006234AA" w:rsidRDefault="00E15965" w:rsidP="003C0546">
      <w:pPr>
        <w:spacing w:after="120"/>
        <w:ind w:firstLine="0"/>
        <w:rPr>
          <w:lang w:val="nl-NL"/>
        </w:rPr>
      </w:pPr>
      <w:r w:rsidRPr="006234AA">
        <w:rPr>
          <w:lang w:val="nl-NL"/>
        </w:rPr>
        <w:t xml:space="preserve">Trong đó, </w:t>
      </w:r>
    </w:p>
    <w:p w:rsidR="00E15965" w:rsidRPr="006234AA" w:rsidRDefault="00E15965" w:rsidP="003C0546">
      <w:pPr>
        <w:spacing w:after="120"/>
        <w:ind w:firstLine="0"/>
        <w:rPr>
          <w:b/>
          <w:bCs/>
          <w:lang w:val="nl-NL"/>
        </w:rPr>
      </w:pPr>
      <w:r w:rsidRPr="006234AA">
        <w:rPr>
          <w:lang w:val="nl-NL"/>
        </w:rPr>
        <w:t>Ký quỹ chuyển giao vật chất cho từng tài sản cơ sở =</w:t>
      </w:r>
    </w:p>
    <w:p w:rsidR="00E15965" w:rsidRPr="006234AA" w:rsidRDefault="00E15965" w:rsidP="003C0546">
      <w:pPr>
        <w:spacing w:after="120"/>
        <w:ind w:firstLine="0"/>
        <w:rPr>
          <w:b/>
          <w:bCs/>
          <w:lang w:val="nl-NL"/>
        </w:rPr>
      </w:pPr>
      <w:r w:rsidRPr="006234AA">
        <w:rPr>
          <w:lang w:val="nl-NL"/>
        </w:rPr>
        <w:t>Ký quỹ giá thanh toán cuối cùng + Ký quỹ biến động giá thanh toán cuối cùng =</w:t>
      </w:r>
    </w:p>
    <w:p w:rsidR="00E15965" w:rsidRPr="006234AA" w:rsidRDefault="00E15965" w:rsidP="003C0546">
      <w:pPr>
        <w:pBdr>
          <w:top w:val="single" w:sz="4" w:space="1" w:color="auto"/>
          <w:left w:val="single" w:sz="4" w:space="4" w:color="auto"/>
          <w:bottom w:val="single" w:sz="4" w:space="1" w:color="auto"/>
          <w:right w:val="single" w:sz="4" w:space="4" w:color="auto"/>
        </w:pBdr>
        <w:spacing w:after="120"/>
        <w:ind w:firstLine="0"/>
        <w:rPr>
          <w:lang w:val="nl-NL"/>
        </w:rPr>
      </w:pPr>
      <w:r w:rsidRPr="006234AA">
        <w:rPr>
          <w:lang w:val="nl-NL"/>
        </w:rPr>
        <w:t>MG</w:t>
      </w:r>
      <w:r w:rsidRPr="006234AA">
        <w:rPr>
          <w:vertAlign w:val="subscript"/>
          <w:lang w:val="nl-NL"/>
        </w:rPr>
        <w:t>i,T</w:t>
      </w:r>
      <w:r w:rsidRPr="006234AA">
        <w:rPr>
          <w:lang w:val="nl-NL"/>
        </w:rPr>
        <w:t xml:space="preserve"> = MGS</w:t>
      </w:r>
      <w:r w:rsidRPr="006234AA">
        <w:rPr>
          <w:vertAlign w:val="subscript"/>
          <w:lang w:val="nl-NL"/>
        </w:rPr>
        <w:t>T,i</w:t>
      </w:r>
      <w:r w:rsidRPr="006234AA">
        <w:rPr>
          <w:lang w:val="nl-NL"/>
        </w:rPr>
        <w:t xml:space="preserve"> + MG</w:t>
      </w:r>
      <w:r w:rsidRPr="006234AA">
        <w:rPr>
          <w:lang w:val="nl-NL"/>
        </w:rPr>
        <w:sym w:font="Symbol" w:char="F044"/>
      </w:r>
      <w:r w:rsidRPr="006234AA">
        <w:rPr>
          <w:lang w:val="nl-NL"/>
        </w:rPr>
        <w:t>S</w:t>
      </w:r>
      <w:r w:rsidRPr="006234AA">
        <w:rPr>
          <w:vertAlign w:val="subscript"/>
          <w:lang w:val="nl-NL"/>
        </w:rPr>
        <w:t>T,i</w:t>
      </w:r>
    </w:p>
    <w:p w:rsidR="00E15965" w:rsidRPr="006234AA" w:rsidRDefault="00E15965" w:rsidP="003C0546">
      <w:pPr>
        <w:pBdr>
          <w:top w:val="single" w:sz="4" w:space="1" w:color="auto"/>
          <w:left w:val="single" w:sz="4" w:space="4" w:color="auto"/>
          <w:bottom w:val="single" w:sz="4" w:space="1" w:color="auto"/>
          <w:right w:val="single" w:sz="4" w:space="4" w:color="auto"/>
        </w:pBdr>
        <w:spacing w:after="120"/>
        <w:ind w:firstLine="0"/>
        <w:rPr>
          <w:lang w:val="nl-NL"/>
        </w:rPr>
      </w:pPr>
      <w:r w:rsidRPr="006234AA">
        <w:rPr>
          <w:lang w:val="nl-NL"/>
        </w:rPr>
        <w:t>=(M</w:t>
      </w:r>
      <w:r w:rsidRPr="006234AA">
        <w:rPr>
          <w:vertAlign w:val="subscript"/>
          <w:lang w:val="nl-NL"/>
        </w:rPr>
        <w:t>i</w:t>
      </w:r>
      <w:r w:rsidRPr="006234AA">
        <w:rPr>
          <w:lang w:val="nl-NL"/>
        </w:rPr>
        <w:t xml:space="preserve"> × (S</w:t>
      </w:r>
      <w:r w:rsidRPr="006234AA">
        <w:rPr>
          <w:vertAlign w:val="subscript"/>
          <w:lang w:val="nl-NL"/>
        </w:rPr>
        <w:t>i,T</w:t>
      </w:r>
      <w:r w:rsidRPr="006234AA">
        <w:rPr>
          <w:lang w:val="nl-NL"/>
        </w:rPr>
        <w:t xml:space="preserve"> – S</w:t>
      </w:r>
      <w:r w:rsidRPr="006234AA">
        <w:rPr>
          <w:vertAlign w:val="subscript"/>
          <w:lang w:val="nl-NL"/>
        </w:rPr>
        <w:t>0</w:t>
      </w:r>
      <w:r w:rsidRPr="006234AA">
        <w:rPr>
          <w:lang w:val="nl-NL"/>
        </w:rPr>
        <w:t>) × k</w:t>
      </w:r>
      <w:r w:rsidRPr="006234AA">
        <w:rPr>
          <w:vertAlign w:val="subscript"/>
          <w:lang w:val="nl-NL"/>
        </w:rPr>
        <w:t>i</w:t>
      </w:r>
      <w:r w:rsidRPr="006234AA">
        <w:rPr>
          <w:lang w:val="nl-NL"/>
        </w:rPr>
        <w:t xml:space="preserve"> + B</w:t>
      </w:r>
      <w:r w:rsidRPr="006234AA">
        <w:rPr>
          <w:vertAlign w:val="subscript"/>
          <w:lang w:val="nl-NL"/>
        </w:rPr>
        <w:t>i</w:t>
      </w:r>
      <w:r w:rsidRPr="006234AA">
        <w:rPr>
          <w:lang w:val="nl-NL"/>
        </w:rPr>
        <w:t xml:space="preserve"> × (S</w:t>
      </w:r>
      <w:r w:rsidRPr="006234AA">
        <w:rPr>
          <w:vertAlign w:val="subscript"/>
          <w:lang w:val="nl-NL"/>
        </w:rPr>
        <w:t>0</w:t>
      </w:r>
      <w:r w:rsidRPr="006234AA">
        <w:rPr>
          <w:lang w:val="nl-NL"/>
        </w:rPr>
        <w:t xml:space="preserve"> – S</w:t>
      </w:r>
      <w:r w:rsidRPr="006234AA">
        <w:rPr>
          <w:vertAlign w:val="subscript"/>
          <w:lang w:val="nl-NL"/>
        </w:rPr>
        <w:t>i,T</w:t>
      </w:r>
      <w:r w:rsidRPr="006234AA">
        <w:rPr>
          <w:lang w:val="nl-NL"/>
        </w:rPr>
        <w:t>) × k</w:t>
      </w:r>
      <w:r w:rsidRPr="006234AA">
        <w:rPr>
          <w:vertAlign w:val="subscript"/>
          <w:lang w:val="nl-NL"/>
        </w:rPr>
        <w:t>i</w:t>
      </w:r>
      <w:r w:rsidRPr="006234AA">
        <w:rPr>
          <w:lang w:val="nl-NL"/>
        </w:rPr>
        <w:t>) + (M</w:t>
      </w:r>
      <w:r w:rsidRPr="006234AA">
        <w:rPr>
          <w:vertAlign w:val="subscript"/>
          <w:lang w:val="nl-NL"/>
        </w:rPr>
        <w:t>i</w:t>
      </w:r>
      <w:r w:rsidRPr="006234AA">
        <w:rPr>
          <w:lang w:val="nl-NL"/>
        </w:rPr>
        <w:t xml:space="preserve"> × (S</w:t>
      </w:r>
      <w:r w:rsidRPr="006234AA">
        <w:rPr>
          <w:vertAlign w:val="subscript"/>
          <w:lang w:val="nl-NL"/>
        </w:rPr>
        <w:t>o</w:t>
      </w:r>
      <w:r w:rsidRPr="006234AA">
        <w:rPr>
          <w:lang w:val="nl-NL"/>
        </w:rPr>
        <w:t xml:space="preserve"> – S</w:t>
      </w:r>
      <w:r w:rsidRPr="006234AA">
        <w:rPr>
          <w:vertAlign w:val="subscript"/>
          <w:lang w:val="nl-NL"/>
        </w:rPr>
        <w:sym w:font="Symbol" w:char="F06C"/>
      </w:r>
      <w:r w:rsidRPr="006234AA">
        <w:rPr>
          <w:vertAlign w:val="subscript"/>
          <w:lang w:val="nl-NL"/>
        </w:rPr>
        <w:t>Min</w:t>
      </w:r>
      <w:r w:rsidRPr="006234AA">
        <w:rPr>
          <w:lang w:val="nl-NL"/>
        </w:rPr>
        <w:t>) × k</w:t>
      </w:r>
      <w:r w:rsidRPr="006234AA">
        <w:rPr>
          <w:vertAlign w:val="subscript"/>
          <w:lang w:val="nl-NL"/>
        </w:rPr>
        <w:t>i</w:t>
      </w:r>
      <w:r w:rsidRPr="006234AA">
        <w:rPr>
          <w:lang w:val="nl-NL"/>
        </w:rPr>
        <w:t xml:space="preserve"> + B</w:t>
      </w:r>
      <w:r w:rsidRPr="006234AA">
        <w:rPr>
          <w:vertAlign w:val="subscript"/>
          <w:lang w:val="nl-NL"/>
        </w:rPr>
        <w:t>i</w:t>
      </w:r>
      <w:r w:rsidRPr="006234AA">
        <w:rPr>
          <w:lang w:val="nl-NL"/>
        </w:rPr>
        <w:t xml:space="preserve"> × (S</w:t>
      </w:r>
      <w:r w:rsidRPr="006234AA">
        <w:rPr>
          <w:vertAlign w:val="subscript"/>
          <w:lang w:val="nl-NL"/>
        </w:rPr>
        <w:sym w:font="Symbol" w:char="F06C"/>
      </w:r>
      <w:r w:rsidRPr="006234AA">
        <w:rPr>
          <w:vertAlign w:val="subscript"/>
          <w:lang w:val="nl-NL"/>
        </w:rPr>
        <w:t>Max</w:t>
      </w:r>
      <w:r w:rsidRPr="006234AA">
        <w:rPr>
          <w:lang w:val="nl-NL"/>
        </w:rPr>
        <w:t xml:space="preserve"> – S</w:t>
      </w:r>
      <w:r w:rsidRPr="006234AA">
        <w:rPr>
          <w:vertAlign w:val="subscript"/>
          <w:lang w:val="nl-NL"/>
        </w:rPr>
        <w:t>0</w:t>
      </w:r>
      <w:r w:rsidRPr="006234AA">
        <w:rPr>
          <w:lang w:val="nl-NL"/>
        </w:rPr>
        <w:t>) × k</w:t>
      </w:r>
      <w:r w:rsidRPr="006234AA">
        <w:rPr>
          <w:vertAlign w:val="subscript"/>
          <w:lang w:val="nl-NL"/>
        </w:rPr>
        <w:t>i</w:t>
      </w:r>
      <w:r w:rsidRPr="006234AA">
        <w:rPr>
          <w:lang w:val="nl-NL"/>
        </w:rPr>
        <w:t>)</w:t>
      </w:r>
    </w:p>
    <w:p w:rsidR="00E15965" w:rsidRPr="006234AA" w:rsidRDefault="00E15965" w:rsidP="003C0546">
      <w:pPr>
        <w:spacing w:after="120"/>
        <w:ind w:firstLine="0"/>
        <w:rPr>
          <w:lang w:val="nl-NL"/>
        </w:rPr>
      </w:pPr>
      <w:r w:rsidRPr="006234AA">
        <w:rPr>
          <w:lang w:val="nl-NL"/>
        </w:rPr>
        <w:t xml:space="preserve">Cụ thể: </w:t>
      </w:r>
    </w:p>
    <w:p w:rsidR="00E15965" w:rsidRPr="006234AA" w:rsidRDefault="00E15965" w:rsidP="003C0546">
      <w:pPr>
        <w:spacing w:after="120"/>
        <w:ind w:firstLine="0"/>
        <w:rPr>
          <w:lang w:val="nl-NL"/>
        </w:rPr>
      </w:pPr>
      <w:r w:rsidRPr="006234AA">
        <w:rPr>
          <w:lang w:val="nl-NL"/>
        </w:rPr>
        <w:t>MG</w:t>
      </w:r>
      <w:r w:rsidRPr="006234AA">
        <w:rPr>
          <w:vertAlign w:val="subscript"/>
          <w:lang w:val="nl-NL"/>
        </w:rPr>
        <w:t>i</w:t>
      </w:r>
      <w:r w:rsidRPr="006234AA">
        <w:rPr>
          <w:lang w:val="nl-NL"/>
        </w:rPr>
        <w:t xml:space="preserve"> là ký quỹ chuyển giao vật cho cho tài sản cơ sở i</w:t>
      </w:r>
    </w:p>
    <w:p w:rsidR="00E15965" w:rsidRPr="006234AA" w:rsidRDefault="00E15965" w:rsidP="003C0546">
      <w:pPr>
        <w:spacing w:after="120"/>
        <w:ind w:firstLine="0"/>
        <w:rPr>
          <w:lang w:val="nl-NL"/>
        </w:rPr>
      </w:pPr>
      <w:r w:rsidRPr="006234AA">
        <w:rPr>
          <w:lang w:val="nl-NL"/>
        </w:rPr>
        <w:t>Ký quỹ giá thanh toán cuối cùng cho tài sản cơ sở i được xác định như sau</w:t>
      </w:r>
    </w:p>
    <w:p w:rsidR="00E15965" w:rsidRPr="006234AA" w:rsidRDefault="00E15965" w:rsidP="003C0546">
      <w:pPr>
        <w:spacing w:after="120"/>
        <w:ind w:firstLine="0"/>
        <w:rPr>
          <w:lang w:val="nl-NL"/>
        </w:rPr>
      </w:pPr>
      <w:r w:rsidRPr="006234AA">
        <w:rPr>
          <w:lang w:val="nl-NL"/>
        </w:rPr>
        <w:t>MGS</w:t>
      </w:r>
      <w:r w:rsidRPr="006234AA">
        <w:rPr>
          <w:vertAlign w:val="subscript"/>
          <w:lang w:val="nl-NL"/>
        </w:rPr>
        <w:t>i</w:t>
      </w:r>
      <w:r w:rsidRPr="006234AA">
        <w:rPr>
          <w:lang w:val="nl-NL"/>
        </w:rPr>
        <w:t xml:space="preserve"> = M</w:t>
      </w:r>
      <w:r w:rsidRPr="006234AA">
        <w:rPr>
          <w:vertAlign w:val="subscript"/>
          <w:lang w:val="nl-NL"/>
        </w:rPr>
        <w:t>i</w:t>
      </w:r>
      <w:r w:rsidRPr="006234AA">
        <w:rPr>
          <w:lang w:val="nl-NL"/>
        </w:rPr>
        <w:t xml:space="preserve"> × (S</w:t>
      </w:r>
      <w:r w:rsidRPr="006234AA">
        <w:rPr>
          <w:vertAlign w:val="subscript"/>
          <w:lang w:val="nl-NL"/>
        </w:rPr>
        <w:t>i,T</w:t>
      </w:r>
      <w:r w:rsidRPr="006234AA">
        <w:rPr>
          <w:lang w:val="nl-NL"/>
        </w:rPr>
        <w:t xml:space="preserve"> – S</w:t>
      </w:r>
      <w:r w:rsidRPr="006234AA">
        <w:rPr>
          <w:vertAlign w:val="subscript"/>
          <w:lang w:val="nl-NL"/>
        </w:rPr>
        <w:t>0</w:t>
      </w:r>
      <w:r w:rsidRPr="006234AA">
        <w:rPr>
          <w:lang w:val="nl-NL"/>
        </w:rPr>
        <w:t>) × k</w:t>
      </w:r>
      <w:r w:rsidRPr="006234AA">
        <w:rPr>
          <w:vertAlign w:val="subscript"/>
          <w:lang w:val="nl-NL"/>
        </w:rPr>
        <w:t>i</w:t>
      </w:r>
      <w:r w:rsidRPr="006234AA">
        <w:rPr>
          <w:lang w:val="nl-NL"/>
        </w:rPr>
        <w:t xml:space="preserve"> + B</w:t>
      </w:r>
      <w:r w:rsidRPr="006234AA">
        <w:rPr>
          <w:vertAlign w:val="subscript"/>
          <w:lang w:val="nl-NL"/>
        </w:rPr>
        <w:t>i</w:t>
      </w:r>
      <w:r w:rsidRPr="006234AA">
        <w:rPr>
          <w:lang w:val="nl-NL"/>
        </w:rPr>
        <w:t xml:space="preserve"> × (S</w:t>
      </w:r>
      <w:r w:rsidRPr="006234AA">
        <w:rPr>
          <w:vertAlign w:val="subscript"/>
          <w:lang w:val="nl-NL"/>
        </w:rPr>
        <w:t>0</w:t>
      </w:r>
      <w:r w:rsidRPr="006234AA">
        <w:rPr>
          <w:lang w:val="nl-NL"/>
        </w:rPr>
        <w:t xml:space="preserve"> – S</w:t>
      </w:r>
      <w:r w:rsidRPr="006234AA">
        <w:rPr>
          <w:vertAlign w:val="subscript"/>
          <w:lang w:val="nl-NL"/>
        </w:rPr>
        <w:t>i,T</w:t>
      </w:r>
      <w:r w:rsidRPr="006234AA">
        <w:rPr>
          <w:lang w:val="nl-NL"/>
        </w:rPr>
        <w:t>) × k</w:t>
      </w:r>
      <w:r w:rsidRPr="006234AA">
        <w:rPr>
          <w:vertAlign w:val="subscript"/>
          <w:lang w:val="nl-NL"/>
        </w:rPr>
        <w:t>i</w:t>
      </w:r>
    </w:p>
    <w:p w:rsidR="00E15965" w:rsidRPr="006234AA" w:rsidRDefault="00E15965" w:rsidP="003C0546">
      <w:pPr>
        <w:spacing w:after="120"/>
        <w:ind w:firstLine="0"/>
        <w:rPr>
          <w:lang w:val="nl-NL"/>
        </w:rPr>
      </w:pPr>
      <w:r w:rsidRPr="006234AA">
        <w:rPr>
          <w:lang w:val="nl-NL"/>
        </w:rPr>
        <w:t>và Ký quỹ biến động giá thanh toán cuối cùng cho tài sản cơ sở i được xác định như sau</w:t>
      </w:r>
    </w:p>
    <w:p w:rsidR="00E15965" w:rsidRPr="006234AA" w:rsidRDefault="00E15965" w:rsidP="003C0546">
      <w:pPr>
        <w:spacing w:after="120"/>
        <w:ind w:firstLine="0"/>
        <w:rPr>
          <w:lang w:val="nl-NL"/>
        </w:rPr>
      </w:pPr>
      <w:r w:rsidRPr="006234AA">
        <w:rPr>
          <w:lang w:val="nl-NL"/>
        </w:rPr>
        <w:t>MG</w:t>
      </w:r>
      <w:r w:rsidRPr="006234AA">
        <w:rPr>
          <w:lang w:val="nl-NL"/>
        </w:rPr>
        <w:sym w:font="Symbol" w:char="F044"/>
      </w:r>
      <w:r w:rsidRPr="006234AA">
        <w:rPr>
          <w:vertAlign w:val="subscript"/>
          <w:lang w:val="nl-NL"/>
        </w:rPr>
        <w:t>i</w:t>
      </w:r>
      <w:r w:rsidRPr="006234AA">
        <w:rPr>
          <w:lang w:val="nl-NL"/>
        </w:rPr>
        <w:t xml:space="preserve"> = M</w:t>
      </w:r>
      <w:r w:rsidRPr="006234AA">
        <w:rPr>
          <w:vertAlign w:val="subscript"/>
          <w:lang w:val="nl-NL"/>
        </w:rPr>
        <w:t>i</w:t>
      </w:r>
      <w:r w:rsidRPr="006234AA">
        <w:rPr>
          <w:lang w:val="nl-NL"/>
        </w:rPr>
        <w:t xml:space="preserve"> × (S</w:t>
      </w:r>
      <w:r w:rsidRPr="006234AA">
        <w:rPr>
          <w:vertAlign w:val="subscript"/>
          <w:lang w:val="nl-NL"/>
        </w:rPr>
        <w:t>o</w:t>
      </w:r>
      <w:r w:rsidRPr="006234AA">
        <w:rPr>
          <w:lang w:val="nl-NL"/>
        </w:rPr>
        <w:t xml:space="preserve"> – S</w:t>
      </w:r>
      <w:r w:rsidRPr="006234AA">
        <w:rPr>
          <w:vertAlign w:val="subscript"/>
          <w:lang w:val="nl-NL"/>
        </w:rPr>
        <w:sym w:font="Symbol" w:char="F06C"/>
      </w:r>
      <w:r w:rsidRPr="006234AA">
        <w:rPr>
          <w:vertAlign w:val="subscript"/>
          <w:lang w:val="nl-NL"/>
        </w:rPr>
        <w:t>Min</w:t>
      </w:r>
      <w:r w:rsidRPr="006234AA">
        <w:rPr>
          <w:lang w:val="nl-NL"/>
        </w:rPr>
        <w:t>) × k</w:t>
      </w:r>
      <w:r w:rsidRPr="006234AA">
        <w:rPr>
          <w:vertAlign w:val="subscript"/>
          <w:lang w:val="nl-NL"/>
        </w:rPr>
        <w:t>i</w:t>
      </w:r>
      <w:r w:rsidRPr="006234AA">
        <w:rPr>
          <w:lang w:val="nl-NL"/>
        </w:rPr>
        <w:t xml:space="preserve"> + B</w:t>
      </w:r>
      <w:r w:rsidRPr="006234AA">
        <w:rPr>
          <w:vertAlign w:val="subscript"/>
          <w:lang w:val="nl-NL"/>
        </w:rPr>
        <w:t>i</w:t>
      </w:r>
      <w:r w:rsidRPr="006234AA">
        <w:rPr>
          <w:lang w:val="nl-NL"/>
        </w:rPr>
        <w:t xml:space="preserve"> × (S</w:t>
      </w:r>
      <w:r w:rsidRPr="006234AA">
        <w:rPr>
          <w:vertAlign w:val="subscript"/>
          <w:lang w:val="nl-NL"/>
        </w:rPr>
        <w:sym w:font="Symbol" w:char="F06C"/>
      </w:r>
      <w:r w:rsidRPr="006234AA">
        <w:rPr>
          <w:vertAlign w:val="subscript"/>
          <w:lang w:val="nl-NL"/>
        </w:rPr>
        <w:t>Max</w:t>
      </w:r>
      <w:r w:rsidRPr="006234AA">
        <w:rPr>
          <w:lang w:val="nl-NL"/>
        </w:rPr>
        <w:t xml:space="preserve"> – S</w:t>
      </w:r>
      <w:r w:rsidRPr="006234AA">
        <w:rPr>
          <w:vertAlign w:val="subscript"/>
          <w:lang w:val="nl-NL"/>
        </w:rPr>
        <w:t>0</w:t>
      </w:r>
      <w:r w:rsidRPr="006234AA">
        <w:rPr>
          <w:lang w:val="nl-NL"/>
        </w:rPr>
        <w:t>) × k</w:t>
      </w:r>
      <w:r w:rsidRPr="006234AA">
        <w:rPr>
          <w:vertAlign w:val="subscript"/>
          <w:lang w:val="nl-NL"/>
        </w:rPr>
        <w:t>i</w:t>
      </w:r>
    </w:p>
    <w:p w:rsidR="00E15965" w:rsidRPr="006234AA" w:rsidRDefault="00E15965" w:rsidP="003C0546">
      <w:pPr>
        <w:spacing w:after="120"/>
        <w:ind w:firstLine="0"/>
        <w:rPr>
          <w:lang w:val="nl-NL"/>
        </w:rPr>
      </w:pPr>
      <w:r w:rsidRPr="006234AA">
        <w:rPr>
          <w:lang w:val="nl-NL"/>
        </w:rPr>
        <w:t xml:space="preserve">Trong đó: </w:t>
      </w:r>
    </w:p>
    <w:p w:rsidR="00E15965" w:rsidRPr="006234AA" w:rsidRDefault="00E15965" w:rsidP="003C0546">
      <w:pPr>
        <w:spacing w:after="120"/>
        <w:ind w:firstLine="0"/>
        <w:rPr>
          <w:lang w:val="nl-NL"/>
        </w:rPr>
      </w:pPr>
      <w:r w:rsidRPr="006234AA">
        <w:rPr>
          <w:lang w:val="nl-NL"/>
        </w:rPr>
        <w:t>M</w:t>
      </w:r>
      <w:r w:rsidRPr="006234AA">
        <w:rPr>
          <w:vertAlign w:val="subscript"/>
          <w:lang w:val="nl-NL"/>
        </w:rPr>
        <w:t>i</w:t>
      </w:r>
      <w:r w:rsidRPr="006234AA">
        <w:rPr>
          <w:lang w:val="nl-NL"/>
        </w:rPr>
        <w:t xml:space="preserve"> là số lượng thanh toán cuối cùng của vị thế mua tài sản i trên tài khoản j đứng tên thành viên TV</w:t>
      </w:r>
    </w:p>
    <w:p w:rsidR="00E15965" w:rsidRPr="006234AA" w:rsidRDefault="00E15965" w:rsidP="003C0546">
      <w:pPr>
        <w:spacing w:after="120"/>
        <w:ind w:firstLine="0"/>
        <w:rPr>
          <w:lang w:val="nl-NL"/>
        </w:rPr>
      </w:pPr>
      <w:r w:rsidRPr="006234AA">
        <w:rPr>
          <w:lang w:val="nl-NL"/>
        </w:rPr>
        <w:t>B</w:t>
      </w:r>
      <w:r w:rsidRPr="006234AA">
        <w:rPr>
          <w:vertAlign w:val="subscript"/>
          <w:lang w:val="nl-NL"/>
        </w:rPr>
        <w:t>i</w:t>
      </w:r>
      <w:r w:rsidRPr="006234AA">
        <w:rPr>
          <w:lang w:val="nl-NL"/>
        </w:rPr>
        <w:t xml:space="preserve"> là số lượng thanh toán cuối cùng của vị thế bán tài sản i trên tài khoản j đứng tên thành viên TV</w:t>
      </w:r>
    </w:p>
    <w:p w:rsidR="00E15965" w:rsidRPr="006234AA" w:rsidRDefault="00E15965" w:rsidP="003C0546">
      <w:pPr>
        <w:spacing w:after="120"/>
        <w:ind w:firstLine="0"/>
        <w:rPr>
          <w:lang w:val="nl-NL"/>
        </w:rPr>
      </w:pPr>
      <w:r w:rsidRPr="006234AA">
        <w:rPr>
          <w:lang w:val="nl-NL"/>
        </w:rPr>
        <w:t>S</w:t>
      </w:r>
      <w:r w:rsidRPr="006234AA">
        <w:rPr>
          <w:vertAlign w:val="subscript"/>
          <w:lang w:val="nl-NL"/>
        </w:rPr>
        <w:t>i,T</w:t>
      </w:r>
      <w:r w:rsidRPr="006234AA">
        <w:rPr>
          <w:lang w:val="nl-NL"/>
        </w:rPr>
        <w:t xml:space="preserve"> là giá thanh toán cuối cùng</w:t>
      </w:r>
    </w:p>
    <w:p w:rsidR="00E15965" w:rsidRPr="006234AA" w:rsidRDefault="00E15965" w:rsidP="003C0546">
      <w:pPr>
        <w:spacing w:after="120"/>
        <w:ind w:firstLine="0"/>
        <w:rPr>
          <w:lang w:val="nl-NL"/>
        </w:rPr>
      </w:pPr>
      <w:r w:rsidRPr="006234AA">
        <w:rPr>
          <w:lang w:val="nl-NL"/>
        </w:rPr>
        <w:t>S</w:t>
      </w:r>
      <w:r w:rsidRPr="006234AA">
        <w:rPr>
          <w:vertAlign w:val="subscript"/>
          <w:lang w:val="nl-NL"/>
        </w:rPr>
        <w:t>0</w:t>
      </w:r>
      <w:r w:rsidRPr="006234AA">
        <w:rPr>
          <w:lang w:val="nl-NL"/>
        </w:rPr>
        <w:t xml:space="preserve"> là giá tham chiếu</w:t>
      </w:r>
    </w:p>
    <w:p w:rsidR="00E15965" w:rsidRPr="006234AA" w:rsidRDefault="00E15965" w:rsidP="003C0546">
      <w:pPr>
        <w:spacing w:after="120"/>
        <w:ind w:firstLine="0"/>
        <w:rPr>
          <w:lang w:val="nl-NL"/>
        </w:rPr>
      </w:pPr>
      <w:r w:rsidRPr="006234AA">
        <w:rPr>
          <w:lang w:val="nl-NL"/>
        </w:rPr>
        <w:t>S</w:t>
      </w:r>
      <w:r w:rsidRPr="006234AA">
        <w:rPr>
          <w:vertAlign w:val="subscript"/>
          <w:lang w:val="nl-NL"/>
        </w:rPr>
        <w:sym w:font="Symbol" w:char="F06C"/>
      </w:r>
      <w:r w:rsidRPr="006234AA">
        <w:rPr>
          <w:vertAlign w:val="subscript"/>
          <w:lang w:val="nl-NL"/>
        </w:rPr>
        <w:t>Min</w:t>
      </w:r>
      <w:r w:rsidRPr="006234AA">
        <w:rPr>
          <w:lang w:val="nl-NL"/>
        </w:rPr>
        <w:t xml:space="preserve"> là khoảng giá ký quỹ thấp nhất</w:t>
      </w:r>
    </w:p>
    <w:p w:rsidR="00E15965" w:rsidRPr="006234AA" w:rsidRDefault="00E15965" w:rsidP="003C0546">
      <w:pPr>
        <w:spacing w:after="120"/>
        <w:ind w:firstLine="0"/>
        <w:rPr>
          <w:lang w:val="nl-NL"/>
        </w:rPr>
      </w:pPr>
      <w:r w:rsidRPr="006234AA">
        <w:rPr>
          <w:lang w:val="nl-NL"/>
        </w:rPr>
        <w:t>S</w:t>
      </w:r>
      <w:r w:rsidRPr="006234AA">
        <w:rPr>
          <w:vertAlign w:val="subscript"/>
          <w:lang w:val="nl-NL"/>
        </w:rPr>
        <w:sym w:font="Symbol" w:char="F06C"/>
      </w:r>
      <w:r w:rsidRPr="006234AA">
        <w:rPr>
          <w:vertAlign w:val="subscript"/>
          <w:lang w:val="nl-NL"/>
        </w:rPr>
        <w:t>Max</w:t>
      </w:r>
      <w:r w:rsidRPr="006234AA">
        <w:rPr>
          <w:lang w:val="nl-NL"/>
        </w:rPr>
        <w:t xml:space="preserve"> là khoảng giá ký quỹ cao nhất</w:t>
      </w:r>
    </w:p>
    <w:p w:rsidR="00E15965" w:rsidRPr="006234AA" w:rsidRDefault="00E15965" w:rsidP="003C0546">
      <w:pPr>
        <w:spacing w:after="120"/>
        <w:ind w:firstLine="0"/>
        <w:rPr>
          <w:u w:val="single"/>
          <w:lang w:val="nl-NL"/>
        </w:rPr>
      </w:pPr>
      <w:r w:rsidRPr="006234AA">
        <w:rPr>
          <w:i/>
          <w:u w:val="single"/>
          <w:lang w:val="nl-NL"/>
        </w:rPr>
        <w:t>c) Ký quỹ giá thanh toán cuối cùng</w:t>
      </w:r>
      <w:r w:rsidRPr="006234AA">
        <w:rPr>
          <w:u w:val="single"/>
          <w:lang w:val="nl-NL"/>
        </w:rPr>
        <w:t xml:space="preserve"> </w:t>
      </w:r>
      <w:r w:rsidRPr="006234AA">
        <w:rPr>
          <w:i/>
          <w:u w:val="single"/>
          <w:lang w:val="nl-NL"/>
        </w:rPr>
        <w:t>(chỉ xác định đối với các hợp đồng đã đáo hạn trong khoảng thời gian kể từ ngày giao dịch cuối cùng (tính cả ngày này) tới ngày thanh lý hợp đồng)</w:t>
      </w:r>
    </w:p>
    <w:p w:rsidR="00E15965" w:rsidRPr="006234AA" w:rsidRDefault="00E15965" w:rsidP="003C0546">
      <w:pPr>
        <w:spacing w:after="120"/>
        <w:ind w:firstLine="0"/>
        <w:rPr>
          <w:b/>
          <w:bCs/>
          <w:lang w:val="nl-NL"/>
        </w:rPr>
      </w:pPr>
      <w:r w:rsidRPr="006234AA">
        <w:rPr>
          <w:lang w:val="nl-NL"/>
        </w:rPr>
        <w:t xml:space="preserve">Ký quỹ giá thanh toán cuối cùng = </w:t>
      </w:r>
    </w:p>
    <w:p w:rsidR="00E15965" w:rsidRPr="006234AA" w:rsidRDefault="00E15965" w:rsidP="003C0546">
      <w:pPr>
        <w:spacing w:after="120"/>
        <w:ind w:firstLine="0"/>
        <w:rPr>
          <w:b/>
          <w:bCs/>
          <w:lang w:val="nl-NL"/>
        </w:rPr>
      </w:pPr>
      <w:r w:rsidRPr="006234AA">
        <w:rPr>
          <w:lang w:val="nl-NL"/>
        </w:rPr>
        <w:t>Tổng ký quỹ giá thanh toán cuối cùng cho từng tài sản cơ sở</w:t>
      </w:r>
    </w:p>
    <w:p w:rsidR="00E15965" w:rsidRPr="006234AA" w:rsidRDefault="00E15965" w:rsidP="003C0546">
      <w:pPr>
        <w:spacing w:after="120"/>
        <w:ind w:firstLine="0"/>
        <w:rPr>
          <w:lang w:val="nl-NL"/>
        </w:rPr>
      </w:pPr>
      <w:r w:rsidRPr="006234AA">
        <w:rPr>
          <w:lang w:val="nl-NL"/>
        </w:rPr>
        <w:t>Trong đó,</w:t>
      </w:r>
    </w:p>
    <w:p w:rsidR="00E15965" w:rsidRPr="006234AA" w:rsidRDefault="00E15965" w:rsidP="003C0546">
      <w:pPr>
        <w:spacing w:after="120"/>
        <w:ind w:firstLine="0"/>
        <w:rPr>
          <w:lang w:val="nl-NL"/>
        </w:rPr>
      </w:pPr>
      <w:r w:rsidRPr="006234AA">
        <w:rPr>
          <w:lang w:val="nl-NL"/>
        </w:rPr>
        <w:t>MG</w:t>
      </w:r>
      <w:r w:rsidRPr="006234AA">
        <w:rPr>
          <w:vertAlign w:val="subscript"/>
          <w:lang w:val="nl-NL"/>
        </w:rPr>
        <w:t xml:space="preserve">T-,i </w:t>
      </w:r>
      <w:r w:rsidRPr="006234AA">
        <w:rPr>
          <w:lang w:val="nl-NL"/>
        </w:rPr>
        <w:t>= M</w:t>
      </w:r>
      <w:r w:rsidRPr="006234AA">
        <w:rPr>
          <w:vertAlign w:val="subscript"/>
          <w:lang w:val="nl-NL"/>
        </w:rPr>
        <w:t>i</w:t>
      </w:r>
      <w:r w:rsidRPr="006234AA">
        <w:rPr>
          <w:lang w:val="nl-NL"/>
        </w:rPr>
        <w:t xml:space="preserve"> × S</w:t>
      </w:r>
      <w:r w:rsidRPr="006234AA">
        <w:rPr>
          <w:vertAlign w:val="subscript"/>
          <w:lang w:val="nl-NL"/>
        </w:rPr>
        <w:t>0</w:t>
      </w:r>
      <w:r w:rsidRPr="006234AA">
        <w:rPr>
          <w:lang w:val="nl-NL"/>
        </w:rPr>
        <w:t xml:space="preserve"> × k × MGR</w:t>
      </w:r>
    </w:p>
    <w:p w:rsidR="00E15965" w:rsidRPr="006234AA" w:rsidRDefault="00E15965" w:rsidP="003C0546">
      <w:pPr>
        <w:spacing w:after="120"/>
        <w:ind w:firstLine="0"/>
        <w:rPr>
          <w:b/>
          <w:bCs/>
          <w:lang w:val="nl-NL"/>
        </w:rPr>
      </w:pPr>
      <w:r w:rsidRPr="006234AA">
        <w:rPr>
          <w:lang w:val="nl-NL"/>
        </w:rPr>
        <w:lastRenderedPageBreak/>
        <w:t xml:space="preserve">MGR là tỷ lệ </w:t>
      </w:r>
      <w:r w:rsidR="00FC4C85" w:rsidRPr="006234AA">
        <w:rPr>
          <w:lang w:val="nl-NL"/>
        </w:rPr>
        <w:t>ký quỹ</w:t>
      </w:r>
    </w:p>
    <w:p w:rsidR="00E15965" w:rsidRPr="006234AA" w:rsidRDefault="00E15965" w:rsidP="003C0546">
      <w:pPr>
        <w:spacing w:after="120"/>
        <w:ind w:firstLine="0"/>
        <w:rPr>
          <w:b/>
          <w:bCs/>
          <w:lang w:val="nl-NL"/>
        </w:rPr>
      </w:pPr>
      <w:r w:rsidRPr="006234AA">
        <w:rPr>
          <w:b/>
          <w:i/>
          <w:lang w:val="nl-NL"/>
        </w:rPr>
        <w:t>2. Ký quỹ rủi ro ròng tối thiểu</w:t>
      </w:r>
      <w:r w:rsidRPr="006234AA">
        <w:rPr>
          <w:lang w:val="nl-NL"/>
        </w:rPr>
        <w:t xml:space="preserve"> </w:t>
      </w:r>
    </w:p>
    <w:p w:rsidR="00E15965" w:rsidRPr="006234AA" w:rsidRDefault="00E15965" w:rsidP="003C0546">
      <w:pPr>
        <w:spacing w:after="120"/>
        <w:ind w:firstLine="0"/>
        <w:rPr>
          <w:lang w:val="nl-NL"/>
        </w:rPr>
      </w:pPr>
      <w:r w:rsidRPr="006234AA">
        <w:rPr>
          <w:lang w:val="nl-NL"/>
        </w:rPr>
        <w:t>MGmin = OI</w:t>
      </w:r>
      <w:r w:rsidRPr="006234AA">
        <w:rPr>
          <w:vertAlign w:val="subscript"/>
          <w:lang w:val="nl-NL"/>
        </w:rPr>
        <w:t>TV</w:t>
      </w:r>
      <w:r w:rsidRPr="006234AA">
        <w:rPr>
          <w:lang w:val="nl-NL"/>
        </w:rPr>
        <w:t xml:space="preserve"> × VMG + DVR</w:t>
      </w:r>
      <w:r w:rsidRPr="006234AA">
        <w:rPr>
          <w:vertAlign w:val="subscript"/>
          <w:lang w:val="nl-NL"/>
        </w:rPr>
        <w:t>T</w:t>
      </w:r>
      <w:r w:rsidRPr="006234AA">
        <w:rPr>
          <w:lang w:val="nl-NL"/>
        </w:rPr>
        <w:t xml:space="preserve"> × VMG + DVR</w:t>
      </w:r>
      <w:r w:rsidRPr="006234AA">
        <w:rPr>
          <w:vertAlign w:val="subscript"/>
          <w:lang w:val="nl-NL"/>
        </w:rPr>
        <w:t>T-</w:t>
      </w:r>
      <w:r w:rsidRPr="006234AA">
        <w:rPr>
          <w:lang w:val="nl-NL"/>
        </w:rPr>
        <w:t>× VMG</w:t>
      </w:r>
    </w:p>
    <w:p w:rsidR="00E15965" w:rsidRPr="006234AA" w:rsidRDefault="00E15965" w:rsidP="003C0546">
      <w:pPr>
        <w:spacing w:after="120"/>
        <w:ind w:firstLine="0"/>
        <w:rPr>
          <w:lang w:val="nl-NL"/>
        </w:rPr>
      </w:pPr>
      <w:r w:rsidRPr="006234AA">
        <w:rPr>
          <w:lang w:val="nl-NL"/>
        </w:rPr>
        <w:t>OI</w:t>
      </w:r>
      <w:r w:rsidRPr="006234AA">
        <w:rPr>
          <w:vertAlign w:val="subscript"/>
          <w:lang w:val="nl-NL"/>
        </w:rPr>
        <w:t>TV</w:t>
      </w:r>
      <w:r w:rsidRPr="006234AA">
        <w:rPr>
          <w:lang w:val="nl-NL"/>
        </w:rPr>
        <w:t xml:space="preserve"> là Số lượng hợp đồng đang còn hiệu lực</w:t>
      </w:r>
    </w:p>
    <w:p w:rsidR="00E15965" w:rsidRPr="006234AA" w:rsidRDefault="00E15965" w:rsidP="003C0546">
      <w:pPr>
        <w:spacing w:after="120"/>
        <w:ind w:firstLine="0"/>
        <w:rPr>
          <w:lang w:val="nl-NL"/>
        </w:rPr>
      </w:pPr>
      <w:r w:rsidRPr="006234AA">
        <w:rPr>
          <w:lang w:val="nl-NL"/>
        </w:rPr>
        <w:t>VMG là Giá trị ký quỹ tối thiểu của một hợp đồng</w:t>
      </w:r>
    </w:p>
    <w:p w:rsidR="00E15965" w:rsidRPr="006234AA" w:rsidRDefault="00E15965" w:rsidP="003C0546">
      <w:pPr>
        <w:spacing w:after="120"/>
        <w:ind w:firstLine="0"/>
        <w:rPr>
          <w:lang w:val="nl-NL"/>
        </w:rPr>
      </w:pPr>
      <w:r w:rsidRPr="006234AA">
        <w:rPr>
          <w:lang w:val="nl-NL"/>
        </w:rPr>
        <w:t>DVR</w:t>
      </w:r>
      <w:r w:rsidRPr="006234AA">
        <w:rPr>
          <w:vertAlign w:val="subscript"/>
          <w:lang w:val="nl-NL"/>
        </w:rPr>
        <w:t xml:space="preserve">T </w:t>
      </w:r>
      <w:r w:rsidRPr="006234AA">
        <w:rPr>
          <w:lang w:val="nl-NL"/>
        </w:rPr>
        <w:t>là Số lượng các hơp đồng chuyển giao tài sản</w:t>
      </w:r>
    </w:p>
    <w:p w:rsidR="00E15965" w:rsidRPr="006234AA" w:rsidRDefault="00E15965" w:rsidP="003C0546">
      <w:pPr>
        <w:spacing w:after="120"/>
        <w:ind w:firstLine="0"/>
        <w:rPr>
          <w:lang w:val="nl-NL"/>
        </w:rPr>
      </w:pPr>
      <w:r w:rsidRPr="006234AA">
        <w:rPr>
          <w:lang w:val="nl-NL"/>
        </w:rPr>
        <w:t>DVR</w:t>
      </w:r>
      <w:r w:rsidRPr="006234AA">
        <w:rPr>
          <w:vertAlign w:val="subscript"/>
          <w:lang w:val="nl-NL"/>
        </w:rPr>
        <w:t xml:space="preserve">T- </w:t>
      </w:r>
      <w:r w:rsidRPr="006234AA">
        <w:rPr>
          <w:lang w:val="nl-NL"/>
        </w:rPr>
        <w:t xml:space="preserve">là Số lượng các hợp đồng phải ký quỹ trước khi xác định giá thanh toán cuối cùng </w:t>
      </w:r>
    </w:p>
    <w:p w:rsidR="00E15965" w:rsidRPr="006234AA" w:rsidRDefault="00E15965" w:rsidP="003C0546">
      <w:pPr>
        <w:spacing w:after="120"/>
        <w:ind w:firstLine="0"/>
        <w:rPr>
          <w:b/>
          <w:bCs/>
          <w:lang w:val="nl-NL"/>
        </w:rPr>
      </w:pPr>
    </w:p>
    <w:p w:rsidR="00E15965" w:rsidRPr="006234AA" w:rsidRDefault="00E15965" w:rsidP="003C0546">
      <w:pPr>
        <w:tabs>
          <w:tab w:val="left" w:pos="1134"/>
        </w:tabs>
        <w:spacing w:after="120"/>
        <w:ind w:firstLine="0"/>
        <w:rPr>
          <w:b/>
          <w:lang w:val="nl-NL"/>
        </w:rPr>
      </w:pPr>
      <w:r w:rsidRPr="006234AA">
        <w:rPr>
          <w:b/>
          <w:lang w:val="nl-NL"/>
        </w:rPr>
        <w:t xml:space="preserve">II. Ký quỹ của nhà đầu tư </w:t>
      </w:r>
    </w:p>
    <w:p w:rsidR="00E15965" w:rsidRPr="006234AA" w:rsidRDefault="00E15965" w:rsidP="003C0546">
      <w:pPr>
        <w:tabs>
          <w:tab w:val="left" w:pos="1134"/>
        </w:tabs>
        <w:spacing w:after="120"/>
        <w:ind w:firstLine="0"/>
        <w:rPr>
          <w:b/>
          <w:bCs/>
          <w:lang w:val="nl-NL"/>
        </w:rPr>
      </w:pPr>
      <w:r w:rsidRPr="006234AA">
        <w:rPr>
          <w:lang w:val="nl-NL"/>
        </w:rPr>
        <w:t xml:space="preserve">2.1 </w:t>
      </w:r>
      <w:r w:rsidRPr="006234AA">
        <w:rPr>
          <w:u w:val="single"/>
          <w:lang w:val="nl-NL"/>
        </w:rPr>
        <w:t>Ký quỹ ban đầu</w:t>
      </w:r>
      <w:r w:rsidRPr="006234AA">
        <w:rPr>
          <w:lang w:val="nl-NL"/>
        </w:rPr>
        <w:t>:</w:t>
      </w:r>
    </w:p>
    <w:p w:rsidR="00E15965" w:rsidRPr="006234AA" w:rsidRDefault="00E15965" w:rsidP="003C0546">
      <w:pPr>
        <w:spacing w:after="120"/>
        <w:ind w:firstLine="0"/>
        <w:rPr>
          <w:b/>
          <w:bCs/>
          <w:lang w:val="nl-NL"/>
        </w:rPr>
      </w:pPr>
      <w:r w:rsidRPr="006234AA">
        <w:rPr>
          <w:lang w:val="nl-NL"/>
        </w:rPr>
        <w:t>Ký quỹ ban đầu = Max ((</w:t>
      </w:r>
      <w:r w:rsidRPr="006234AA">
        <w:rPr>
          <w:i/>
          <w:lang w:val="nl-NL"/>
        </w:rPr>
        <w:t>Giá trị lệnh đặt × Tỷ lệ ký quỹ ban đầu) +</w:t>
      </w:r>
      <w:r w:rsidRPr="006234AA">
        <w:rPr>
          <w:b/>
          <w:bCs/>
          <w:i/>
          <w:lang w:val="nl-NL"/>
        </w:rPr>
        <w:t xml:space="preserve"> </w:t>
      </w:r>
      <w:r w:rsidRPr="006234AA">
        <w:rPr>
          <w:i/>
          <w:lang w:val="nl-NL"/>
        </w:rPr>
        <w:t>Ký quỹ vị thế của nhà đầu tư + Lỗ ròng vị thế + Giá trị nhận thanh toán dự kiến, Ký quỹ ban đầu của thành viên không bù trừ</w:t>
      </w:r>
      <w:r w:rsidRPr="006234AA">
        <w:rPr>
          <w:lang w:val="nl-NL"/>
        </w:rPr>
        <w:t>).</w:t>
      </w:r>
    </w:p>
    <w:p w:rsidR="00E15965" w:rsidRPr="006234AA" w:rsidRDefault="00E15965" w:rsidP="003C0546">
      <w:pPr>
        <w:tabs>
          <w:tab w:val="left" w:pos="709"/>
          <w:tab w:val="left" w:pos="1134"/>
        </w:tabs>
        <w:spacing w:after="120"/>
        <w:ind w:firstLine="0"/>
        <w:rPr>
          <w:b/>
          <w:bCs/>
          <w:lang w:val="nl-NL"/>
        </w:rPr>
      </w:pPr>
      <w:r w:rsidRPr="006234AA">
        <w:rPr>
          <w:lang w:val="nl-NL"/>
        </w:rPr>
        <w:t xml:space="preserve">2.2 </w:t>
      </w:r>
      <w:r w:rsidRPr="006234AA">
        <w:rPr>
          <w:u w:val="single"/>
          <w:lang w:val="nl-NL"/>
        </w:rPr>
        <w:t>Ký quỹ duy trì</w:t>
      </w:r>
      <w:r w:rsidRPr="006234AA">
        <w:rPr>
          <w:lang w:val="nl-NL"/>
        </w:rPr>
        <w:t>:</w:t>
      </w:r>
    </w:p>
    <w:p w:rsidR="00E15965" w:rsidRPr="006234AA" w:rsidRDefault="00E15965" w:rsidP="003C0546">
      <w:pPr>
        <w:tabs>
          <w:tab w:val="left" w:pos="1134"/>
        </w:tabs>
        <w:spacing w:after="120"/>
        <w:ind w:firstLine="0"/>
        <w:rPr>
          <w:b/>
          <w:bCs/>
          <w:lang w:val="nl-NL"/>
        </w:rPr>
      </w:pPr>
      <w:r w:rsidRPr="006234AA">
        <w:rPr>
          <w:lang w:val="nl-NL"/>
        </w:rPr>
        <w:t>Ký quỹ duy trì = Max ((</w:t>
      </w:r>
      <w:r w:rsidRPr="006234AA">
        <w:rPr>
          <w:i/>
          <w:lang w:val="nl-NL"/>
        </w:rPr>
        <w:t>Giá trị lệnh × Tỷ lệ ký quỹ duy trì) +</w:t>
      </w:r>
      <w:r w:rsidRPr="006234AA">
        <w:rPr>
          <w:b/>
          <w:bCs/>
          <w:i/>
          <w:lang w:val="nl-NL"/>
        </w:rPr>
        <w:t xml:space="preserve"> </w:t>
      </w:r>
      <w:r w:rsidRPr="006234AA">
        <w:rPr>
          <w:i/>
          <w:lang w:val="nl-NL"/>
        </w:rPr>
        <w:t>Ký quỹ rủi vị thế của nhà đầu tư + Lỗ ròng vị thế + Giá trị nhận thanh toán dự kiến, Ký quỹ duy trì của thành viên không bù trừ</w:t>
      </w:r>
      <w:r w:rsidRPr="006234AA">
        <w:rPr>
          <w:lang w:val="nl-NL"/>
        </w:rPr>
        <w:t>)</w:t>
      </w:r>
    </w:p>
    <w:p w:rsidR="00E15965" w:rsidRPr="006234AA" w:rsidRDefault="00E15965" w:rsidP="003C0546">
      <w:pPr>
        <w:spacing w:after="120"/>
        <w:ind w:firstLine="0"/>
        <w:rPr>
          <w:lang w:val="nl-NL"/>
        </w:rPr>
      </w:pPr>
      <w:r w:rsidRPr="006234AA">
        <w:rPr>
          <w:lang w:val="nl-NL"/>
        </w:rPr>
        <w:t xml:space="preserve">Trong đó: tỷ lệ ký quỹ ban đầu, tỷ lệ ký quỹ duy trì do thành viên bù trừ được chỉ định quy định, nhưng không được thấp hơn tỷ lệ ký quỹ ban đầu tối thiểu, tỷ lệ ký quỹ duy trì tối thiểu công bố bởi </w:t>
      </w:r>
      <w:r w:rsidR="00F5451B" w:rsidRPr="006234AA">
        <w:rPr>
          <w:lang w:val="nl-NL"/>
        </w:rPr>
        <w:t>Trung tâm lưu ký chứng khoán</w:t>
      </w:r>
      <w:r w:rsidRPr="006234AA">
        <w:rPr>
          <w:lang w:val="nl-NL"/>
        </w:rPr>
        <w:t>.</w:t>
      </w:r>
    </w:p>
    <w:p w:rsidR="00E15965" w:rsidRPr="006234AA" w:rsidRDefault="00E15965" w:rsidP="003C0546">
      <w:pPr>
        <w:spacing w:after="120"/>
        <w:ind w:firstLine="0"/>
        <w:rPr>
          <w:b/>
          <w:i/>
          <w:lang w:val="nl-NL"/>
        </w:rPr>
      </w:pPr>
      <w:r w:rsidRPr="006234AA">
        <w:rPr>
          <w:b/>
          <w:i/>
          <w:lang w:val="nl-NL"/>
        </w:rPr>
        <w:t>1) Ký quỹ vị thế của nhà đầu tư</w:t>
      </w:r>
    </w:p>
    <w:p w:rsidR="00E15965" w:rsidRPr="006234AA" w:rsidRDefault="00E15965" w:rsidP="003C0546">
      <w:pPr>
        <w:spacing w:after="120"/>
        <w:ind w:firstLine="0"/>
        <w:rPr>
          <w:lang w:val="nl-NL"/>
        </w:rPr>
      </w:pPr>
      <w:r w:rsidRPr="006234AA">
        <w:rPr>
          <w:lang w:val="nl-NL"/>
        </w:rPr>
        <w:t xml:space="preserve">Ký quỹ vị thế của nhà đầu tư tính tương tự như đối với ký quỹ vị thế của thành viên tại phần I, trong đó khoảng giá </w:t>
      </w:r>
      <w:r w:rsidR="00FC4C85" w:rsidRPr="006234AA">
        <w:rPr>
          <w:lang w:val="nl-NL"/>
        </w:rPr>
        <w:t>ký quỹ</w:t>
      </w:r>
      <w:r w:rsidRPr="006234AA">
        <w:rPr>
          <w:lang w:val="nl-NL"/>
        </w:rPr>
        <w:t xml:space="preserve"> được xác định như sau:</w:t>
      </w:r>
    </w:p>
    <w:p w:rsidR="00E15965" w:rsidRPr="006234AA" w:rsidRDefault="00E15965" w:rsidP="003C0546">
      <w:pPr>
        <w:spacing w:after="120"/>
        <w:ind w:firstLine="0"/>
        <w:rPr>
          <w:lang w:val="nl-NL"/>
        </w:rPr>
      </w:pPr>
      <w:r w:rsidRPr="006234AA">
        <w:rPr>
          <w:lang w:val="nl-NL"/>
        </w:rPr>
        <w:t>Khoảng giá ký quỹ ban đầu S</w:t>
      </w:r>
      <w:r w:rsidRPr="006234AA">
        <w:rPr>
          <w:vertAlign w:val="subscript"/>
          <w:lang w:val="nl-NL"/>
        </w:rPr>
        <w:sym w:font="Symbol" w:char="F06C"/>
      </w:r>
      <w:r w:rsidRPr="006234AA">
        <w:rPr>
          <w:lang w:val="nl-NL"/>
        </w:rPr>
        <w:t xml:space="preserve"> áp dụng đối với nhà đầu tư được xác định như sau:</w:t>
      </w:r>
    </w:p>
    <w:p w:rsidR="00E15965" w:rsidRPr="006234AA" w:rsidRDefault="007965E6" w:rsidP="003C0546">
      <w:pPr>
        <w:pStyle w:val="ListParagraph"/>
        <w:numPr>
          <w:ilvl w:val="0"/>
          <w:numId w:val="0"/>
        </w:numPr>
        <w:spacing w:after="120"/>
        <w:ind w:left="720"/>
      </w:pPr>
      <m:oMath>
        <m:sSub>
          <m:sSubPr>
            <m:ctrlPr>
              <w:rPr>
                <w:rFonts w:ascii="Cambria Math" w:hAnsi="Cambria Math"/>
                <w:i/>
              </w:rPr>
            </m:ctrlPr>
          </m:sSubPr>
          <m:e>
            <m:r>
              <w:rPr>
                <w:rFonts w:ascii="Cambria Math" w:hAnsi="Cambria Math"/>
              </w:rPr>
              <m:t>S</m:t>
            </m:r>
          </m:e>
          <m:sub>
            <m:r>
              <m:rPr>
                <m:sty m:val="p"/>
              </m:rPr>
              <w:rPr>
                <w:rFonts w:ascii="Cambria Math" w:hAnsi="Cambria Math"/>
                <w:vertAlign w:val="subscript"/>
              </w:rPr>
              <w:sym w:font="Symbol" w:char="F06C"/>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ty m:val="p"/>
                  </m:rPr>
                  <w:rPr>
                    <w:rFonts w:ascii="Cambria Math" w:hAnsi="Cambria Math"/>
                    <w:vertAlign w:val="subscript"/>
                  </w:rPr>
                  <w:sym w:font="Symbol" w:char="F06C"/>
                </m:r>
                <m:r>
                  <w:rPr>
                    <w:rFonts w:ascii="Cambria Math" w:hAnsi="Cambria Math"/>
                  </w:rPr>
                  <m:t>× Tỷ lệ ký quỹ ban đầu</m:t>
                </m:r>
              </m:num>
              <m:den>
                <m:r>
                  <w:rPr>
                    <w:rFonts w:ascii="Cambria Math" w:hAnsi="Cambria Math"/>
                  </w:rPr>
                  <m:t>15</m:t>
                </m:r>
              </m:den>
            </m:f>
          </m:e>
        </m:d>
      </m:oMath>
      <w:r w:rsidR="00E15965" w:rsidRPr="006234AA">
        <w:t xml:space="preserve"> , </w:t>
      </w:r>
    </w:p>
    <w:p w:rsidR="00E15965" w:rsidRPr="006234AA" w:rsidRDefault="00E15965" w:rsidP="003C0546">
      <w:pPr>
        <w:pStyle w:val="ListParagraph"/>
        <w:numPr>
          <w:ilvl w:val="0"/>
          <w:numId w:val="0"/>
        </w:numPr>
        <w:spacing w:after="120"/>
        <w:ind w:left="720"/>
      </w:pPr>
      <w:r w:rsidRPr="006234AA">
        <w:t>S</w:t>
      </w:r>
      <w:r w:rsidRPr="006234AA">
        <w:rPr>
          <w:vertAlign w:val="subscript"/>
        </w:rPr>
        <w:t>0</w:t>
      </w:r>
      <w:r w:rsidRPr="006234AA">
        <w:t xml:space="preserve"> là giá tham chiếu, </w:t>
      </w:r>
      <w:r w:rsidRPr="006234AA">
        <w:rPr>
          <w:vertAlign w:val="subscript"/>
        </w:rPr>
        <w:sym w:font="Symbol" w:char="F06C"/>
      </w:r>
      <w:r w:rsidRPr="006234AA">
        <w:t xml:space="preserve"> = 0, </w:t>
      </w:r>
      <m:oMath>
        <m:r>
          <w:rPr>
            <w:rFonts w:ascii="Cambria Math" w:hAnsi="Cambria Math"/>
          </w:rPr>
          <m:t>±1;±2;…±15</m:t>
        </m:r>
      </m:oMath>
    </w:p>
    <w:p w:rsidR="00E15965" w:rsidRPr="006234AA" w:rsidRDefault="00E15965" w:rsidP="003C0546">
      <w:pPr>
        <w:spacing w:after="120"/>
        <w:ind w:firstLine="0"/>
        <w:rPr>
          <w:lang w:val="nl-NL"/>
        </w:rPr>
      </w:pPr>
      <w:r w:rsidRPr="006234AA">
        <w:rPr>
          <w:lang w:val="nl-NL"/>
        </w:rPr>
        <w:t>Khoảng giá ký quỹ duy trì S</w:t>
      </w:r>
      <w:r w:rsidRPr="006234AA">
        <w:rPr>
          <w:vertAlign w:val="subscript"/>
          <w:lang w:val="nl-NL"/>
        </w:rPr>
        <w:t>k</w:t>
      </w:r>
      <w:r w:rsidRPr="006234AA">
        <w:rPr>
          <w:lang w:val="nl-NL"/>
        </w:rPr>
        <w:t xml:space="preserve"> áp dụng đối với nhà đầu tư được xác định như sau:</w:t>
      </w:r>
    </w:p>
    <w:p w:rsidR="00E15965" w:rsidRPr="006234AA" w:rsidRDefault="007965E6" w:rsidP="003C0546">
      <w:pPr>
        <w:pStyle w:val="ListParagraph"/>
        <w:numPr>
          <w:ilvl w:val="0"/>
          <w:numId w:val="0"/>
        </w:numPr>
        <w:spacing w:after="120"/>
        <w:ind w:left="720"/>
      </w:pPr>
      <m:oMath>
        <m:sSub>
          <m:sSubPr>
            <m:ctrlPr>
              <w:rPr>
                <w:rFonts w:ascii="Cambria Math" w:hAnsi="Cambria Math"/>
                <w:i/>
              </w:rPr>
            </m:ctrlPr>
          </m:sSubPr>
          <m:e>
            <m:r>
              <w:rPr>
                <w:rFonts w:ascii="Cambria Math" w:hAnsi="Cambria Math"/>
              </w:rPr>
              <m:t>S</m:t>
            </m:r>
          </m:e>
          <m:sub>
            <m:r>
              <m:rPr>
                <m:sty m:val="p"/>
              </m:rPr>
              <w:rPr>
                <w:rFonts w:ascii="Cambria Math" w:hAnsi="Cambria Math"/>
                <w:vertAlign w:val="subscript"/>
              </w:rPr>
              <w:sym w:font="Symbol" w:char="F06C"/>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ty m:val="p"/>
                  </m:rPr>
                  <w:rPr>
                    <w:rFonts w:ascii="Cambria Math" w:hAnsi="Cambria Math"/>
                    <w:vertAlign w:val="subscript"/>
                  </w:rPr>
                  <w:sym w:font="Symbol" w:char="F06C"/>
                </m:r>
                <m:r>
                  <w:rPr>
                    <w:rFonts w:ascii="Cambria Math" w:hAnsi="Cambria Math"/>
                  </w:rPr>
                  <m:t>× Tỷ lệ ký quỹ duy trì</m:t>
                </m:r>
              </m:num>
              <m:den>
                <m:r>
                  <w:rPr>
                    <w:rFonts w:ascii="Cambria Math" w:hAnsi="Cambria Math"/>
                  </w:rPr>
                  <m:t>10</m:t>
                </m:r>
              </m:den>
            </m:f>
          </m:e>
        </m:d>
      </m:oMath>
      <w:r w:rsidR="00E15965" w:rsidRPr="006234AA">
        <w:t xml:space="preserve"> , </w:t>
      </w:r>
    </w:p>
    <w:p w:rsidR="00E15965" w:rsidRPr="006234AA" w:rsidRDefault="00E15965" w:rsidP="003C0546">
      <w:pPr>
        <w:spacing w:after="120"/>
        <w:ind w:firstLine="0"/>
        <w:rPr>
          <w:bCs/>
          <w:lang w:val="nl-NL"/>
        </w:rPr>
      </w:pPr>
      <w:r w:rsidRPr="006234AA">
        <w:rPr>
          <w:lang w:val="nl-NL"/>
        </w:rPr>
        <w:t>S</w:t>
      </w:r>
      <w:r w:rsidRPr="006234AA">
        <w:rPr>
          <w:vertAlign w:val="subscript"/>
          <w:lang w:val="nl-NL"/>
        </w:rPr>
        <w:t>0</w:t>
      </w:r>
      <w:r w:rsidRPr="006234AA">
        <w:rPr>
          <w:lang w:val="nl-NL"/>
        </w:rPr>
        <w:t xml:space="preserve"> là giá tham chiếu, </w:t>
      </w:r>
      <w:r w:rsidRPr="006234AA">
        <w:rPr>
          <w:vertAlign w:val="subscript"/>
          <w:lang w:val="nl-NL"/>
        </w:rPr>
        <w:sym w:font="Symbol" w:char="F06C"/>
      </w:r>
      <w:r w:rsidRPr="006234AA">
        <w:rPr>
          <w:lang w:val="nl-NL"/>
        </w:rPr>
        <w:t xml:space="preserve"> = 0, </w:t>
      </w:r>
      <m:oMath>
        <m:r>
          <w:rPr>
            <w:rFonts w:ascii="Cambria Math" w:hAnsi="Cambria Math"/>
            <w:lang w:val="nl-NL"/>
          </w:rPr>
          <m:t>±1;±2;…±10</m:t>
        </m:r>
      </m:oMath>
    </w:p>
    <w:p w:rsidR="00E15965" w:rsidRPr="006234AA" w:rsidRDefault="00E15965" w:rsidP="003C0546">
      <w:pPr>
        <w:spacing w:after="120"/>
        <w:ind w:firstLine="0"/>
        <w:rPr>
          <w:bCs/>
          <w:lang w:val="nl-NL"/>
        </w:rPr>
      </w:pPr>
    </w:p>
    <w:p w:rsidR="00E15965" w:rsidRPr="006234AA" w:rsidRDefault="00E15965" w:rsidP="003C0546">
      <w:pPr>
        <w:spacing w:after="120"/>
        <w:ind w:firstLine="0"/>
        <w:rPr>
          <w:b/>
          <w:i/>
          <w:lang w:val="nl-NL"/>
        </w:rPr>
      </w:pPr>
      <w:r w:rsidRPr="006234AA">
        <w:rPr>
          <w:b/>
          <w:i/>
          <w:lang w:val="nl-NL"/>
        </w:rPr>
        <w:t>2) Lỗ ròng trong ngày</w:t>
      </w:r>
    </w:p>
    <w:p w:rsidR="00E15965" w:rsidRPr="006234AA" w:rsidRDefault="00E15965" w:rsidP="003C0546">
      <w:pPr>
        <w:spacing w:after="120"/>
        <w:ind w:firstLine="0"/>
        <w:rPr>
          <w:lang w:val="nl-NL"/>
        </w:rPr>
      </w:pPr>
      <w:r w:rsidRPr="006234AA">
        <w:rPr>
          <w:lang w:val="nl-NL"/>
        </w:rPr>
        <w:lastRenderedPageBreak/>
        <w:t>Lỗ ròng hợp đồng i trong ngày được xác định như sau:</w:t>
      </w:r>
    </w:p>
    <w:p w:rsidR="00E15965" w:rsidRPr="006234AA" w:rsidRDefault="00E15965" w:rsidP="003C0546">
      <w:pPr>
        <w:spacing w:after="120"/>
        <w:ind w:firstLine="0"/>
        <w:rPr>
          <w:lang w:val="nl-NL"/>
        </w:rPr>
      </w:pPr>
      <w:r w:rsidRPr="006234AA">
        <w:rPr>
          <w:lang w:val="nl-NL"/>
        </w:rPr>
        <w:t>Net loss =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S</m:t>
                </m:r>
              </m:e>
            </m:bar>
          </m:e>
          <m:sub>
            <m:r>
              <w:rPr>
                <w:rFonts w:ascii="Cambria Math" w:hAnsi="Cambria Math"/>
              </w:rPr>
              <m:t>M</m:t>
            </m:r>
            <m:r>
              <w:rPr>
                <w:rFonts w:ascii="Cambria Math" w:hAnsi="Cambria Math"/>
                <w:lang w:val="nl-NL"/>
              </w:rPr>
              <m:t>,</m:t>
            </m:r>
            <m:r>
              <w:rPr>
                <w:rFonts w:ascii="Cambria Math" w:hAnsi="Cambria Math"/>
              </w:rPr>
              <m:t>t</m:t>
            </m:r>
          </m:sub>
        </m:sSub>
      </m:oMath>
      <w:r w:rsidRPr="006234AA">
        <w:rPr>
          <w:lang w:val="nl-NL"/>
        </w:rPr>
        <w:t xml:space="preserve">–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S</m:t>
                </m:r>
              </m:e>
            </m:bar>
          </m:e>
          <m:sub>
            <m:r>
              <w:rPr>
                <w:rFonts w:ascii="Cambria Math" w:hAnsi="Cambria Math"/>
              </w:rPr>
              <m:t>B</m:t>
            </m:r>
            <m:r>
              <w:rPr>
                <w:rFonts w:ascii="Cambria Math" w:hAnsi="Cambria Math"/>
                <w:lang w:val="nl-NL"/>
              </w:rPr>
              <m:t>,</m:t>
            </m:r>
            <m:r>
              <w:rPr>
                <w:rFonts w:ascii="Cambria Math" w:hAnsi="Cambria Math"/>
              </w:rPr>
              <m:t>t</m:t>
            </m:r>
          </m:sub>
        </m:sSub>
      </m:oMath>
      <w:r w:rsidRPr="006234AA">
        <w:rPr>
          <w:lang w:val="nl-NL"/>
        </w:rPr>
        <w:t>) × Min</w:t>
      </w:r>
      <m:oMath>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OI</m:t>
                    </m:r>
                  </m:e>
                  <m:sub>
                    <m:r>
                      <w:rPr>
                        <w:rFonts w:ascii="Cambria Math" w:hAnsi="Cambria Math"/>
                      </w:rPr>
                      <m:t>M</m:t>
                    </m:r>
                    <m:r>
                      <w:rPr>
                        <w:rFonts w:ascii="Cambria Math" w:hAnsi="Cambria Math"/>
                        <w:lang w:val="nl-NL"/>
                      </w:rPr>
                      <m:t>,</m:t>
                    </m:r>
                    <m:r>
                      <w:rPr>
                        <w:rFonts w:ascii="Cambria Math" w:hAnsi="Cambria Math"/>
                      </w:rPr>
                      <m:t>t</m:t>
                    </m:r>
                    <m:r>
                      <w:rPr>
                        <w:rFonts w:ascii="Cambria Math" w:hAnsi="Cambria Math"/>
                        <w:lang w:val="nl-NL"/>
                      </w:rPr>
                      <m:t>-1</m:t>
                    </m:r>
                  </m:sub>
                </m:sSub>
                <m:r>
                  <w:rPr>
                    <w:rFonts w:ascii="Cambria Math" w:hAnsi="Cambria Math"/>
                    <w:lang w:val="nl-NL"/>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B</m:t>
                        </m:r>
                        <m:r>
                          <w:rPr>
                            <w:rFonts w:ascii="Cambria Math" w:hAnsi="Cambria Math"/>
                            <w:lang w:val="nl-NL"/>
                          </w:rPr>
                          <m:t>,</m:t>
                        </m:r>
                        <m:r>
                          <w:rPr>
                            <w:rFonts w:ascii="Cambria Math" w:hAnsi="Cambria Math"/>
                          </w:rPr>
                          <m:t>t</m:t>
                        </m:r>
                      </m:sub>
                    </m:sSub>
                  </m:e>
                </m:nary>
              </m:e>
            </m:d>
            <m:r>
              <w:rPr>
                <w:rFonts w:ascii="Cambria Math" w:hAnsi="Cambria Math"/>
                <w:lang w:val="nl-NL"/>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OI</m:t>
                    </m:r>
                  </m:e>
                  <m:sub>
                    <m:r>
                      <w:rPr>
                        <w:rFonts w:ascii="Cambria Math" w:hAnsi="Cambria Math"/>
                      </w:rPr>
                      <m:t>B</m:t>
                    </m:r>
                    <m:r>
                      <w:rPr>
                        <w:rFonts w:ascii="Cambria Math" w:hAnsi="Cambria Math"/>
                        <w:lang w:val="nl-NL"/>
                      </w:rPr>
                      <m:t>,</m:t>
                    </m:r>
                    <m:r>
                      <w:rPr>
                        <w:rFonts w:ascii="Cambria Math" w:hAnsi="Cambria Math"/>
                      </w:rPr>
                      <m:t>t</m:t>
                    </m:r>
                    <m:r>
                      <w:rPr>
                        <w:rFonts w:ascii="Cambria Math" w:hAnsi="Cambria Math"/>
                        <w:lang w:val="nl-NL"/>
                      </w:rPr>
                      <m:t>-1</m:t>
                    </m:r>
                  </m:sub>
                </m:sSub>
                <m:r>
                  <w:rPr>
                    <w:rFonts w:ascii="Cambria Math" w:hAnsi="Cambria Math"/>
                    <w:lang w:val="nl-NL"/>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M</m:t>
                        </m:r>
                        <m:r>
                          <w:rPr>
                            <w:rFonts w:ascii="Cambria Math" w:hAnsi="Cambria Math"/>
                            <w:lang w:val="nl-NL"/>
                          </w:rPr>
                          <m:t>,</m:t>
                        </m:r>
                        <m:r>
                          <w:rPr>
                            <w:rFonts w:ascii="Cambria Math" w:hAnsi="Cambria Math"/>
                          </w:rPr>
                          <m:t>t</m:t>
                        </m:r>
                      </m:sub>
                    </m:sSub>
                  </m:e>
                </m:nary>
              </m:e>
            </m:d>
          </m:e>
        </m:d>
      </m:oMath>
      <w:r w:rsidRPr="006234AA">
        <w:rPr>
          <w:lang w:val="nl-NL"/>
        </w:rPr>
        <w:t>; × k</w:t>
      </w:r>
    </w:p>
    <w:p w:rsidR="00E15965" w:rsidRPr="006234AA" w:rsidRDefault="00E15965" w:rsidP="003C0546">
      <w:pPr>
        <w:spacing w:after="120"/>
        <w:ind w:firstLine="0"/>
        <w:rPr>
          <w:bCs/>
          <w:lang w:val="nl-NL"/>
        </w:rPr>
      </w:pPr>
      <w:r w:rsidRPr="006234AA">
        <w:rPr>
          <w:bCs/>
          <w:lang w:val="nl-NL"/>
        </w:rPr>
        <w:t>Trong đó</w:t>
      </w:r>
    </w:p>
    <w:p w:rsidR="00E15965" w:rsidRPr="006234AA" w:rsidRDefault="007965E6" w:rsidP="003C0546">
      <w:pPr>
        <w:spacing w:after="120"/>
        <w:ind w:firstLine="0"/>
        <w:rPr>
          <w:lang w:val="nl-NL"/>
        </w:rPr>
      </w:p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S</m:t>
                </m:r>
              </m:e>
            </m:bar>
          </m:e>
          <m:sub>
            <m:r>
              <w:rPr>
                <w:rFonts w:ascii="Cambria Math" w:hAnsi="Cambria Math"/>
              </w:rPr>
              <m:t>M</m:t>
            </m:r>
          </m:sub>
        </m:sSub>
      </m:oMath>
      <w:r w:rsidR="00E15965" w:rsidRPr="006234AA">
        <w:rPr>
          <w:lang w:val="nl-NL"/>
        </w:rPr>
        <w:t xml:space="preserve"> – là giá mua bình quân gia quyền theo khối lượng giao dịch, được xác định theo công thức sau:</w:t>
      </w:r>
    </w:p>
    <w:p w:rsidR="00E15965" w:rsidRPr="006234AA" w:rsidRDefault="007965E6" w:rsidP="003C0546">
      <w:pPr>
        <w:spacing w:after="120"/>
        <w:ind w:firstLine="0"/>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S</m:t>
                  </m:r>
                </m:e>
              </m:bar>
            </m:e>
            <m:sub>
              <m:r>
                <w:rPr>
                  <w:rFonts w:ascii="Cambria Math" w:hAnsi="Cambria Math"/>
                </w:rPr>
                <m:t>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OI</m:t>
                  </m:r>
                </m:e>
                <m:sub>
                  <m:r>
                    <w:rPr>
                      <w:rFonts w:ascii="Cambria Math" w:hAnsi="Cambria Math"/>
                    </w:rPr>
                    <m:t>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×k+</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M,t</m:t>
                      </m:r>
                    </m:sub>
                  </m:sSub>
                </m:e>
              </m:nary>
            </m:num>
            <m:den>
              <m:sSub>
                <m:sSubPr>
                  <m:ctrlPr>
                    <w:rPr>
                      <w:rFonts w:ascii="Cambria Math" w:hAnsi="Cambria Math"/>
                      <w:i/>
                    </w:rPr>
                  </m:ctrlPr>
                </m:sSubPr>
                <m:e>
                  <m:r>
                    <w:rPr>
                      <w:rFonts w:ascii="Cambria Math" w:hAnsi="Cambria Math"/>
                    </w:rPr>
                    <m:t>OI</m:t>
                  </m:r>
                </m:e>
                <m:sub>
                  <m:r>
                    <w:rPr>
                      <w:rFonts w:ascii="Cambria Math" w:hAnsi="Cambria Math"/>
                    </w:rPr>
                    <m:t>M,t-1</m:t>
                  </m:r>
                </m:sub>
              </m:sSub>
              <m:r>
                <w:rPr>
                  <w:rFonts w:ascii="Cambria Math" w:hAnsi="Cambria Math"/>
                </w:rPr>
                <m:t>×k+</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M,t</m:t>
                      </m:r>
                    </m:sub>
                  </m:sSub>
                  <m:r>
                    <w:rPr>
                      <w:rFonts w:ascii="Cambria Math" w:hAnsi="Cambria Math"/>
                    </w:rPr>
                    <m:t>×k</m:t>
                  </m:r>
                </m:e>
              </m:nary>
            </m:den>
          </m:f>
        </m:oMath>
      </m:oMathPara>
    </w:p>
    <w:p w:rsidR="00E15965" w:rsidRPr="006234AA" w:rsidRDefault="007965E6" w:rsidP="003C0546">
      <w:pPr>
        <w:spacing w:after="120"/>
        <w:ind w:firstLine="0"/>
      </w:p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S</m:t>
                </m:r>
              </m:e>
            </m:bar>
          </m:e>
          <m:sub>
            <m:r>
              <w:rPr>
                <w:rFonts w:ascii="Cambria Math" w:hAnsi="Cambria Math"/>
              </w:rPr>
              <m:t>B</m:t>
            </m:r>
          </m:sub>
        </m:sSub>
      </m:oMath>
      <w:r w:rsidR="00E15965" w:rsidRPr="006234AA">
        <w:t xml:space="preserve"> – là giá bán bình quân gia quyền theo khối lượng giao dịch, được xác định theo công thức sau:</w:t>
      </w:r>
    </w:p>
    <w:p w:rsidR="00E15965" w:rsidRPr="006234AA" w:rsidRDefault="007965E6" w:rsidP="003C0546">
      <w:pPr>
        <w:spacing w:after="120"/>
        <w:ind w:firstLine="0"/>
        <w:rPr>
          <w:b/>
          <w:bCs/>
        </w:rP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S</m:t>
                  </m:r>
                </m:e>
              </m:bar>
            </m:e>
            <m:sub>
              <m:r>
                <w:rPr>
                  <w:rFonts w:ascii="Cambria Math" w:hAnsi="Cambria Math"/>
                </w:rPr>
                <m:t>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OI</m:t>
                  </m:r>
                </m:e>
                <m:sub>
                  <m:r>
                    <w:rPr>
                      <w:rFonts w:ascii="Cambria Math" w:hAnsi="Cambria Math"/>
                    </w:rPr>
                    <m:t>B,t-1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×k+</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B,t</m:t>
                      </m:r>
                    </m:sub>
                  </m:sSub>
                </m:e>
              </m:nary>
            </m:num>
            <m:den>
              <m:sSub>
                <m:sSubPr>
                  <m:ctrlPr>
                    <w:rPr>
                      <w:rFonts w:ascii="Cambria Math" w:hAnsi="Cambria Math"/>
                      <w:i/>
                    </w:rPr>
                  </m:ctrlPr>
                </m:sSubPr>
                <m:e>
                  <m:r>
                    <w:rPr>
                      <w:rFonts w:ascii="Cambria Math" w:hAnsi="Cambria Math"/>
                    </w:rPr>
                    <m:t>OI</m:t>
                  </m:r>
                </m:e>
                <m:sub>
                  <m:r>
                    <w:rPr>
                      <w:rFonts w:ascii="Cambria Math" w:hAnsi="Cambria Math"/>
                    </w:rPr>
                    <m:t>B,t-1</m:t>
                  </m:r>
                </m:sub>
              </m:sSub>
              <m:r>
                <w:rPr>
                  <w:rFonts w:ascii="Cambria Math" w:hAnsi="Cambria Math"/>
                </w:rPr>
                <m:t>×k+</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B,t</m:t>
                      </m:r>
                    </m:sub>
                  </m:sSub>
                  <m:r>
                    <w:rPr>
                      <w:rFonts w:ascii="Cambria Math" w:hAnsi="Cambria Math"/>
                    </w:rPr>
                    <m:t>×k</m:t>
                  </m:r>
                </m:e>
              </m:nary>
            </m:den>
          </m:f>
        </m:oMath>
      </m:oMathPara>
    </w:p>
    <w:p w:rsidR="00E15965" w:rsidRPr="006234AA" w:rsidRDefault="00E15965" w:rsidP="003C0546">
      <w:pPr>
        <w:spacing w:after="120"/>
        <w:ind w:firstLine="0"/>
        <w:rPr>
          <w:bCs/>
        </w:rPr>
      </w:pPr>
      <w:r w:rsidRPr="006234AA">
        <w:rPr>
          <w:bCs/>
        </w:rPr>
        <w:t xml:space="preserve">Trong đó, </w:t>
      </w:r>
    </w:p>
    <w:p w:rsidR="00E15965" w:rsidRPr="006234AA" w:rsidRDefault="007965E6" w:rsidP="003C0546">
      <w:pPr>
        <w:spacing w:after="120"/>
        <w:ind w:firstLine="0"/>
        <w:rPr>
          <w:bCs/>
        </w:rPr>
      </w:pPr>
      <m:oMath>
        <m:sSub>
          <m:sSubPr>
            <m:ctrlPr>
              <w:rPr>
                <w:rFonts w:ascii="Cambria Math" w:hAnsi="Cambria Math"/>
                <w:i/>
              </w:rPr>
            </m:ctrlPr>
          </m:sSubPr>
          <m:e>
            <m:r>
              <w:rPr>
                <w:rFonts w:ascii="Cambria Math" w:hAnsi="Cambria Math"/>
              </w:rPr>
              <m:t>OI</m:t>
            </m:r>
          </m:e>
          <m:sub>
            <m:r>
              <w:rPr>
                <w:rFonts w:ascii="Cambria Math" w:hAnsi="Cambria Math"/>
              </w:rPr>
              <m:t>M,t-1</m:t>
            </m:r>
          </m:sub>
        </m:sSub>
      </m:oMath>
      <w:r w:rsidR="00E15965" w:rsidRPr="006234AA">
        <w:t xml:space="preserve"> là khối lượng mở phát sinh từ các giao dịch mua khi thị trường đóng cửa của ngày giao dịch trước đó;</w:t>
      </w:r>
    </w:p>
    <w:p w:rsidR="00E15965" w:rsidRPr="006234AA" w:rsidRDefault="007965E6" w:rsidP="003C0546">
      <w:pPr>
        <w:spacing w:after="120"/>
        <w:ind w:firstLine="0"/>
      </w:pPr>
      <m:oMath>
        <m:sSub>
          <m:sSubPr>
            <m:ctrlPr>
              <w:rPr>
                <w:rFonts w:ascii="Cambria Math" w:hAnsi="Cambria Math"/>
                <w:i/>
              </w:rPr>
            </m:ctrlPr>
          </m:sSubPr>
          <m:e>
            <m:r>
              <w:rPr>
                <w:rFonts w:ascii="Cambria Math" w:hAnsi="Cambria Math"/>
              </w:rPr>
              <m:t>OI</m:t>
            </m:r>
          </m:e>
          <m:sub>
            <m:r>
              <w:rPr>
                <w:rFonts w:ascii="Cambria Math" w:hAnsi="Cambria Math"/>
              </w:rPr>
              <m:t>B,t-1</m:t>
            </m:r>
          </m:sub>
        </m:sSub>
      </m:oMath>
      <w:r w:rsidR="00E15965" w:rsidRPr="006234AA">
        <w:t xml:space="preserve"> là khối lượng mở phát sinh từ các giao dịch bán khi thị trường đóng cửa của ngày giao dịch trước đó;</w:t>
      </w:r>
    </w:p>
    <w:p w:rsidR="00E15965" w:rsidRPr="006234AA" w:rsidRDefault="00E15965" w:rsidP="003C0546">
      <w:pPr>
        <w:spacing w:after="120"/>
        <w:ind w:firstLine="0"/>
      </w:pPr>
      <w:r w:rsidRPr="006234AA">
        <w:t>S</w:t>
      </w:r>
      <w:r w:rsidRPr="006234AA">
        <w:rPr>
          <w:vertAlign w:val="subscript"/>
        </w:rPr>
        <w:t>0</w:t>
      </w:r>
      <w:r w:rsidRPr="006234AA">
        <w:t xml:space="preserve"> là giá tham chiếu (giá thanh toán cuối ngày giao dịch trước đó);</w:t>
      </w:r>
    </w:p>
    <w:p w:rsidR="00E15965" w:rsidRPr="006234AA" w:rsidRDefault="00E15965" w:rsidP="003C0546">
      <w:pPr>
        <w:spacing w:after="120"/>
        <w:ind w:firstLine="0"/>
      </w:pPr>
      <w:r w:rsidRPr="006234AA">
        <w:t>k là số nhân</w:t>
      </w:r>
    </w:p>
    <w:p w:rsidR="00E15965" w:rsidRPr="006234AA" w:rsidRDefault="007965E6" w:rsidP="003C0546">
      <w:pPr>
        <w:spacing w:after="120"/>
        <w:ind w:firstLine="0"/>
      </w:pPr>
      <m:oMath>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M,t</m:t>
                </m:r>
              </m:sub>
            </m:sSub>
          </m:e>
        </m:nary>
      </m:oMath>
      <w:r w:rsidR="00E15965" w:rsidRPr="006234AA">
        <w:t xml:space="preserve"> là tổng khối lượng thực hiện từ các lệnh mua trong ngày;</w:t>
      </w:r>
    </w:p>
    <w:p w:rsidR="00E15965" w:rsidRPr="006234AA" w:rsidRDefault="007965E6" w:rsidP="003C0546">
      <w:pPr>
        <w:spacing w:after="120"/>
        <w:ind w:firstLine="0"/>
      </w:pPr>
      <m:oMath>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B,t</m:t>
                </m:r>
              </m:sub>
            </m:sSub>
          </m:e>
        </m:nary>
      </m:oMath>
      <w:r w:rsidR="00E15965" w:rsidRPr="006234AA">
        <w:t xml:space="preserve"> là tổng khối lượng thực hiện từ các lệnh bán trong ngày;</w:t>
      </w:r>
    </w:p>
    <w:p w:rsidR="00E15965" w:rsidRPr="006234AA" w:rsidRDefault="007965E6" w:rsidP="003C0546">
      <w:pPr>
        <w:spacing w:after="120"/>
        <w:ind w:firstLine="0"/>
      </w:pPr>
      <m:oMath>
        <m:d>
          <m:dPr>
            <m:ctrlPr>
              <w:rPr>
                <w:rFonts w:ascii="Cambria Math" w:hAnsi="Cambria Math"/>
                <w:i/>
              </w:rPr>
            </m:ctrlPr>
          </m:dPr>
          <m:e>
            <m:sSub>
              <m:sSubPr>
                <m:ctrlPr>
                  <w:rPr>
                    <w:rFonts w:ascii="Cambria Math" w:hAnsi="Cambria Math"/>
                    <w:i/>
                  </w:rPr>
                </m:ctrlPr>
              </m:sSubPr>
              <m:e>
                <m:r>
                  <w:rPr>
                    <w:rFonts w:ascii="Cambria Math" w:hAnsi="Cambria Math"/>
                  </w:rPr>
                  <m:t>OI</m:t>
                </m:r>
              </m:e>
              <m:sub>
                <m:r>
                  <w:rPr>
                    <w:rFonts w:ascii="Cambria Math" w:hAnsi="Cambria Math"/>
                  </w:rPr>
                  <m:t>M,t-1</m:t>
                </m:r>
              </m:sub>
            </m:sSub>
            <m:r>
              <w:rPr>
                <w:rFonts w:ascii="Cambria Math"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B,t</m:t>
                    </m:r>
                  </m:sub>
                </m:sSub>
              </m:e>
            </m:nary>
          </m:e>
        </m:d>
      </m:oMath>
      <w:r w:rsidR="00E15965" w:rsidRPr="006234AA">
        <w:t xml:space="preserve"> là khối lượng giao dịch từ các lệnh bán đã thực hiện trong ngày, bao gồm cả khối lượng mở phát sinh của các giao dịch mua thực hiện khi thị trường đóng cửa của ngày giao dịch trước đó</w:t>
      </w:r>
    </w:p>
    <w:p w:rsidR="00E15965" w:rsidRPr="006234AA" w:rsidRDefault="007965E6" w:rsidP="003C0546">
      <w:pPr>
        <w:spacing w:after="120"/>
        <w:ind w:firstLine="0"/>
        <w:rPr>
          <w:b/>
          <w:bCs/>
          <w:lang w:val="nl-NL"/>
        </w:rPr>
      </w:pPr>
      <m:oMath>
        <m:d>
          <m:dPr>
            <m:ctrlPr>
              <w:rPr>
                <w:rFonts w:ascii="Cambria Math" w:hAnsi="Cambria Math"/>
                <w:i/>
              </w:rPr>
            </m:ctrlPr>
          </m:dPr>
          <m:e>
            <m:sSub>
              <m:sSubPr>
                <m:ctrlPr>
                  <w:rPr>
                    <w:rFonts w:ascii="Cambria Math" w:hAnsi="Cambria Math"/>
                    <w:i/>
                  </w:rPr>
                </m:ctrlPr>
              </m:sSubPr>
              <m:e>
                <m:r>
                  <w:rPr>
                    <w:rFonts w:ascii="Cambria Math" w:hAnsi="Cambria Math"/>
                  </w:rPr>
                  <m:t>OI</m:t>
                </m:r>
              </m:e>
              <m:sub>
                <m:r>
                  <w:rPr>
                    <w:rFonts w:ascii="Cambria Math" w:hAnsi="Cambria Math"/>
                  </w:rPr>
                  <m:t>B,t-1</m:t>
                </m:r>
              </m:sub>
            </m:sSub>
            <m:r>
              <w:rPr>
                <w:rFonts w:ascii="Cambria Math"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M,t</m:t>
                    </m:r>
                  </m:sub>
                </m:sSub>
              </m:e>
            </m:nary>
          </m:e>
        </m:d>
      </m:oMath>
      <w:r w:rsidR="00E15965" w:rsidRPr="006234AA">
        <w:t xml:space="preserve"> là khối lượng giao dịch từ các lệnh mua đã thực hiện trong ngày, bao gồm cả khối lượng mở phát sinh của các giao dịch bán thực hiện khi thị trường đóng cửa của ngày giao dịch trước đó)</w:t>
      </w:r>
    </w:p>
    <w:p w:rsidR="00E15965" w:rsidRPr="006234AA" w:rsidRDefault="00E15965" w:rsidP="003C0546">
      <w:pPr>
        <w:spacing w:after="120"/>
        <w:ind w:firstLine="0"/>
        <w:rPr>
          <w:b/>
          <w:i/>
          <w:lang w:val="nl-NL"/>
        </w:rPr>
      </w:pPr>
    </w:p>
    <w:p w:rsidR="00E15965" w:rsidRPr="006234AA" w:rsidRDefault="00E15965" w:rsidP="003C0546">
      <w:pPr>
        <w:spacing w:after="120"/>
        <w:ind w:firstLine="0"/>
        <w:rPr>
          <w:b/>
          <w:i/>
          <w:lang w:val="nl-NL"/>
        </w:rPr>
      </w:pPr>
      <w:r w:rsidRPr="006234AA">
        <w:rPr>
          <w:b/>
          <w:i/>
          <w:lang w:val="nl-NL"/>
        </w:rPr>
        <w:t>3) Giá trị nhận thanh toán dự kiến</w:t>
      </w:r>
    </w:p>
    <w:p w:rsidR="00E15965" w:rsidRPr="006234AA" w:rsidRDefault="00E15965" w:rsidP="003C0546">
      <w:pPr>
        <w:spacing w:after="120"/>
        <w:ind w:firstLine="0"/>
        <w:rPr>
          <w:lang w:val="nl-NL"/>
        </w:rPr>
      </w:pPr>
      <w:r w:rsidRPr="006234AA">
        <w:rPr>
          <w:lang w:val="nl-NL"/>
        </w:rPr>
        <w:t>Giá trị thanh toán trong giao dịch và giá trị thanh toán trong ngày giao dịch kế tiếp.</w:t>
      </w:r>
    </w:p>
    <w:p w:rsidR="00E15965" w:rsidRPr="006234AA" w:rsidRDefault="00E15965" w:rsidP="003C0546">
      <w:pPr>
        <w:spacing w:after="120"/>
        <w:ind w:firstLine="0"/>
        <w:rPr>
          <w:lang w:val="nl-NL"/>
        </w:rPr>
      </w:pPr>
      <w:r w:rsidRPr="006234AA">
        <w:rPr>
          <w:lang w:val="nl-NL"/>
        </w:rPr>
        <w:t xml:space="preserve"> (Khoản phải thu từ thành viên bù trừ – Khoản phải trả thành viên bù trừ)</w:t>
      </w:r>
    </w:p>
    <w:p w:rsidR="00E15965" w:rsidRPr="006234AA" w:rsidRDefault="00E15965" w:rsidP="003C0546">
      <w:pPr>
        <w:spacing w:after="120"/>
        <w:ind w:firstLine="0"/>
        <w:rPr>
          <w:b/>
          <w:bCs/>
          <w:lang w:val="nl-NL"/>
        </w:rPr>
      </w:pPr>
      <w:r w:rsidRPr="006234AA">
        <w:rPr>
          <w:b/>
          <w:i/>
          <w:lang w:val="nl-NL"/>
        </w:rPr>
        <w:t xml:space="preserve">2. Ký quỹ tối thiểu </w:t>
      </w:r>
    </w:p>
    <w:p w:rsidR="00E15965" w:rsidRPr="006234AA" w:rsidRDefault="00E15965" w:rsidP="003C0546">
      <w:pPr>
        <w:spacing w:after="120"/>
        <w:ind w:firstLine="0"/>
        <w:rPr>
          <w:lang w:val="nl-NL"/>
        </w:rPr>
      </w:pPr>
      <w:r w:rsidRPr="006234AA">
        <w:rPr>
          <w:lang w:val="nl-NL"/>
        </w:rPr>
        <w:t xml:space="preserve">(Số lượng hợp đồng từ lệnh mua × Giá trị một hợp đồng × Tỷ lệ ký quỹ khách hàng) + (Số lượng thanh toán cuối cùng của hợp đồng chuyển giao tài sản cơ sở </w:t>
      </w:r>
      <w:r w:rsidRPr="006234AA">
        <w:rPr>
          <w:lang w:val="nl-NL"/>
        </w:rPr>
        <w:lastRenderedPageBreak/>
        <w:t>(</w:t>
      </w:r>
      <w:r w:rsidRPr="006234AA">
        <w:rPr>
          <w:i/>
          <w:lang w:val="nl-NL"/>
        </w:rPr>
        <w:t>đến hạn</w:t>
      </w:r>
      <w:r w:rsidRPr="006234AA">
        <w:rPr>
          <w:lang w:val="nl-NL"/>
        </w:rPr>
        <w:t xml:space="preserve">) × Giá trị một hợp đồng × Tỷ lệ ký quỹ khách hàng) + (Số lượng thanh toán cuối cùng các hợp đồng phải ký quỹ trước khi xác định giá thanh toán cuối cùng </w:t>
      </w:r>
      <w:r w:rsidRPr="006234AA">
        <w:rPr>
          <w:i/>
          <w:lang w:val="nl-NL"/>
        </w:rPr>
        <w:t>(chưa đến hạn)</w:t>
      </w:r>
      <w:r w:rsidRPr="006234AA">
        <w:rPr>
          <w:lang w:val="nl-NL"/>
        </w:rPr>
        <w:t xml:space="preserve"> × Giá trị một hợp đồng × Tỷ lệ ký quỹ khách hàng)</w:t>
      </w:r>
    </w:p>
    <w:p w:rsidR="00E15965" w:rsidRPr="006234AA" w:rsidRDefault="00E15965" w:rsidP="003C0546">
      <w:pPr>
        <w:spacing w:after="120"/>
        <w:ind w:firstLine="0"/>
        <w:rPr>
          <w:b/>
          <w:lang w:val="nl-NL"/>
        </w:rPr>
      </w:pPr>
      <w:r w:rsidRPr="006234AA">
        <w:rPr>
          <w:b/>
          <w:lang w:val="nl-NL"/>
        </w:rPr>
        <w:t xml:space="preserve">III. </w:t>
      </w:r>
      <w:r w:rsidR="00FC4C85" w:rsidRPr="006234AA">
        <w:rPr>
          <w:b/>
          <w:lang w:val="nl-NL"/>
        </w:rPr>
        <w:t>Ký quỹ</w:t>
      </w:r>
      <w:r w:rsidRPr="006234AA">
        <w:rPr>
          <w:b/>
          <w:lang w:val="nl-NL"/>
        </w:rPr>
        <w:t xml:space="preserve"> không bù trừ</w:t>
      </w:r>
    </w:p>
    <w:p w:rsidR="00E15965" w:rsidRPr="006234AA" w:rsidRDefault="00FC4C85" w:rsidP="003C0546">
      <w:pPr>
        <w:spacing w:after="120"/>
        <w:ind w:firstLine="0"/>
        <w:rPr>
          <w:b/>
          <w:lang w:val="nl-NL"/>
        </w:rPr>
      </w:pPr>
      <w:r w:rsidRPr="006234AA">
        <w:rPr>
          <w:lang w:val="nl-NL"/>
        </w:rPr>
        <w:t>Ký quỹ</w:t>
      </w:r>
      <w:r w:rsidR="00E15965" w:rsidRPr="006234AA">
        <w:rPr>
          <w:lang w:val="nl-NL"/>
        </w:rPr>
        <w:t xml:space="preserve"> không bù trừ do thành viên bù trừ được chỉ định quy định và bảo đảm các nguyên tắc sau:</w:t>
      </w:r>
    </w:p>
    <w:p w:rsidR="00E15965" w:rsidRPr="006234AA" w:rsidRDefault="00FC4C85" w:rsidP="003C0546">
      <w:pPr>
        <w:spacing w:after="120"/>
        <w:ind w:firstLine="0"/>
        <w:rPr>
          <w:b/>
          <w:bCs/>
          <w:lang w:val="nl-NL"/>
        </w:rPr>
      </w:pPr>
      <w:r w:rsidRPr="006234AA">
        <w:rPr>
          <w:lang w:val="nl-NL"/>
        </w:rPr>
        <w:t>Ký quỹ</w:t>
      </w:r>
      <w:r w:rsidR="00E15965" w:rsidRPr="006234AA">
        <w:rPr>
          <w:lang w:val="nl-NL"/>
        </w:rPr>
        <w:t xml:space="preserve"> không bù trừ = Max(</w:t>
      </w:r>
      <w:r w:rsidR="00E15965" w:rsidRPr="006234AA">
        <w:rPr>
          <w:i/>
          <w:lang w:val="nl-NL"/>
        </w:rPr>
        <w:t>Ký quỹ vị thế cho tài khoản giao dịch tự doanh +</w:t>
      </w:r>
      <w:r w:rsidR="00E15965" w:rsidRPr="006234AA">
        <w:rPr>
          <w:b/>
          <w:bCs/>
          <w:i/>
          <w:lang w:val="nl-NL"/>
        </w:rPr>
        <w:t xml:space="preserve"> </w:t>
      </w:r>
      <w:r w:rsidR="00E15965" w:rsidRPr="006234AA">
        <w:rPr>
          <w:i/>
          <w:lang w:val="nl-NL"/>
        </w:rPr>
        <w:t xml:space="preserve">Ký quỹ vị thế cho tài khoản của từng khách hàng môi giới, </w:t>
      </w:r>
      <w:r w:rsidRPr="006234AA">
        <w:rPr>
          <w:i/>
          <w:lang w:val="nl-NL"/>
        </w:rPr>
        <w:t>Ký quỹ</w:t>
      </w:r>
      <w:r w:rsidR="00E15965" w:rsidRPr="006234AA">
        <w:rPr>
          <w:i/>
          <w:lang w:val="nl-NL"/>
        </w:rPr>
        <w:t xml:space="preserve"> bù trừ</w:t>
      </w:r>
      <w:r w:rsidR="00E15965" w:rsidRPr="006234AA">
        <w:rPr>
          <w:lang w:val="nl-NL"/>
        </w:rPr>
        <w:t>)</w:t>
      </w:r>
    </w:p>
    <w:tbl>
      <w:tblPr>
        <w:tblW w:w="0" w:type="auto"/>
        <w:tblInd w:w="-106" w:type="dxa"/>
        <w:tblLook w:val="00A0"/>
      </w:tblPr>
      <w:tblGrid>
        <w:gridCol w:w="9242"/>
      </w:tblGrid>
      <w:tr w:rsidR="00E15965" w:rsidRPr="006234AA" w:rsidTr="00A15B69">
        <w:tc>
          <w:tcPr>
            <w:tcW w:w="9242" w:type="dxa"/>
          </w:tcPr>
          <w:p w:rsidR="00E15965" w:rsidRPr="006234AA" w:rsidRDefault="00E15965" w:rsidP="003C0546">
            <w:pPr>
              <w:spacing w:after="120"/>
              <w:ind w:firstLine="0"/>
              <w:rPr>
                <w:b/>
                <w:bCs/>
                <w:lang w:val="nl-NL"/>
              </w:rPr>
            </w:pPr>
            <w:r w:rsidRPr="006234AA">
              <w:rPr>
                <w:b/>
                <w:bCs/>
                <w:lang w:val="nl-NL"/>
              </w:rPr>
              <w:t>IV. Các tham số khác</w:t>
            </w:r>
          </w:p>
        </w:tc>
      </w:tr>
    </w:tbl>
    <w:p w:rsidR="00E15965" w:rsidRPr="006234AA" w:rsidRDefault="00E15965" w:rsidP="003C0546">
      <w:pPr>
        <w:pStyle w:val="ListParagraph"/>
        <w:numPr>
          <w:ilvl w:val="0"/>
          <w:numId w:val="7"/>
        </w:numPr>
        <w:spacing w:after="120"/>
        <w:rPr>
          <w:b/>
          <w:bCs/>
          <w:i/>
        </w:rPr>
      </w:pPr>
      <w:r w:rsidRPr="006234AA">
        <w:rPr>
          <w:b/>
          <w:i/>
        </w:rPr>
        <w:t xml:space="preserve">Tỷ lệ ký quỹ </w:t>
      </w:r>
    </w:p>
    <w:p w:rsidR="00E15965" w:rsidRPr="006234AA" w:rsidRDefault="00F5451B" w:rsidP="003C0546">
      <w:pPr>
        <w:spacing w:after="120"/>
        <w:rPr>
          <w:lang w:val="nl-NL"/>
        </w:rPr>
      </w:pPr>
      <w:r w:rsidRPr="006234AA">
        <w:rPr>
          <w:lang w:val="nl-NL"/>
        </w:rPr>
        <w:t>Trung tâm lưu ký chứng khoán</w:t>
      </w:r>
      <w:r w:rsidR="00E15965" w:rsidRPr="006234AA">
        <w:rPr>
          <w:lang w:val="nl-NL"/>
        </w:rPr>
        <w:t xml:space="preserve"> có trách nhiệm xác định và công bố tỷ lệ </w:t>
      </w:r>
      <w:r w:rsidR="00FC4C85" w:rsidRPr="006234AA">
        <w:rPr>
          <w:lang w:val="nl-NL"/>
        </w:rPr>
        <w:t>ký quỹ</w:t>
      </w:r>
      <w:r w:rsidR="00E15965" w:rsidRPr="006234AA">
        <w:rPr>
          <w:lang w:val="nl-NL"/>
        </w:rPr>
        <w:t xml:space="preserve"> áp dụng đối với các vị thế đứng tên thành viên bù trừ. </w:t>
      </w:r>
    </w:p>
    <w:p w:rsidR="00E15965" w:rsidRPr="006234AA" w:rsidRDefault="00E15965" w:rsidP="003C0546">
      <w:pPr>
        <w:spacing w:after="120"/>
        <w:rPr>
          <w:lang w:val="nl-NL"/>
        </w:rPr>
      </w:pPr>
      <w:r w:rsidRPr="006234AA">
        <w:rPr>
          <w:lang w:val="nl-NL"/>
        </w:rPr>
        <w:t xml:space="preserve">Thành viên bù trừ có trách nhiệm xác định tỷ lệ ký quỹ ban đầu tối thiểu và tỷ lệ ký quỹ duy trì tối thiểu áp dụng đối với thành viên không bù trừ và khách hàng của thành viên không bù trừ, khách hàng của thành viên bù trừ. Thành viên bù trừ có quyền xác định các tỷ lệ ký quỹ ban đầu, tỷ lệ ký quỹ duy trì áp dụng cho từng đối tượng khách hàng, nhưng bảo đảm không thấp hơn các tỷ lệ tối thiểu do </w:t>
      </w:r>
      <w:r w:rsidR="00F5451B" w:rsidRPr="006234AA">
        <w:rPr>
          <w:lang w:val="nl-NL"/>
        </w:rPr>
        <w:t>Trung tâm lưu ký chứng khoán</w:t>
      </w:r>
      <w:r w:rsidRPr="006234AA">
        <w:rPr>
          <w:lang w:val="nl-NL"/>
        </w:rPr>
        <w:t xml:space="preserve"> xác định và công bố.</w:t>
      </w:r>
    </w:p>
    <w:p w:rsidR="00E15965" w:rsidRPr="006234AA" w:rsidRDefault="00E15965" w:rsidP="003C0546">
      <w:pPr>
        <w:spacing w:after="120"/>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3"/>
        <w:gridCol w:w="2319"/>
        <w:gridCol w:w="2324"/>
        <w:gridCol w:w="2321"/>
      </w:tblGrid>
      <w:tr w:rsidR="00E15965" w:rsidRPr="006234AA" w:rsidTr="00A15B69">
        <w:tc>
          <w:tcPr>
            <w:tcW w:w="2357" w:type="dxa"/>
            <w:tcBorders>
              <w:bottom w:val="single" w:sz="4" w:space="0" w:color="auto"/>
            </w:tcBorders>
          </w:tcPr>
          <w:p w:rsidR="00E15965" w:rsidRPr="006234AA" w:rsidRDefault="00E15965" w:rsidP="003C0546">
            <w:pPr>
              <w:spacing w:after="120"/>
              <w:ind w:firstLine="0"/>
              <w:jc w:val="center"/>
              <w:rPr>
                <w:b/>
                <w:lang w:val="nl-NL"/>
              </w:rPr>
            </w:pPr>
            <w:r w:rsidRPr="006234AA">
              <w:rPr>
                <w:b/>
                <w:lang w:val="nl-NL"/>
              </w:rPr>
              <w:t>Loại chứng khoán</w:t>
            </w:r>
          </w:p>
        </w:tc>
        <w:tc>
          <w:tcPr>
            <w:tcW w:w="2357" w:type="dxa"/>
            <w:tcBorders>
              <w:bottom w:val="single" w:sz="4" w:space="0" w:color="auto"/>
            </w:tcBorders>
          </w:tcPr>
          <w:p w:rsidR="00E15965" w:rsidRPr="006234AA" w:rsidRDefault="00E15965" w:rsidP="003C0546">
            <w:pPr>
              <w:spacing w:after="120"/>
              <w:ind w:firstLine="0"/>
              <w:jc w:val="center"/>
              <w:rPr>
                <w:b/>
                <w:lang w:val="nl-NL"/>
              </w:rPr>
            </w:pPr>
            <w:r w:rsidRPr="006234AA">
              <w:rPr>
                <w:b/>
                <w:lang w:val="nl-NL"/>
              </w:rPr>
              <w:t xml:space="preserve">Tỷ lệ </w:t>
            </w:r>
            <w:r w:rsidR="00FC4C85" w:rsidRPr="006234AA">
              <w:rPr>
                <w:b/>
                <w:lang w:val="nl-NL"/>
              </w:rPr>
              <w:t>ký quỹ</w:t>
            </w:r>
          </w:p>
        </w:tc>
        <w:tc>
          <w:tcPr>
            <w:tcW w:w="2358" w:type="dxa"/>
            <w:tcBorders>
              <w:bottom w:val="single" w:sz="4" w:space="0" w:color="auto"/>
            </w:tcBorders>
          </w:tcPr>
          <w:p w:rsidR="00E15965" w:rsidRPr="006234AA" w:rsidRDefault="00E15965" w:rsidP="003C0546">
            <w:pPr>
              <w:spacing w:after="120"/>
              <w:ind w:firstLine="0"/>
              <w:jc w:val="center"/>
              <w:rPr>
                <w:b/>
                <w:lang w:val="nl-NL"/>
              </w:rPr>
            </w:pPr>
            <w:r w:rsidRPr="006234AA">
              <w:rPr>
                <w:b/>
                <w:lang w:val="nl-NL"/>
              </w:rPr>
              <w:t xml:space="preserve">Tỷ lệ ký quỹ ban đầu tối thiểu* </w:t>
            </w:r>
          </w:p>
        </w:tc>
        <w:tc>
          <w:tcPr>
            <w:tcW w:w="2358" w:type="dxa"/>
            <w:tcBorders>
              <w:bottom w:val="single" w:sz="4" w:space="0" w:color="auto"/>
            </w:tcBorders>
          </w:tcPr>
          <w:p w:rsidR="00E15965" w:rsidRPr="006234AA" w:rsidRDefault="00E15965" w:rsidP="003C0546">
            <w:pPr>
              <w:spacing w:after="120"/>
              <w:ind w:firstLine="0"/>
              <w:jc w:val="center"/>
              <w:rPr>
                <w:b/>
                <w:lang w:val="nl-NL"/>
              </w:rPr>
            </w:pPr>
            <w:r w:rsidRPr="006234AA">
              <w:rPr>
                <w:b/>
                <w:lang w:val="nl-NL"/>
              </w:rPr>
              <w:t>Tỷ lệ ký quỹ duy trì tối thiểu **</w:t>
            </w:r>
          </w:p>
        </w:tc>
      </w:tr>
      <w:tr w:rsidR="00E15965" w:rsidRPr="006234AA" w:rsidTr="00A15B69">
        <w:tc>
          <w:tcPr>
            <w:tcW w:w="2357" w:type="dxa"/>
            <w:tcBorders>
              <w:top w:val="single" w:sz="4" w:space="0" w:color="auto"/>
            </w:tcBorders>
          </w:tcPr>
          <w:p w:rsidR="00E15965" w:rsidRPr="006234AA" w:rsidRDefault="00E15965" w:rsidP="003C0546">
            <w:pPr>
              <w:spacing w:after="120"/>
              <w:ind w:firstLine="0"/>
              <w:rPr>
                <w:lang w:val="nl-NL"/>
              </w:rPr>
            </w:pPr>
            <w:r w:rsidRPr="006234AA">
              <w:rPr>
                <w:lang w:val="nl-NL"/>
              </w:rPr>
              <w:t>HĐTL Chỉ số</w:t>
            </w:r>
          </w:p>
        </w:tc>
        <w:tc>
          <w:tcPr>
            <w:tcW w:w="2357" w:type="dxa"/>
            <w:tcBorders>
              <w:top w:val="single" w:sz="4" w:space="0" w:color="auto"/>
            </w:tcBorders>
          </w:tcPr>
          <w:p w:rsidR="00E15965" w:rsidRPr="006234AA" w:rsidRDefault="00E15965" w:rsidP="003C0546">
            <w:pPr>
              <w:spacing w:after="120"/>
              <w:ind w:firstLine="0"/>
              <w:jc w:val="center"/>
              <w:rPr>
                <w:lang w:val="nl-NL"/>
              </w:rPr>
            </w:pPr>
            <w:r w:rsidRPr="006234AA">
              <w:rPr>
                <w:lang w:val="nl-NL"/>
              </w:rPr>
              <w:t>10%</w:t>
            </w:r>
          </w:p>
        </w:tc>
        <w:tc>
          <w:tcPr>
            <w:tcW w:w="2358" w:type="dxa"/>
            <w:tcBorders>
              <w:top w:val="single" w:sz="4" w:space="0" w:color="auto"/>
            </w:tcBorders>
          </w:tcPr>
          <w:p w:rsidR="00E15965" w:rsidRPr="006234AA" w:rsidRDefault="00E15965" w:rsidP="003C0546">
            <w:pPr>
              <w:spacing w:after="120"/>
              <w:ind w:firstLine="0"/>
              <w:jc w:val="center"/>
              <w:rPr>
                <w:lang w:val="nl-NL"/>
              </w:rPr>
            </w:pPr>
            <w:r w:rsidRPr="006234AA">
              <w:rPr>
                <w:lang w:val="nl-NL"/>
              </w:rPr>
              <w:t>15%</w:t>
            </w:r>
          </w:p>
        </w:tc>
        <w:tc>
          <w:tcPr>
            <w:tcW w:w="2358" w:type="dxa"/>
            <w:tcBorders>
              <w:top w:val="single" w:sz="4" w:space="0" w:color="auto"/>
            </w:tcBorders>
          </w:tcPr>
          <w:p w:rsidR="00E15965" w:rsidRPr="006234AA" w:rsidRDefault="00E15965" w:rsidP="003C0546">
            <w:pPr>
              <w:spacing w:after="120"/>
              <w:ind w:firstLine="0"/>
              <w:jc w:val="center"/>
              <w:rPr>
                <w:lang w:val="nl-NL"/>
              </w:rPr>
            </w:pPr>
            <w:r w:rsidRPr="006234AA">
              <w:rPr>
                <w:lang w:val="nl-NL"/>
              </w:rPr>
              <w:t>10%</w:t>
            </w:r>
          </w:p>
        </w:tc>
      </w:tr>
      <w:tr w:rsidR="00E15965" w:rsidRPr="006234AA" w:rsidTr="00A15B69">
        <w:tc>
          <w:tcPr>
            <w:tcW w:w="2357" w:type="dxa"/>
          </w:tcPr>
          <w:p w:rsidR="00E15965" w:rsidRPr="006234AA" w:rsidRDefault="00E15965" w:rsidP="003C0546">
            <w:pPr>
              <w:spacing w:after="120"/>
              <w:ind w:firstLine="0"/>
              <w:rPr>
                <w:lang w:val="nl-NL"/>
              </w:rPr>
            </w:pPr>
            <w:r w:rsidRPr="006234AA">
              <w:rPr>
                <w:lang w:val="nl-NL"/>
              </w:rPr>
              <w:t>HĐTL Trái phiếu 2 năm</w:t>
            </w:r>
          </w:p>
        </w:tc>
        <w:tc>
          <w:tcPr>
            <w:tcW w:w="2357" w:type="dxa"/>
          </w:tcPr>
          <w:p w:rsidR="00E15965" w:rsidRPr="006234AA" w:rsidRDefault="00E15965" w:rsidP="003C0546">
            <w:pPr>
              <w:spacing w:after="120"/>
              <w:ind w:firstLine="0"/>
              <w:jc w:val="center"/>
              <w:rPr>
                <w:lang w:val="nl-NL"/>
              </w:rPr>
            </w:pPr>
            <w:r w:rsidRPr="006234AA">
              <w:rPr>
                <w:lang w:val="nl-NL"/>
              </w:rPr>
              <w:t>1%</w:t>
            </w:r>
          </w:p>
        </w:tc>
        <w:tc>
          <w:tcPr>
            <w:tcW w:w="2358" w:type="dxa"/>
          </w:tcPr>
          <w:p w:rsidR="00E15965" w:rsidRPr="006234AA" w:rsidRDefault="00E15965" w:rsidP="003C0546">
            <w:pPr>
              <w:spacing w:after="120"/>
              <w:ind w:firstLine="0"/>
              <w:jc w:val="center"/>
              <w:rPr>
                <w:lang w:val="nl-NL"/>
              </w:rPr>
            </w:pPr>
            <w:r w:rsidRPr="006234AA">
              <w:rPr>
                <w:lang w:val="nl-NL"/>
              </w:rPr>
              <w:t>1.5%</w:t>
            </w:r>
          </w:p>
        </w:tc>
        <w:tc>
          <w:tcPr>
            <w:tcW w:w="2358" w:type="dxa"/>
          </w:tcPr>
          <w:p w:rsidR="00E15965" w:rsidRPr="006234AA" w:rsidRDefault="00E15965" w:rsidP="003C0546">
            <w:pPr>
              <w:spacing w:after="120"/>
              <w:ind w:firstLine="0"/>
              <w:jc w:val="center"/>
              <w:rPr>
                <w:lang w:val="nl-NL"/>
              </w:rPr>
            </w:pPr>
            <w:r w:rsidRPr="006234AA">
              <w:rPr>
                <w:lang w:val="nl-NL"/>
              </w:rPr>
              <w:t>1%</w:t>
            </w:r>
          </w:p>
        </w:tc>
      </w:tr>
      <w:tr w:rsidR="00E15965" w:rsidRPr="006234AA" w:rsidTr="00A15B69">
        <w:tc>
          <w:tcPr>
            <w:tcW w:w="2357" w:type="dxa"/>
          </w:tcPr>
          <w:p w:rsidR="00E15965" w:rsidRPr="006234AA" w:rsidRDefault="00E15965" w:rsidP="003C0546">
            <w:pPr>
              <w:spacing w:after="120"/>
              <w:ind w:firstLine="0"/>
              <w:rPr>
                <w:lang w:val="nl-NL"/>
              </w:rPr>
            </w:pPr>
            <w:r w:rsidRPr="006234AA">
              <w:rPr>
                <w:lang w:val="nl-NL"/>
              </w:rPr>
              <w:t>HĐTL Trái phiếu 3 năm</w:t>
            </w:r>
          </w:p>
        </w:tc>
        <w:tc>
          <w:tcPr>
            <w:tcW w:w="2357" w:type="dxa"/>
          </w:tcPr>
          <w:p w:rsidR="00E15965" w:rsidRPr="006234AA" w:rsidRDefault="00E15965" w:rsidP="003C0546">
            <w:pPr>
              <w:spacing w:after="120"/>
              <w:ind w:firstLine="0"/>
              <w:jc w:val="center"/>
              <w:rPr>
                <w:lang w:val="nl-NL"/>
              </w:rPr>
            </w:pPr>
            <w:r w:rsidRPr="006234AA">
              <w:rPr>
                <w:lang w:val="nl-NL"/>
              </w:rPr>
              <w:t>1.2%</w:t>
            </w:r>
          </w:p>
        </w:tc>
        <w:tc>
          <w:tcPr>
            <w:tcW w:w="2358" w:type="dxa"/>
          </w:tcPr>
          <w:p w:rsidR="00E15965" w:rsidRPr="006234AA" w:rsidRDefault="00E15965" w:rsidP="003C0546">
            <w:pPr>
              <w:spacing w:after="120"/>
              <w:ind w:firstLine="0"/>
              <w:jc w:val="center"/>
              <w:rPr>
                <w:lang w:val="nl-NL"/>
              </w:rPr>
            </w:pPr>
            <w:r w:rsidRPr="006234AA">
              <w:rPr>
                <w:lang w:val="nl-NL"/>
              </w:rPr>
              <w:t>1.8%</w:t>
            </w:r>
          </w:p>
        </w:tc>
        <w:tc>
          <w:tcPr>
            <w:tcW w:w="2358" w:type="dxa"/>
          </w:tcPr>
          <w:p w:rsidR="00E15965" w:rsidRPr="006234AA" w:rsidRDefault="00E15965" w:rsidP="003C0546">
            <w:pPr>
              <w:spacing w:after="120"/>
              <w:ind w:firstLine="0"/>
              <w:jc w:val="center"/>
              <w:rPr>
                <w:lang w:val="nl-NL"/>
              </w:rPr>
            </w:pPr>
            <w:r w:rsidRPr="006234AA">
              <w:rPr>
                <w:lang w:val="nl-NL"/>
              </w:rPr>
              <w:t>1.2%</w:t>
            </w:r>
          </w:p>
        </w:tc>
      </w:tr>
      <w:tr w:rsidR="00E15965" w:rsidRPr="006234AA" w:rsidTr="00A15B69">
        <w:tc>
          <w:tcPr>
            <w:tcW w:w="2357" w:type="dxa"/>
          </w:tcPr>
          <w:p w:rsidR="00E15965" w:rsidRPr="006234AA" w:rsidRDefault="00E15965" w:rsidP="003C0546">
            <w:pPr>
              <w:spacing w:after="120"/>
              <w:ind w:firstLine="0"/>
              <w:rPr>
                <w:lang w:val="nl-NL"/>
              </w:rPr>
            </w:pPr>
            <w:r w:rsidRPr="006234AA">
              <w:rPr>
                <w:lang w:val="nl-NL"/>
              </w:rPr>
              <w:t>HĐTL Trái phiếu 5 năm</w:t>
            </w:r>
          </w:p>
        </w:tc>
        <w:tc>
          <w:tcPr>
            <w:tcW w:w="2357" w:type="dxa"/>
          </w:tcPr>
          <w:p w:rsidR="00E15965" w:rsidRPr="006234AA" w:rsidRDefault="00E15965" w:rsidP="003C0546">
            <w:pPr>
              <w:spacing w:after="120"/>
              <w:ind w:firstLine="0"/>
              <w:jc w:val="center"/>
              <w:rPr>
                <w:lang w:val="nl-NL"/>
              </w:rPr>
            </w:pPr>
            <w:r w:rsidRPr="006234AA">
              <w:rPr>
                <w:lang w:val="nl-NL"/>
              </w:rPr>
              <w:t>1.6%</w:t>
            </w:r>
          </w:p>
        </w:tc>
        <w:tc>
          <w:tcPr>
            <w:tcW w:w="2358" w:type="dxa"/>
          </w:tcPr>
          <w:p w:rsidR="00E15965" w:rsidRPr="006234AA" w:rsidRDefault="00E15965" w:rsidP="003C0546">
            <w:pPr>
              <w:spacing w:after="120"/>
              <w:ind w:firstLine="0"/>
              <w:jc w:val="center"/>
              <w:rPr>
                <w:lang w:val="nl-NL"/>
              </w:rPr>
            </w:pPr>
            <w:r w:rsidRPr="006234AA">
              <w:rPr>
                <w:lang w:val="nl-NL"/>
              </w:rPr>
              <w:t>2.4%</w:t>
            </w:r>
          </w:p>
        </w:tc>
        <w:tc>
          <w:tcPr>
            <w:tcW w:w="2358" w:type="dxa"/>
          </w:tcPr>
          <w:p w:rsidR="00E15965" w:rsidRPr="006234AA" w:rsidRDefault="00E15965" w:rsidP="003C0546">
            <w:pPr>
              <w:spacing w:after="120"/>
              <w:ind w:firstLine="0"/>
              <w:jc w:val="center"/>
              <w:rPr>
                <w:lang w:val="nl-NL"/>
              </w:rPr>
            </w:pPr>
            <w:r w:rsidRPr="006234AA">
              <w:rPr>
                <w:lang w:val="nl-NL"/>
              </w:rPr>
              <w:t>1.6%</w:t>
            </w:r>
          </w:p>
        </w:tc>
      </w:tr>
    </w:tbl>
    <w:p w:rsidR="00E15965" w:rsidRPr="006234AA" w:rsidRDefault="00E15965" w:rsidP="003C0546">
      <w:pPr>
        <w:spacing w:after="120"/>
        <w:ind w:firstLine="0"/>
        <w:rPr>
          <w:i/>
        </w:rPr>
      </w:pPr>
      <w:r w:rsidRPr="006234AA">
        <w:rPr>
          <w:i/>
        </w:rPr>
        <w:t xml:space="preserve">Lưu ý: Tỷ lệ ký quỹ tối thiểu được áp dụng đối với thành viên giao dịch không bù trừ, khách hàng </w:t>
      </w:r>
    </w:p>
    <w:p w:rsidR="00E15965" w:rsidRPr="006234AA" w:rsidRDefault="00E15965" w:rsidP="003C0546">
      <w:pPr>
        <w:pStyle w:val="ListParagraph"/>
        <w:numPr>
          <w:ilvl w:val="0"/>
          <w:numId w:val="7"/>
        </w:numPr>
        <w:spacing w:after="120"/>
        <w:rPr>
          <w:b/>
          <w:i/>
        </w:rPr>
      </w:pPr>
      <w:r w:rsidRPr="006234AA">
        <w:rPr>
          <w:b/>
          <w:i/>
        </w:rPr>
        <w:t>Hệ số tương quan giá, Hệ số tương quan quy mô</w:t>
      </w:r>
    </w:p>
    <w:p w:rsidR="00E15965" w:rsidRPr="006234AA" w:rsidRDefault="00E15965" w:rsidP="003C0546">
      <w:pPr>
        <w:pStyle w:val="ListParagraph"/>
        <w:numPr>
          <w:ilvl w:val="0"/>
          <w:numId w:val="0"/>
        </w:numPr>
        <w:spacing w:after="120"/>
        <w:ind w:left="720"/>
        <w:rPr>
          <w:b/>
          <w: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410"/>
        <w:gridCol w:w="1842"/>
        <w:gridCol w:w="1763"/>
      </w:tblGrid>
      <w:tr w:rsidR="00E15965" w:rsidRPr="006234AA" w:rsidTr="00A15B69">
        <w:tc>
          <w:tcPr>
            <w:tcW w:w="3227" w:type="dxa"/>
            <w:vAlign w:val="center"/>
          </w:tcPr>
          <w:p w:rsidR="00E15965" w:rsidRPr="006234AA" w:rsidRDefault="00E15965" w:rsidP="003C0546">
            <w:pPr>
              <w:spacing w:after="120"/>
              <w:ind w:firstLine="0"/>
              <w:rPr>
                <w:b/>
                <w:bCs/>
                <w:lang w:val="nl-NL"/>
              </w:rPr>
            </w:pPr>
            <w:r w:rsidRPr="006234AA">
              <w:rPr>
                <w:lang w:val="nl-NL"/>
              </w:rPr>
              <w:t>Nhóm sản phẩm</w:t>
            </w:r>
          </w:p>
        </w:tc>
        <w:tc>
          <w:tcPr>
            <w:tcW w:w="2410" w:type="dxa"/>
            <w:vAlign w:val="center"/>
          </w:tcPr>
          <w:p w:rsidR="00E15965" w:rsidRPr="006234AA" w:rsidRDefault="00E15965" w:rsidP="003C0546">
            <w:pPr>
              <w:spacing w:after="120"/>
              <w:ind w:firstLine="0"/>
              <w:rPr>
                <w:b/>
                <w:bCs/>
                <w:lang w:val="nl-NL"/>
              </w:rPr>
            </w:pPr>
            <w:r w:rsidRPr="006234AA">
              <w:rPr>
                <w:lang w:val="nl-NL"/>
              </w:rPr>
              <w:t>Tài sản cơ sở</w:t>
            </w:r>
          </w:p>
        </w:tc>
        <w:tc>
          <w:tcPr>
            <w:tcW w:w="1842" w:type="dxa"/>
            <w:vAlign w:val="center"/>
          </w:tcPr>
          <w:p w:rsidR="00E15965" w:rsidRPr="006234AA" w:rsidRDefault="00E15965" w:rsidP="003C0546">
            <w:pPr>
              <w:spacing w:after="120"/>
              <w:ind w:firstLine="0"/>
              <w:rPr>
                <w:b/>
                <w:bCs/>
                <w:lang w:val="nl-NL"/>
              </w:rPr>
            </w:pPr>
            <w:r w:rsidRPr="006234AA">
              <w:rPr>
                <w:lang w:val="nl-NL"/>
              </w:rPr>
              <w:t xml:space="preserve">Hệ số tương </w:t>
            </w:r>
            <w:r w:rsidRPr="006234AA">
              <w:rPr>
                <w:lang w:val="nl-NL"/>
              </w:rPr>
              <w:lastRenderedPageBreak/>
              <w:t xml:space="preserve">quan quy mô </w:t>
            </w:r>
          </w:p>
        </w:tc>
        <w:tc>
          <w:tcPr>
            <w:tcW w:w="1763" w:type="dxa"/>
            <w:vAlign w:val="center"/>
          </w:tcPr>
          <w:p w:rsidR="00E15965" w:rsidRPr="006234AA" w:rsidRDefault="00E15965" w:rsidP="003C0546">
            <w:pPr>
              <w:spacing w:after="120"/>
              <w:ind w:firstLine="0"/>
              <w:rPr>
                <w:b/>
                <w:bCs/>
                <w:lang w:val="nl-NL"/>
              </w:rPr>
            </w:pPr>
            <w:r w:rsidRPr="006234AA">
              <w:rPr>
                <w:lang w:val="nl-NL"/>
              </w:rPr>
              <w:lastRenderedPageBreak/>
              <w:t xml:space="preserve">Hệ số tương </w:t>
            </w:r>
            <w:r w:rsidRPr="006234AA">
              <w:rPr>
                <w:lang w:val="nl-NL"/>
              </w:rPr>
              <w:lastRenderedPageBreak/>
              <w:t>quan giá</w:t>
            </w:r>
          </w:p>
        </w:tc>
      </w:tr>
      <w:tr w:rsidR="00E15965" w:rsidRPr="006234AA" w:rsidTr="00A15B69">
        <w:tc>
          <w:tcPr>
            <w:tcW w:w="3227" w:type="dxa"/>
            <w:vMerge w:val="restart"/>
            <w:vAlign w:val="center"/>
          </w:tcPr>
          <w:p w:rsidR="00E15965" w:rsidRPr="006234AA" w:rsidRDefault="00E15965" w:rsidP="003C0546">
            <w:pPr>
              <w:spacing w:after="120"/>
              <w:ind w:firstLine="0"/>
              <w:rPr>
                <w:b/>
                <w:bCs/>
                <w:lang w:val="nl-NL"/>
              </w:rPr>
            </w:pPr>
            <w:r w:rsidRPr="006234AA">
              <w:rPr>
                <w:lang w:val="nl-NL"/>
              </w:rPr>
              <w:lastRenderedPageBreak/>
              <w:t xml:space="preserve">HĐTL chỉ số </w:t>
            </w:r>
          </w:p>
        </w:tc>
        <w:tc>
          <w:tcPr>
            <w:tcW w:w="2410" w:type="dxa"/>
            <w:vAlign w:val="center"/>
          </w:tcPr>
          <w:p w:rsidR="00E15965" w:rsidRPr="006234AA" w:rsidRDefault="00E15965" w:rsidP="003C0546">
            <w:pPr>
              <w:spacing w:after="120"/>
              <w:ind w:firstLine="0"/>
              <w:rPr>
                <w:b/>
                <w:bCs/>
                <w:lang w:val="nl-NL"/>
              </w:rPr>
            </w:pPr>
            <w:r w:rsidRPr="006234AA">
              <w:rPr>
                <w:lang w:val="nl-NL"/>
              </w:rPr>
              <w:t>VN30</w:t>
            </w:r>
          </w:p>
        </w:tc>
        <w:tc>
          <w:tcPr>
            <w:tcW w:w="1842" w:type="dxa"/>
            <w:vAlign w:val="center"/>
          </w:tcPr>
          <w:p w:rsidR="00E15965" w:rsidRPr="006234AA" w:rsidRDefault="00E15965" w:rsidP="003C0546">
            <w:pPr>
              <w:spacing w:after="120"/>
              <w:ind w:firstLine="0"/>
              <w:rPr>
                <w:b/>
                <w:bCs/>
                <w:lang w:val="nl-NL"/>
              </w:rPr>
            </w:pPr>
            <w:r w:rsidRPr="006234AA">
              <w:rPr>
                <w:lang w:val="nl-NL"/>
              </w:rPr>
              <w:t>2.0</w:t>
            </w:r>
          </w:p>
        </w:tc>
        <w:tc>
          <w:tcPr>
            <w:tcW w:w="1763" w:type="dxa"/>
            <w:vMerge w:val="restart"/>
            <w:vAlign w:val="center"/>
          </w:tcPr>
          <w:p w:rsidR="00E15965" w:rsidRPr="006234AA" w:rsidRDefault="00E15965" w:rsidP="003C0546">
            <w:pPr>
              <w:spacing w:after="120"/>
              <w:ind w:firstLine="0"/>
              <w:rPr>
                <w:b/>
                <w:bCs/>
                <w:lang w:val="nl-NL"/>
              </w:rPr>
            </w:pPr>
            <w:r w:rsidRPr="006234AA">
              <w:rPr>
                <w:lang w:val="nl-NL"/>
              </w:rPr>
              <w:t>60%</w:t>
            </w:r>
          </w:p>
        </w:tc>
      </w:tr>
      <w:tr w:rsidR="00E15965" w:rsidRPr="006234AA" w:rsidTr="00A15B69">
        <w:tc>
          <w:tcPr>
            <w:tcW w:w="3227" w:type="dxa"/>
            <w:vMerge/>
            <w:vAlign w:val="center"/>
          </w:tcPr>
          <w:p w:rsidR="00E15965" w:rsidRPr="006234AA" w:rsidRDefault="00E15965" w:rsidP="003C0546">
            <w:pPr>
              <w:spacing w:after="120"/>
              <w:ind w:firstLine="0"/>
              <w:rPr>
                <w:lang w:val="nl-NL"/>
              </w:rPr>
            </w:pPr>
          </w:p>
        </w:tc>
        <w:tc>
          <w:tcPr>
            <w:tcW w:w="2410" w:type="dxa"/>
            <w:vAlign w:val="center"/>
          </w:tcPr>
          <w:p w:rsidR="00E15965" w:rsidRPr="006234AA" w:rsidRDefault="00E15965" w:rsidP="003C0546">
            <w:pPr>
              <w:spacing w:after="120"/>
              <w:ind w:firstLine="0"/>
              <w:rPr>
                <w:lang w:val="nl-NL"/>
              </w:rPr>
            </w:pPr>
            <w:r w:rsidRPr="006234AA">
              <w:rPr>
                <w:lang w:val="nl-NL"/>
              </w:rPr>
              <w:t>VN</w:t>
            </w:r>
          </w:p>
        </w:tc>
        <w:tc>
          <w:tcPr>
            <w:tcW w:w="1842" w:type="dxa"/>
            <w:vAlign w:val="center"/>
          </w:tcPr>
          <w:p w:rsidR="00E15965" w:rsidRPr="006234AA" w:rsidRDefault="00E15965" w:rsidP="003C0546">
            <w:pPr>
              <w:spacing w:after="120"/>
              <w:ind w:firstLine="0"/>
              <w:rPr>
                <w:lang w:val="nl-NL"/>
              </w:rPr>
            </w:pPr>
          </w:p>
        </w:tc>
        <w:tc>
          <w:tcPr>
            <w:tcW w:w="1763" w:type="dxa"/>
            <w:vMerge/>
            <w:vAlign w:val="center"/>
          </w:tcPr>
          <w:p w:rsidR="00E15965" w:rsidRPr="006234AA" w:rsidRDefault="00E15965" w:rsidP="003C0546">
            <w:pPr>
              <w:spacing w:after="120"/>
              <w:ind w:firstLine="0"/>
              <w:rPr>
                <w:lang w:val="nl-NL"/>
              </w:rPr>
            </w:pPr>
          </w:p>
        </w:tc>
      </w:tr>
      <w:tr w:rsidR="00E15965" w:rsidRPr="006234AA" w:rsidTr="00A15B69">
        <w:tc>
          <w:tcPr>
            <w:tcW w:w="3227" w:type="dxa"/>
            <w:vMerge/>
            <w:vAlign w:val="center"/>
          </w:tcPr>
          <w:p w:rsidR="00E15965" w:rsidRPr="006234AA" w:rsidRDefault="00E15965" w:rsidP="003C0546">
            <w:pPr>
              <w:spacing w:after="120"/>
              <w:ind w:firstLine="0"/>
              <w:rPr>
                <w:lang w:val="nl-NL"/>
              </w:rPr>
            </w:pPr>
          </w:p>
        </w:tc>
        <w:tc>
          <w:tcPr>
            <w:tcW w:w="2410" w:type="dxa"/>
            <w:vAlign w:val="center"/>
          </w:tcPr>
          <w:p w:rsidR="00E15965" w:rsidRPr="006234AA" w:rsidRDefault="00E15965" w:rsidP="003C0546">
            <w:pPr>
              <w:spacing w:after="120"/>
              <w:ind w:firstLine="0"/>
              <w:rPr>
                <w:lang w:val="nl-NL"/>
              </w:rPr>
            </w:pPr>
            <w:r w:rsidRPr="006234AA">
              <w:rPr>
                <w:lang w:val="nl-NL"/>
              </w:rPr>
              <w:t>VN</w:t>
            </w:r>
          </w:p>
        </w:tc>
        <w:tc>
          <w:tcPr>
            <w:tcW w:w="1842" w:type="dxa"/>
            <w:vAlign w:val="center"/>
          </w:tcPr>
          <w:p w:rsidR="00E15965" w:rsidRPr="006234AA" w:rsidRDefault="00E15965" w:rsidP="003C0546">
            <w:pPr>
              <w:spacing w:after="120"/>
              <w:ind w:firstLine="0"/>
              <w:rPr>
                <w:lang w:val="nl-NL"/>
              </w:rPr>
            </w:pPr>
          </w:p>
        </w:tc>
        <w:tc>
          <w:tcPr>
            <w:tcW w:w="1763" w:type="dxa"/>
            <w:vMerge/>
            <w:vAlign w:val="center"/>
          </w:tcPr>
          <w:p w:rsidR="00E15965" w:rsidRPr="006234AA" w:rsidRDefault="00E15965" w:rsidP="003C0546">
            <w:pPr>
              <w:spacing w:after="120"/>
              <w:ind w:firstLine="0"/>
              <w:rPr>
                <w:lang w:val="nl-NL"/>
              </w:rPr>
            </w:pPr>
          </w:p>
        </w:tc>
      </w:tr>
      <w:tr w:rsidR="00E15965" w:rsidRPr="006234AA" w:rsidTr="00A15B69">
        <w:tc>
          <w:tcPr>
            <w:tcW w:w="3227" w:type="dxa"/>
            <w:vMerge w:val="restart"/>
            <w:vAlign w:val="center"/>
          </w:tcPr>
          <w:p w:rsidR="00E15965" w:rsidRPr="006234AA" w:rsidRDefault="00E15965" w:rsidP="003C0546">
            <w:pPr>
              <w:spacing w:after="120"/>
              <w:ind w:firstLine="0"/>
            </w:pPr>
            <w:r w:rsidRPr="006234AA">
              <w:t>HĐTL TPCP</w:t>
            </w:r>
          </w:p>
        </w:tc>
        <w:tc>
          <w:tcPr>
            <w:tcW w:w="2410" w:type="dxa"/>
            <w:vAlign w:val="center"/>
          </w:tcPr>
          <w:p w:rsidR="00E15965" w:rsidRPr="006234AA" w:rsidRDefault="00E15965" w:rsidP="003C0546">
            <w:pPr>
              <w:spacing w:after="120"/>
              <w:ind w:firstLine="0"/>
              <w:rPr>
                <w:lang w:val="nl-NL"/>
              </w:rPr>
            </w:pPr>
            <w:r w:rsidRPr="006234AA">
              <w:rPr>
                <w:lang w:val="nl-NL"/>
              </w:rPr>
              <w:t>TPCP 2 năm</w:t>
            </w:r>
          </w:p>
        </w:tc>
        <w:tc>
          <w:tcPr>
            <w:tcW w:w="1842" w:type="dxa"/>
            <w:vAlign w:val="center"/>
          </w:tcPr>
          <w:p w:rsidR="00E15965" w:rsidRPr="006234AA" w:rsidRDefault="00E15965" w:rsidP="003C0546">
            <w:pPr>
              <w:spacing w:after="120"/>
              <w:ind w:firstLine="0"/>
              <w:rPr>
                <w:lang w:val="nl-NL"/>
              </w:rPr>
            </w:pPr>
            <w:r w:rsidRPr="006234AA">
              <w:rPr>
                <w:lang w:val="nl-NL"/>
              </w:rPr>
              <w:t>1.0</w:t>
            </w:r>
          </w:p>
        </w:tc>
        <w:tc>
          <w:tcPr>
            <w:tcW w:w="1763" w:type="dxa"/>
            <w:vAlign w:val="center"/>
          </w:tcPr>
          <w:p w:rsidR="00E15965" w:rsidRPr="006234AA" w:rsidRDefault="00E15965" w:rsidP="003C0546">
            <w:pPr>
              <w:spacing w:after="120"/>
              <w:ind w:firstLine="0"/>
              <w:rPr>
                <w:lang w:val="nl-NL"/>
              </w:rPr>
            </w:pPr>
          </w:p>
        </w:tc>
      </w:tr>
      <w:tr w:rsidR="00E15965" w:rsidRPr="006234AA" w:rsidTr="00A15B69">
        <w:tc>
          <w:tcPr>
            <w:tcW w:w="3227" w:type="dxa"/>
            <w:vMerge/>
            <w:vAlign w:val="center"/>
          </w:tcPr>
          <w:p w:rsidR="00E15965" w:rsidRPr="006234AA" w:rsidRDefault="00E15965" w:rsidP="003C0546">
            <w:pPr>
              <w:spacing w:after="120"/>
              <w:ind w:firstLine="0"/>
              <w:rPr>
                <w:b/>
                <w:bCs/>
              </w:rPr>
            </w:pPr>
          </w:p>
        </w:tc>
        <w:tc>
          <w:tcPr>
            <w:tcW w:w="2410" w:type="dxa"/>
            <w:vAlign w:val="center"/>
          </w:tcPr>
          <w:p w:rsidR="00E15965" w:rsidRPr="006234AA" w:rsidRDefault="00E15965" w:rsidP="003C0546">
            <w:pPr>
              <w:spacing w:after="120"/>
              <w:ind w:firstLine="0"/>
              <w:rPr>
                <w:b/>
                <w:bCs/>
                <w:lang w:val="nl-NL"/>
              </w:rPr>
            </w:pPr>
            <w:r w:rsidRPr="006234AA">
              <w:rPr>
                <w:lang w:val="nl-NL"/>
              </w:rPr>
              <w:t>TPCP 3 năm</w:t>
            </w:r>
          </w:p>
        </w:tc>
        <w:tc>
          <w:tcPr>
            <w:tcW w:w="1842" w:type="dxa"/>
            <w:vAlign w:val="center"/>
          </w:tcPr>
          <w:p w:rsidR="00E15965" w:rsidRPr="006234AA" w:rsidRDefault="00E15965" w:rsidP="003C0546">
            <w:pPr>
              <w:spacing w:after="120"/>
              <w:ind w:firstLine="0"/>
              <w:rPr>
                <w:b/>
                <w:bCs/>
                <w:lang w:val="nl-NL"/>
              </w:rPr>
            </w:pPr>
            <w:r w:rsidRPr="006234AA">
              <w:rPr>
                <w:lang w:val="nl-NL"/>
              </w:rPr>
              <w:t>1.0</w:t>
            </w:r>
          </w:p>
        </w:tc>
        <w:tc>
          <w:tcPr>
            <w:tcW w:w="1763" w:type="dxa"/>
            <w:vMerge w:val="restart"/>
            <w:vAlign w:val="center"/>
          </w:tcPr>
          <w:p w:rsidR="00E15965" w:rsidRPr="006234AA" w:rsidRDefault="00E15965" w:rsidP="003C0546">
            <w:pPr>
              <w:spacing w:after="120"/>
              <w:ind w:firstLine="0"/>
              <w:rPr>
                <w:b/>
                <w:bCs/>
                <w:lang w:val="nl-NL"/>
              </w:rPr>
            </w:pPr>
            <w:r w:rsidRPr="006234AA">
              <w:rPr>
                <w:lang w:val="nl-NL"/>
              </w:rPr>
              <w:t>50%</w:t>
            </w:r>
          </w:p>
        </w:tc>
      </w:tr>
      <w:tr w:rsidR="00E15965" w:rsidRPr="006234AA" w:rsidTr="00A15B69">
        <w:tc>
          <w:tcPr>
            <w:tcW w:w="3227" w:type="dxa"/>
            <w:vMerge/>
            <w:vAlign w:val="center"/>
          </w:tcPr>
          <w:p w:rsidR="00E15965" w:rsidRPr="006234AA" w:rsidRDefault="00E15965" w:rsidP="003C0546">
            <w:pPr>
              <w:spacing w:after="120"/>
              <w:ind w:firstLine="0"/>
              <w:rPr>
                <w:lang w:val="nl-NL"/>
              </w:rPr>
            </w:pPr>
          </w:p>
        </w:tc>
        <w:tc>
          <w:tcPr>
            <w:tcW w:w="2410" w:type="dxa"/>
            <w:vAlign w:val="center"/>
          </w:tcPr>
          <w:p w:rsidR="00E15965" w:rsidRPr="006234AA" w:rsidRDefault="00E15965" w:rsidP="003C0546">
            <w:pPr>
              <w:spacing w:after="120"/>
              <w:ind w:firstLine="0"/>
              <w:rPr>
                <w:b/>
                <w:bCs/>
                <w:lang w:val="nl-NL"/>
              </w:rPr>
            </w:pPr>
            <w:r w:rsidRPr="006234AA">
              <w:rPr>
                <w:lang w:val="nl-NL"/>
              </w:rPr>
              <w:t>TPCP 5 năm</w:t>
            </w:r>
          </w:p>
        </w:tc>
        <w:tc>
          <w:tcPr>
            <w:tcW w:w="1842" w:type="dxa"/>
            <w:vAlign w:val="center"/>
          </w:tcPr>
          <w:p w:rsidR="00E15965" w:rsidRPr="006234AA" w:rsidRDefault="00E15965" w:rsidP="003C0546">
            <w:pPr>
              <w:spacing w:after="120"/>
              <w:ind w:firstLine="0"/>
              <w:rPr>
                <w:b/>
                <w:bCs/>
                <w:lang w:val="nl-NL"/>
              </w:rPr>
            </w:pPr>
            <w:r w:rsidRPr="006234AA">
              <w:rPr>
                <w:lang w:val="nl-NL"/>
              </w:rPr>
              <w:t>1.0</w:t>
            </w:r>
          </w:p>
        </w:tc>
        <w:tc>
          <w:tcPr>
            <w:tcW w:w="1763" w:type="dxa"/>
            <w:vMerge/>
            <w:vAlign w:val="center"/>
          </w:tcPr>
          <w:p w:rsidR="00E15965" w:rsidRPr="006234AA" w:rsidRDefault="00E15965" w:rsidP="003C0546">
            <w:pPr>
              <w:spacing w:after="120"/>
              <w:ind w:firstLine="0"/>
              <w:rPr>
                <w:lang w:val="nl-NL"/>
              </w:rPr>
            </w:pPr>
          </w:p>
        </w:tc>
      </w:tr>
    </w:tbl>
    <w:p w:rsidR="00E15965" w:rsidRPr="006234AA" w:rsidRDefault="00E15965" w:rsidP="003C0546">
      <w:pPr>
        <w:pStyle w:val="ListParagraph"/>
        <w:numPr>
          <w:ilvl w:val="0"/>
          <w:numId w:val="0"/>
        </w:numPr>
        <w:spacing w:after="120"/>
        <w:ind w:left="720"/>
        <w:rPr>
          <w:b/>
          <w:bCs/>
        </w:rPr>
      </w:pPr>
    </w:p>
    <w:p w:rsidR="00E15965" w:rsidRPr="006234AA" w:rsidRDefault="00E15965" w:rsidP="003C0546">
      <w:pPr>
        <w:pStyle w:val="ListParagraph"/>
        <w:numPr>
          <w:ilvl w:val="0"/>
          <w:numId w:val="7"/>
        </w:numPr>
        <w:spacing w:after="120"/>
        <w:rPr>
          <w:b/>
          <w:bCs/>
          <w:i/>
        </w:rPr>
      </w:pPr>
      <w:r w:rsidRPr="006234AA">
        <w:rPr>
          <w:b/>
          <w:i/>
        </w:rPr>
        <w:t>Ký quỹ tối thiểu cho mỗi hợp đồng</w:t>
      </w:r>
    </w:p>
    <w:p w:rsidR="00E15965" w:rsidRPr="006234AA" w:rsidRDefault="00E15965" w:rsidP="003C0546">
      <w:pPr>
        <w:pStyle w:val="ListParagraph"/>
        <w:numPr>
          <w:ilvl w:val="0"/>
          <w:numId w:val="0"/>
        </w:numPr>
        <w:spacing w:after="120"/>
        <w:ind w:left="720"/>
        <w:rPr>
          <w:b/>
          <w:bCs/>
          <w: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613"/>
      </w:tblGrid>
      <w:tr w:rsidR="00E15965" w:rsidRPr="006234AA" w:rsidTr="00A15B69">
        <w:tc>
          <w:tcPr>
            <w:tcW w:w="6629" w:type="dxa"/>
          </w:tcPr>
          <w:p w:rsidR="00E15965" w:rsidRPr="006234AA" w:rsidRDefault="00E15965" w:rsidP="003C0546">
            <w:pPr>
              <w:spacing w:after="120"/>
              <w:ind w:firstLine="0"/>
              <w:rPr>
                <w:b/>
                <w:bCs/>
                <w:lang w:val="nl-NL"/>
              </w:rPr>
            </w:pPr>
            <w:r w:rsidRPr="006234AA">
              <w:rPr>
                <w:lang w:val="nl-NL"/>
              </w:rPr>
              <w:t>Sản phẩm</w:t>
            </w:r>
          </w:p>
        </w:tc>
        <w:tc>
          <w:tcPr>
            <w:tcW w:w="2613" w:type="dxa"/>
          </w:tcPr>
          <w:p w:rsidR="00E15965" w:rsidRPr="006234AA" w:rsidRDefault="00E15965" w:rsidP="003C0546">
            <w:pPr>
              <w:spacing w:after="120"/>
              <w:ind w:firstLine="0"/>
              <w:rPr>
                <w:b/>
                <w:bCs/>
                <w:lang w:val="nl-NL"/>
              </w:rPr>
            </w:pPr>
            <w:r w:rsidRPr="006234AA">
              <w:rPr>
                <w:lang w:val="nl-NL"/>
              </w:rPr>
              <w:t>Ký quỹ tối thiểu</w:t>
            </w:r>
          </w:p>
        </w:tc>
      </w:tr>
      <w:tr w:rsidR="00E15965" w:rsidRPr="006234AA" w:rsidTr="00A15B69">
        <w:tc>
          <w:tcPr>
            <w:tcW w:w="6629" w:type="dxa"/>
          </w:tcPr>
          <w:p w:rsidR="00E15965" w:rsidRPr="006234AA" w:rsidRDefault="00E15965" w:rsidP="003C0546">
            <w:pPr>
              <w:spacing w:after="120"/>
              <w:ind w:firstLine="0"/>
              <w:rPr>
                <w:b/>
                <w:bCs/>
              </w:rPr>
            </w:pPr>
            <w:r w:rsidRPr="006234AA">
              <w:t>Hợp đồng tương lai TPCP 2 năm, 3 năm, 5 năm</w:t>
            </w:r>
          </w:p>
        </w:tc>
        <w:tc>
          <w:tcPr>
            <w:tcW w:w="2613" w:type="dxa"/>
          </w:tcPr>
          <w:p w:rsidR="00E15965" w:rsidRPr="006234AA" w:rsidRDefault="00E15965" w:rsidP="003C0546">
            <w:pPr>
              <w:spacing w:after="120"/>
              <w:ind w:firstLine="0"/>
              <w:rPr>
                <w:b/>
                <w:bCs/>
                <w:lang w:val="nl-NL"/>
              </w:rPr>
            </w:pPr>
            <w:r w:rsidRPr="006234AA">
              <w:rPr>
                <w:lang w:val="nl-NL"/>
              </w:rPr>
              <w:t>1.000.000 đ</w:t>
            </w:r>
          </w:p>
        </w:tc>
      </w:tr>
      <w:tr w:rsidR="00E15965" w:rsidRPr="006234AA" w:rsidTr="00A15B69">
        <w:tc>
          <w:tcPr>
            <w:tcW w:w="6629" w:type="dxa"/>
          </w:tcPr>
          <w:p w:rsidR="00E15965" w:rsidRPr="006234AA" w:rsidRDefault="00E15965" w:rsidP="003C0546">
            <w:pPr>
              <w:spacing w:after="120"/>
              <w:ind w:firstLine="0"/>
              <w:rPr>
                <w:b/>
                <w:bCs/>
              </w:rPr>
            </w:pPr>
            <w:r w:rsidRPr="006234AA">
              <w:t>Hợp đồng tương lai chỉ số chứng khoán VN30</w:t>
            </w:r>
          </w:p>
        </w:tc>
        <w:tc>
          <w:tcPr>
            <w:tcW w:w="2613" w:type="dxa"/>
          </w:tcPr>
          <w:p w:rsidR="00E15965" w:rsidRPr="006234AA" w:rsidRDefault="00E15965" w:rsidP="003C0546">
            <w:pPr>
              <w:spacing w:after="120"/>
              <w:ind w:firstLine="0"/>
              <w:rPr>
                <w:b/>
                <w:bCs/>
                <w:lang w:val="nl-NL"/>
              </w:rPr>
            </w:pPr>
            <w:r w:rsidRPr="006234AA">
              <w:rPr>
                <w:lang w:val="nl-NL"/>
              </w:rPr>
              <w:t>500.000 đ</w:t>
            </w:r>
          </w:p>
        </w:tc>
      </w:tr>
    </w:tbl>
    <w:p w:rsidR="009B6D9F" w:rsidRPr="006234AA" w:rsidRDefault="009B6D9F"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F07ED7" w:rsidRPr="006234AA" w:rsidRDefault="00F07ED7" w:rsidP="003C0546">
      <w:pPr>
        <w:spacing w:after="120"/>
        <w:ind w:firstLine="0"/>
        <w:rPr>
          <w:lang w:val="nl-NL"/>
        </w:rPr>
      </w:pPr>
    </w:p>
    <w:p w:rsidR="0024137E" w:rsidRPr="006234AA" w:rsidRDefault="0024137E" w:rsidP="003C0546">
      <w:pPr>
        <w:pStyle w:val="Heading5"/>
        <w:spacing w:after="120"/>
        <w:ind w:hanging="2912"/>
      </w:pPr>
      <w:bookmarkStart w:id="255" w:name="_Toc387675888"/>
      <w:bookmarkStart w:id="256" w:name="_Toc387693269"/>
      <w:bookmarkStart w:id="257" w:name="_Toc387730804"/>
      <w:bookmarkStart w:id="258" w:name="_Toc422672029"/>
      <w:r w:rsidRPr="006234AA">
        <w:t>Giá lý thuyết của hợp đồng tương lai chỉ số</w:t>
      </w:r>
      <w:bookmarkEnd w:id="255"/>
      <w:bookmarkEnd w:id="256"/>
      <w:bookmarkEnd w:id="257"/>
      <w:bookmarkEnd w:id="258"/>
    </w:p>
    <w:p w:rsidR="0024137E" w:rsidRPr="006234AA" w:rsidRDefault="0024137E"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F07ED7" w:rsidRPr="006234AA" w:rsidRDefault="00F07ED7" w:rsidP="003C0546">
      <w:pPr>
        <w:spacing w:after="120"/>
        <w:rPr>
          <w:b/>
          <w:bCs/>
          <w:lang w:val="nl-NL"/>
        </w:rPr>
      </w:pPr>
      <w:r w:rsidRPr="006234AA">
        <w:rPr>
          <w:lang w:val="nl-NL"/>
        </w:rPr>
        <w:t>Giá lý thuyết của hợp đồng tương lai chỉ số được xác định theo công thức sau:</w:t>
      </w:r>
    </w:p>
    <w:p w:rsidR="00F07ED7" w:rsidRPr="006234AA" w:rsidRDefault="00F07ED7" w:rsidP="003C0546">
      <w:pPr>
        <w:spacing w:after="120"/>
      </w:pPr>
      <w:r w:rsidRPr="006234AA">
        <w:object w:dxaOrig="2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6.75pt" o:ole="">
            <v:imagedata r:id="rId12" o:title=""/>
          </v:shape>
          <o:OLEObject Type="Embed" ProgID="Equation.3" ShapeID="_x0000_i1025" DrawAspect="Content" ObjectID="_1496493951" r:id="rId13"/>
        </w:object>
      </w:r>
    </w:p>
    <w:p w:rsidR="00F07ED7" w:rsidRPr="006234AA" w:rsidRDefault="00F07ED7" w:rsidP="003C0546">
      <w:pPr>
        <w:spacing w:after="120"/>
        <w:rPr>
          <w:b/>
          <w:bCs/>
          <w:lang w:val="nl-NL"/>
        </w:rPr>
      </w:pPr>
      <w:r w:rsidRPr="006234AA">
        <w:rPr>
          <w:position w:val="-28"/>
        </w:rPr>
        <w:object w:dxaOrig="2860" w:dyaOrig="680">
          <v:shape id="_x0000_i1026" type="#_x0000_t75" style="width:138pt;height:36.75pt" o:ole="">
            <v:imagedata r:id="rId14" o:title=""/>
          </v:shape>
          <o:OLEObject Type="Embed" ProgID="Equation.3" ShapeID="_x0000_i1026" DrawAspect="Content" ObjectID="_1496493952" r:id="rId15"/>
        </w:object>
      </w:r>
    </w:p>
    <w:p w:rsidR="00F07ED7" w:rsidRPr="006234AA" w:rsidRDefault="00F07ED7" w:rsidP="003C0546">
      <w:pPr>
        <w:spacing w:after="120"/>
        <w:rPr>
          <w:b/>
          <w:bCs/>
          <w:lang w:val="nl-NL"/>
        </w:rPr>
      </w:pPr>
      <w:r w:rsidRPr="006234AA">
        <w:rPr>
          <w:lang w:val="nl-NL"/>
        </w:rPr>
        <w:t>Trong đó</w:t>
      </w:r>
    </w:p>
    <w:p w:rsidR="00F07ED7" w:rsidRPr="006234AA" w:rsidRDefault="00F07ED7" w:rsidP="003C0546">
      <w:pPr>
        <w:spacing w:after="120"/>
        <w:rPr>
          <w:b/>
          <w:bCs/>
          <w:lang w:val="nl-NL"/>
        </w:rPr>
      </w:pPr>
      <w:r w:rsidRPr="006234AA">
        <w:rPr>
          <w:i/>
          <w:lang w:val="nl-NL"/>
        </w:rPr>
        <w:t>P</w:t>
      </w:r>
      <w:r w:rsidRPr="006234AA">
        <w:rPr>
          <w:lang w:val="nl-NL"/>
        </w:rPr>
        <w:t>: Giá lý thuyết của hợp đồng tương lai chỉ số;</w:t>
      </w:r>
    </w:p>
    <w:p w:rsidR="00F07ED7" w:rsidRPr="006234AA" w:rsidRDefault="00F07ED7" w:rsidP="003C0546">
      <w:pPr>
        <w:spacing w:after="120"/>
        <w:rPr>
          <w:b/>
          <w:bCs/>
          <w:lang w:val="nl-NL"/>
        </w:rPr>
      </w:pPr>
      <w:r w:rsidRPr="006234AA">
        <w:rPr>
          <w:i/>
          <w:lang w:val="nl-NL"/>
        </w:rPr>
        <w:t>S</w:t>
      </w:r>
      <w:r w:rsidRPr="006234AA">
        <w:rPr>
          <w:lang w:val="nl-NL"/>
        </w:rPr>
        <w:t>: Giá trị tham chiếu của chỉ số cơ sở trong ngày giao dịch trước, làm tròn đến chữ số thập phân thứ 2;</w:t>
      </w:r>
    </w:p>
    <w:p w:rsidR="00F07ED7" w:rsidRPr="006234AA" w:rsidRDefault="00F07ED7" w:rsidP="003C0546">
      <w:pPr>
        <w:spacing w:after="120"/>
        <w:rPr>
          <w:b/>
          <w:bCs/>
          <w:lang w:val="nl-NL"/>
        </w:rPr>
      </w:pPr>
      <w:r w:rsidRPr="006234AA">
        <w:rPr>
          <w:i/>
          <w:lang w:val="nl-NL"/>
        </w:rPr>
        <w:t>r</w:t>
      </w:r>
      <w:r w:rsidRPr="006234AA">
        <w:rPr>
          <w:lang w:val="nl-NL"/>
        </w:rPr>
        <w:t xml:space="preserve">: Lãi suất năm của chứng chỉ tiền gửi kỳ hạn 91 ngày (91-day CD) tại buổi sáng ngày làm việc hôm trước. Trường hợp không tính được lãi suất này, </w:t>
      </w:r>
      <w:r w:rsidR="00F5451B" w:rsidRPr="006234AA">
        <w:rPr>
          <w:lang w:val="nl-NL"/>
        </w:rPr>
        <w:t>Trung tâm lưu ký chứng khoán</w:t>
      </w:r>
      <w:r w:rsidRPr="006234AA">
        <w:rPr>
          <w:lang w:val="nl-NL"/>
        </w:rPr>
        <w:t xml:space="preserve"> được quy định một lãi suất tương đương;</w:t>
      </w:r>
    </w:p>
    <w:p w:rsidR="00F07ED7" w:rsidRPr="006234AA" w:rsidRDefault="00F07ED7" w:rsidP="003C0546">
      <w:pPr>
        <w:spacing w:after="120"/>
        <w:rPr>
          <w:b/>
          <w:bCs/>
          <w:lang w:val="nl-NL"/>
        </w:rPr>
      </w:pPr>
      <w:r w:rsidRPr="006234AA">
        <w:rPr>
          <w:i/>
          <w:lang w:val="nl-NL"/>
        </w:rPr>
        <w:t>t</w:t>
      </w:r>
      <w:r w:rsidRPr="006234AA">
        <w:rPr>
          <w:lang w:val="nl-NL"/>
        </w:rPr>
        <w:t>: Số ngày kể từ ngày tính toán đến ngày giao dịch cuối cùng;</w:t>
      </w:r>
    </w:p>
    <w:p w:rsidR="00F07ED7" w:rsidRPr="006234AA" w:rsidRDefault="00F07ED7" w:rsidP="003C0546">
      <w:pPr>
        <w:spacing w:after="120"/>
        <w:rPr>
          <w:b/>
          <w:bCs/>
          <w:lang w:val="nl-NL"/>
        </w:rPr>
      </w:pPr>
      <w:r w:rsidRPr="006234AA">
        <w:rPr>
          <w:i/>
          <w:lang w:val="nl-NL"/>
        </w:rPr>
        <w:t>D</w:t>
      </w:r>
      <w:r w:rsidRPr="006234AA">
        <w:rPr>
          <w:i/>
          <w:vertAlign w:val="subscript"/>
          <w:lang w:val="nl-NL"/>
        </w:rPr>
        <w:t>i</w:t>
      </w:r>
      <w:r w:rsidRPr="006234AA">
        <w:rPr>
          <w:lang w:val="nl-NL"/>
        </w:rPr>
        <w:t>: Chỉ số cổ tức của hợp đồng tương lai;</w:t>
      </w:r>
    </w:p>
    <w:p w:rsidR="00F07ED7" w:rsidRPr="006234AA" w:rsidRDefault="00F07ED7" w:rsidP="003C0546">
      <w:pPr>
        <w:spacing w:after="120"/>
        <w:rPr>
          <w:b/>
          <w:bCs/>
          <w:lang w:val="nl-NL"/>
        </w:rPr>
      </w:pPr>
      <w:r w:rsidRPr="006234AA">
        <w:rPr>
          <w:i/>
          <w:lang w:val="nl-NL"/>
        </w:rPr>
        <w:t>Div</w:t>
      </w:r>
      <w:r w:rsidRPr="006234AA">
        <w:rPr>
          <w:i/>
          <w:vertAlign w:val="subscript"/>
          <w:lang w:val="nl-NL"/>
        </w:rPr>
        <w:t>i</w:t>
      </w:r>
      <w:r w:rsidRPr="006234AA">
        <w:rPr>
          <w:lang w:val="nl-NL"/>
        </w:rPr>
        <w:t xml:space="preserve">: Tổng cổ tức bằng tiền (đề cập đến tổng cổ tức bằng tiền trả trong năm tài chính liền trước của các cổ phiếu thành phần trong chỉ số mà có cùng ngày giao dịch không hưởng quyền cổ tức trong khoảng thời gian tính toán còn lại. Tuy nhiên, nếu thấy số lượng cổ tức bằng tiền mặt này không phù hợp, </w:t>
      </w:r>
      <w:r w:rsidR="00F5451B" w:rsidRPr="006234AA">
        <w:rPr>
          <w:lang w:val="nl-NL"/>
        </w:rPr>
        <w:t>Trung tâm lưu ký chứng khoán</w:t>
      </w:r>
      <w:r w:rsidRPr="006234AA">
        <w:rPr>
          <w:lang w:val="nl-NL"/>
        </w:rPr>
        <w:t xml:space="preserve"> được tính toán lại số lượng này);</w:t>
      </w:r>
    </w:p>
    <w:p w:rsidR="00F07ED7" w:rsidRPr="006234AA" w:rsidRDefault="00F07ED7" w:rsidP="003C0546">
      <w:pPr>
        <w:spacing w:after="120"/>
        <w:rPr>
          <w:b/>
          <w:bCs/>
          <w:lang w:val="nl-NL"/>
        </w:rPr>
      </w:pPr>
      <w:r w:rsidRPr="006234AA">
        <w:rPr>
          <w:i/>
          <w:lang w:val="nl-NL"/>
        </w:rPr>
        <w:t>MC</w:t>
      </w:r>
      <w:r w:rsidRPr="006234AA">
        <w:rPr>
          <w:lang w:val="nl-NL"/>
        </w:rPr>
        <w:t>: Giá trị vốn hóa thị trường tham chiếu của chỉ số trong ngày giao dịch liền trước;</w:t>
      </w:r>
    </w:p>
    <w:p w:rsidR="00F07ED7" w:rsidRPr="006234AA" w:rsidRDefault="00F07ED7" w:rsidP="003C0546">
      <w:pPr>
        <w:spacing w:after="120"/>
        <w:rPr>
          <w:b/>
          <w:bCs/>
          <w:lang w:val="nl-NL"/>
        </w:rPr>
      </w:pPr>
      <w:r w:rsidRPr="006234AA">
        <w:rPr>
          <w:i/>
          <w:lang w:val="nl-NL"/>
        </w:rPr>
        <w:t>S</w:t>
      </w:r>
      <w:r w:rsidRPr="006234AA">
        <w:rPr>
          <w:i/>
          <w:vertAlign w:val="subscript"/>
          <w:lang w:val="nl-NL"/>
        </w:rPr>
        <w:t>0</w:t>
      </w:r>
      <w:r w:rsidRPr="006234AA">
        <w:rPr>
          <w:lang w:val="nl-NL"/>
        </w:rPr>
        <w:t xml:space="preserve">: Giá trị ban đầu của chỉ số cơ sở khi chỉ số này đi vào hoạt động </w:t>
      </w:r>
      <w:r w:rsidRPr="006234AA">
        <w:rPr>
          <w:i/>
          <w:lang w:val="nl-NL"/>
        </w:rPr>
        <w:t>(thường là 100)</w:t>
      </w:r>
      <w:r w:rsidRPr="006234AA">
        <w:rPr>
          <w:lang w:val="nl-NL"/>
        </w:rPr>
        <w:t>;</w:t>
      </w:r>
    </w:p>
    <w:p w:rsidR="00F07ED7" w:rsidRPr="006234AA" w:rsidRDefault="00F07ED7" w:rsidP="003C0546">
      <w:pPr>
        <w:spacing w:after="120"/>
        <w:rPr>
          <w:b/>
          <w:bCs/>
          <w:lang w:val="nl-NL"/>
        </w:rPr>
      </w:pPr>
      <w:r w:rsidRPr="006234AA">
        <w:rPr>
          <w:i/>
          <w:lang w:val="nl-NL"/>
        </w:rPr>
        <w:t>t</w:t>
      </w:r>
      <w:r w:rsidRPr="006234AA">
        <w:rPr>
          <w:i/>
          <w:vertAlign w:val="subscript"/>
          <w:lang w:val="nl-NL"/>
        </w:rPr>
        <w:t>i</w:t>
      </w:r>
      <w:r w:rsidRPr="006234AA">
        <w:rPr>
          <w:lang w:val="nl-NL"/>
        </w:rPr>
        <w:t>: Số ngày trong khoảng thời gian không hưởng quyền cổ tức, tính từ ngày giao dịch không hưởng quyền (ex-dividend day) đến ngày giao dịch cuối cùng.</w:t>
      </w:r>
    </w:p>
    <w:p w:rsidR="00F07ED7" w:rsidRPr="006234AA" w:rsidRDefault="00F07ED7" w:rsidP="003C0546">
      <w:pPr>
        <w:spacing w:after="120"/>
        <w:ind w:firstLine="0"/>
        <w:jc w:val="left"/>
        <w:rPr>
          <w:b/>
          <w:bCs/>
          <w:lang w:val="nl-NL"/>
        </w:rPr>
      </w:pPr>
    </w:p>
    <w:p w:rsidR="00F07ED7" w:rsidRPr="006234AA" w:rsidRDefault="00F07ED7" w:rsidP="003C0546">
      <w:pPr>
        <w:spacing w:after="120"/>
        <w:ind w:firstLine="0"/>
        <w:jc w:val="center"/>
        <w:rPr>
          <w:b/>
          <w:bCs/>
          <w:i/>
          <w:iCs/>
          <w:lang w:val="nl-NL"/>
        </w:rPr>
      </w:pPr>
    </w:p>
    <w:p w:rsidR="00F07ED7" w:rsidRPr="006234AA" w:rsidRDefault="00F07ED7" w:rsidP="003C0546">
      <w:pPr>
        <w:spacing w:after="120"/>
        <w:ind w:firstLine="0"/>
        <w:jc w:val="center"/>
        <w:rPr>
          <w:b/>
          <w:bCs/>
          <w:i/>
          <w:iCs/>
          <w:lang w:val="nl-NL"/>
        </w:rPr>
      </w:pPr>
    </w:p>
    <w:p w:rsidR="00F07ED7" w:rsidRPr="006234AA" w:rsidRDefault="00F07ED7" w:rsidP="003C0546">
      <w:pPr>
        <w:spacing w:after="120"/>
        <w:ind w:firstLine="0"/>
        <w:jc w:val="center"/>
        <w:rPr>
          <w:b/>
          <w:bCs/>
          <w:i/>
          <w:iCs/>
          <w:lang w:val="nl-NL"/>
        </w:rPr>
      </w:pPr>
    </w:p>
    <w:p w:rsidR="00F07ED7" w:rsidRPr="006234AA" w:rsidRDefault="00F07ED7" w:rsidP="003C0546">
      <w:pPr>
        <w:spacing w:after="120"/>
        <w:ind w:firstLine="0"/>
        <w:jc w:val="center"/>
        <w:rPr>
          <w:b/>
          <w:bCs/>
          <w:i/>
          <w:iCs/>
          <w:lang w:val="nl-NL"/>
        </w:rPr>
      </w:pPr>
    </w:p>
    <w:p w:rsidR="00F07ED7" w:rsidRPr="006234AA" w:rsidRDefault="00F07ED7" w:rsidP="003C0546">
      <w:pPr>
        <w:pStyle w:val="Heading5"/>
        <w:spacing w:after="120"/>
        <w:ind w:left="2552" w:hanging="2487"/>
      </w:pPr>
      <w:bookmarkStart w:id="259" w:name="_Toc422672030"/>
      <w:r w:rsidRPr="006234AA">
        <w:t>Giá lý thuyết của hợp đồng tương lai trái phiếu chính phủ</w:t>
      </w:r>
      <w:bookmarkEnd w:id="259"/>
      <w:r w:rsidRPr="006234AA">
        <w:t xml:space="preserve"> </w:t>
      </w:r>
    </w:p>
    <w:p w:rsidR="00F07ED7" w:rsidRPr="006234AA" w:rsidRDefault="00F07ED7" w:rsidP="003C0546">
      <w:pPr>
        <w:spacing w:after="120"/>
        <w:rPr>
          <w:lang w:val="nl-NL"/>
        </w:rPr>
      </w:pPr>
    </w:p>
    <w:p w:rsidR="00F07ED7" w:rsidRPr="006234AA" w:rsidRDefault="00F07ED7" w:rsidP="003C0546">
      <w:pPr>
        <w:spacing w:after="120"/>
        <w:ind w:firstLine="0"/>
        <w:jc w:val="center"/>
        <w:rPr>
          <w:b/>
          <w:bCs/>
          <w:i/>
          <w:iCs/>
          <w:lang w:val="nl-NL"/>
        </w:rPr>
      </w:pPr>
      <w:r w:rsidRPr="006234AA">
        <w:rPr>
          <w:i/>
          <w:iCs/>
          <w:lang w:val="nl-NL"/>
        </w:rPr>
        <w:t>(Ban hành kèm theo Thông tư số /2014/TT-BTC ngày tháng năm 2014 của Bộ Tài chính về chứng khoán phái sinh và thị trường chứng khoán phái sinh)</w:t>
      </w:r>
    </w:p>
    <w:p w:rsidR="00F07ED7" w:rsidRPr="006234AA" w:rsidRDefault="00F07ED7" w:rsidP="003C0546">
      <w:pPr>
        <w:spacing w:after="120"/>
        <w:rPr>
          <w:lang w:val="nl-NL"/>
        </w:rPr>
      </w:pPr>
    </w:p>
    <w:p w:rsidR="00F07ED7" w:rsidRPr="006234AA" w:rsidRDefault="00F07ED7" w:rsidP="003C0546">
      <w:pPr>
        <w:spacing w:after="120"/>
        <w:rPr>
          <w:lang w:val="nl-NL"/>
        </w:rPr>
      </w:pPr>
      <w:r w:rsidRPr="006234AA">
        <w:rPr>
          <w:lang w:val="nl-NL"/>
        </w:rPr>
        <w:t>Giá lý thuyết của hợp đồng tương lai trái phiếu chính phủ được tính theo công thức sau:</w:t>
      </w:r>
    </w:p>
    <w:p w:rsidR="00F07ED7" w:rsidRPr="006234AA" w:rsidRDefault="00F07ED7" w:rsidP="003C0546">
      <w:pPr>
        <w:spacing w:after="120"/>
      </w:pPr>
      <w:r w:rsidRPr="006234AA">
        <w:rPr>
          <w:i/>
        </w:rPr>
        <w:object w:dxaOrig="2480" w:dyaOrig="700">
          <v:shape id="_x0000_i1027" type="#_x0000_t75" style="width:123.75pt;height:38.25pt" o:ole="">
            <v:imagedata r:id="rId16" o:title=""/>
          </v:shape>
          <o:OLEObject Type="Embed" ProgID="Equation.3" ShapeID="_x0000_i1027" DrawAspect="Content" ObjectID="_1496493953" r:id="rId17"/>
        </w:object>
      </w:r>
    </w:p>
    <w:p w:rsidR="00F07ED7" w:rsidRPr="006234AA" w:rsidRDefault="00F07ED7" w:rsidP="003C0546">
      <w:pPr>
        <w:spacing w:after="120"/>
      </w:pPr>
      <w:r w:rsidRPr="006234AA">
        <w:t>Trong đó:</w:t>
      </w:r>
    </w:p>
    <w:p w:rsidR="00F07ED7" w:rsidRPr="006234AA" w:rsidRDefault="00F07ED7" w:rsidP="003C0546">
      <w:pPr>
        <w:spacing w:after="120"/>
      </w:pPr>
      <w:r w:rsidRPr="006234AA">
        <w:rPr>
          <w:i/>
        </w:rPr>
        <w:t>P</w:t>
      </w:r>
      <w:r w:rsidRPr="006234AA">
        <w:t>: Giá lý thuyết</w:t>
      </w:r>
    </w:p>
    <w:p w:rsidR="00F07ED7" w:rsidRPr="006234AA" w:rsidRDefault="00F07ED7" w:rsidP="003C0546">
      <w:pPr>
        <w:spacing w:after="120"/>
      </w:pPr>
      <w:r w:rsidRPr="006234AA">
        <w:rPr>
          <w:i/>
        </w:rPr>
        <w:t>C</w:t>
      </w:r>
      <w:r w:rsidRPr="006234AA">
        <w:t>: Lãi cuống phiếu hàng năm của tài sản cơ sở</w:t>
      </w:r>
    </w:p>
    <w:p w:rsidR="00F07ED7" w:rsidRPr="006234AA" w:rsidRDefault="00F07ED7" w:rsidP="003C0546">
      <w:pPr>
        <w:spacing w:after="120"/>
        <w:rPr>
          <w:lang w:val="nl-NL"/>
        </w:rPr>
      </w:pPr>
      <w:r w:rsidRPr="006234AA">
        <w:rPr>
          <w:i/>
          <w:lang w:val="nl-NL"/>
        </w:rPr>
        <w:t>n</w:t>
      </w:r>
      <w:r w:rsidRPr="006234AA">
        <w:rPr>
          <w:lang w:val="nl-NL"/>
        </w:rPr>
        <w:t>: Kỳ hạn (tính theo năm) của tài sản cơ sở</w:t>
      </w:r>
    </w:p>
    <w:p w:rsidR="00F07ED7" w:rsidRPr="006234AA" w:rsidRDefault="00F07ED7" w:rsidP="003C0546">
      <w:pPr>
        <w:spacing w:after="120"/>
        <w:rPr>
          <w:lang w:val="nl-NL"/>
        </w:rPr>
      </w:pPr>
      <w:r w:rsidRPr="006234AA">
        <w:rPr>
          <w:i/>
          <w:lang w:val="nl-NL"/>
        </w:rPr>
        <w:t>r</w:t>
      </w:r>
      <w:r w:rsidRPr="006234AA">
        <w:rPr>
          <w:lang w:val="nl-NL"/>
        </w:rPr>
        <w:t>: Lợi suất trung bình của các trái phiếu trong danh sách trái phiếu có thể chuyển giao, được xác định theo các bước sau:</w:t>
      </w:r>
    </w:p>
    <w:p w:rsidR="00F07ED7" w:rsidRPr="006234AA" w:rsidRDefault="00F07ED7" w:rsidP="003C0546">
      <w:pPr>
        <w:spacing w:after="120"/>
        <w:rPr>
          <w:u w:val="single"/>
          <w:lang w:val="nl-NL"/>
        </w:rPr>
      </w:pPr>
      <w:r w:rsidRPr="006234AA">
        <w:rPr>
          <w:u w:val="single"/>
          <w:lang w:val="nl-NL"/>
        </w:rPr>
        <w:t>Bước 1: Tính giá thị trường của từng trái phiếu riêng lẻ trong danh sách</w:t>
      </w:r>
    </w:p>
    <w:p w:rsidR="00F07ED7" w:rsidRPr="006234AA" w:rsidRDefault="00F07ED7" w:rsidP="003C0546">
      <w:pPr>
        <w:spacing w:after="120"/>
      </w:pPr>
      <w:r w:rsidRPr="006234AA">
        <w:rPr>
          <w:position w:val="-68"/>
          <w:szCs w:val="24"/>
        </w:rPr>
        <w:object w:dxaOrig="4200" w:dyaOrig="1140">
          <v:shape id="_x0000_i1028" type="#_x0000_t75" style="width:210.75pt;height:57pt" o:ole="">
            <v:imagedata r:id="rId18" o:title=""/>
          </v:shape>
          <o:OLEObject Type="Embed" ProgID="Equation.3" ShapeID="_x0000_i1028" DrawAspect="Content" ObjectID="_1496493954" r:id="rId19"/>
        </w:object>
      </w:r>
    </w:p>
    <w:p w:rsidR="00F07ED7" w:rsidRPr="006234AA" w:rsidRDefault="00F07ED7" w:rsidP="003C0546">
      <w:pPr>
        <w:spacing w:after="120"/>
      </w:pPr>
      <w:r w:rsidRPr="006234AA">
        <w:t>Trong đó:</w:t>
      </w:r>
    </w:p>
    <w:p w:rsidR="00F07ED7" w:rsidRPr="006234AA" w:rsidRDefault="00F07ED7" w:rsidP="003C0546">
      <w:pPr>
        <w:spacing w:after="120"/>
      </w:pPr>
      <w:r w:rsidRPr="006234AA">
        <w:rPr>
          <w:i/>
        </w:rPr>
        <w:t>S</w:t>
      </w:r>
      <w:r w:rsidRPr="006234AA">
        <w:t>: Giá thị trường của trái phiếu riêng lẻ</w:t>
      </w:r>
    </w:p>
    <w:p w:rsidR="00F07ED7" w:rsidRPr="006234AA" w:rsidRDefault="00F07ED7" w:rsidP="003C0546">
      <w:pPr>
        <w:spacing w:after="120"/>
        <w:rPr>
          <w:lang w:val="nl-NL"/>
        </w:rPr>
      </w:pPr>
      <w:r w:rsidRPr="006234AA">
        <w:rPr>
          <w:i/>
          <w:lang w:val="nl-NL"/>
        </w:rPr>
        <w:t>r</w:t>
      </w:r>
      <w:r w:rsidRPr="006234AA">
        <w:rPr>
          <w:i/>
          <w:vertAlign w:val="subscript"/>
          <w:lang w:val="nl-NL"/>
        </w:rPr>
        <w:t>1</w:t>
      </w:r>
      <w:r w:rsidRPr="006234AA">
        <w:rPr>
          <w:lang w:val="nl-NL"/>
        </w:rPr>
        <w:t>: Lợi suất tính đến ngày đáo hạn của trái phiếu riêng lẻ</w:t>
      </w:r>
    </w:p>
    <w:p w:rsidR="00F07ED7" w:rsidRPr="006234AA" w:rsidRDefault="00F07ED7" w:rsidP="003C0546">
      <w:pPr>
        <w:spacing w:after="120"/>
        <w:rPr>
          <w:lang w:val="nl-NL"/>
        </w:rPr>
      </w:pPr>
      <w:r w:rsidRPr="006234AA">
        <w:rPr>
          <w:i/>
          <w:lang w:val="nl-NL"/>
        </w:rPr>
        <w:t>d</w:t>
      </w:r>
      <w:r w:rsidRPr="006234AA">
        <w:rPr>
          <w:i/>
          <w:vertAlign w:val="subscript"/>
          <w:lang w:val="nl-NL"/>
        </w:rPr>
        <w:t>1</w:t>
      </w:r>
      <w:r w:rsidRPr="006234AA">
        <w:rPr>
          <w:lang w:val="nl-NL"/>
        </w:rPr>
        <w:t>: Số ngày kể từ ngày tính toán đến ngày trả lãi tiếp theo</w:t>
      </w:r>
    </w:p>
    <w:p w:rsidR="00F07ED7" w:rsidRPr="006234AA" w:rsidRDefault="00F07ED7" w:rsidP="003C0546">
      <w:pPr>
        <w:spacing w:after="120"/>
        <w:rPr>
          <w:lang w:val="nl-NL"/>
        </w:rPr>
      </w:pPr>
      <w:r w:rsidRPr="006234AA">
        <w:rPr>
          <w:i/>
          <w:lang w:val="nl-NL"/>
        </w:rPr>
        <w:t>t</w:t>
      </w:r>
      <w:r w:rsidRPr="006234AA">
        <w:rPr>
          <w:i/>
          <w:vertAlign w:val="subscript"/>
          <w:lang w:val="nl-NL"/>
        </w:rPr>
        <w:t>1</w:t>
      </w:r>
      <w:r w:rsidRPr="006234AA">
        <w:rPr>
          <w:lang w:val="nl-NL"/>
        </w:rPr>
        <w:t>: Số ngày kể từ ngày trả lãi gần đây nhất đến ngày trả lãi tiếp theo</w:t>
      </w:r>
    </w:p>
    <w:p w:rsidR="00F07ED7" w:rsidRPr="006234AA" w:rsidRDefault="00F07ED7" w:rsidP="003C0546">
      <w:pPr>
        <w:spacing w:after="120"/>
        <w:rPr>
          <w:lang w:val="nl-NL"/>
        </w:rPr>
      </w:pPr>
      <w:r w:rsidRPr="006234AA">
        <w:rPr>
          <w:i/>
          <w:lang w:val="nl-NL"/>
        </w:rPr>
        <w:t>n</w:t>
      </w:r>
      <w:r w:rsidRPr="006234AA">
        <w:rPr>
          <w:lang w:val="nl-NL"/>
        </w:rPr>
        <w:t>: Số lần trả lãi trong tương lai cho đến ngày đáo hạn trái phiếu riêng lẻ</w:t>
      </w:r>
    </w:p>
    <w:p w:rsidR="00F07ED7" w:rsidRPr="006234AA" w:rsidRDefault="00F07ED7" w:rsidP="003C0546">
      <w:pPr>
        <w:spacing w:after="120"/>
        <w:rPr>
          <w:lang w:val="nl-NL"/>
        </w:rPr>
      </w:pPr>
      <w:r w:rsidRPr="006234AA">
        <w:rPr>
          <w:i/>
          <w:lang w:val="nl-NL"/>
        </w:rPr>
        <w:t>c</w:t>
      </w:r>
      <w:r w:rsidRPr="006234AA">
        <w:rPr>
          <w:lang w:val="nl-NL"/>
        </w:rPr>
        <w:t>: Lãi suất cuống phiếu hàng năm của trái phiếu riêng lẻ</w:t>
      </w:r>
    </w:p>
    <w:p w:rsidR="00F07ED7" w:rsidRPr="006234AA" w:rsidRDefault="00F07ED7" w:rsidP="003C0546">
      <w:pPr>
        <w:spacing w:after="120"/>
        <w:rPr>
          <w:u w:val="single"/>
          <w:lang w:val="nl-NL"/>
        </w:rPr>
      </w:pPr>
      <w:r w:rsidRPr="006234AA">
        <w:rPr>
          <w:u w:val="single"/>
          <w:lang w:val="nl-NL"/>
        </w:rPr>
        <w:t xml:space="preserve">Bước 2: Tính giá kỳ hạn (forward price) của từng trái phiếu riêng lẻ </w:t>
      </w:r>
    </w:p>
    <w:p w:rsidR="00F07ED7" w:rsidRPr="006234AA" w:rsidRDefault="00F07ED7" w:rsidP="003C0546">
      <w:pPr>
        <w:spacing w:after="120"/>
        <w:rPr>
          <w:i/>
          <w:lang w:val="nl-NL"/>
        </w:rPr>
      </w:pPr>
      <w:r w:rsidRPr="006234AA">
        <w:rPr>
          <w:i/>
          <w:lang w:val="nl-NL"/>
        </w:rPr>
        <w:t>F = (S – I) × (1 + r* × t/365)</w:t>
      </w:r>
    </w:p>
    <w:p w:rsidR="00F07ED7" w:rsidRPr="006234AA" w:rsidRDefault="00F07ED7" w:rsidP="003C0546">
      <w:pPr>
        <w:spacing w:after="120"/>
      </w:pPr>
      <w:r w:rsidRPr="006234AA">
        <w:t>Trong đó:</w:t>
      </w:r>
    </w:p>
    <w:p w:rsidR="00F07ED7" w:rsidRPr="006234AA" w:rsidRDefault="00F07ED7" w:rsidP="003C0546">
      <w:pPr>
        <w:spacing w:after="120"/>
      </w:pPr>
      <w:r w:rsidRPr="006234AA">
        <w:rPr>
          <w:i/>
        </w:rPr>
        <w:lastRenderedPageBreak/>
        <w:t>F</w:t>
      </w:r>
      <w:r w:rsidRPr="006234AA">
        <w:t>: Giá kỳ hạn của trái phiếu riêng lẻ</w:t>
      </w:r>
    </w:p>
    <w:p w:rsidR="00F07ED7" w:rsidRPr="006234AA" w:rsidRDefault="00F07ED7" w:rsidP="003C0546">
      <w:pPr>
        <w:spacing w:after="120"/>
      </w:pPr>
      <w:r w:rsidRPr="006234AA">
        <w:rPr>
          <w:i/>
        </w:rPr>
        <w:t>S</w:t>
      </w:r>
      <w:r w:rsidRPr="006234AA">
        <w:t>: Giá thị trường của trái phiếu riêng lẻ</w:t>
      </w:r>
    </w:p>
    <w:p w:rsidR="00F07ED7" w:rsidRPr="006234AA" w:rsidRDefault="00F07ED7" w:rsidP="003C0546">
      <w:pPr>
        <w:spacing w:after="120"/>
      </w:pPr>
      <w:r w:rsidRPr="006234AA">
        <w:rPr>
          <w:i/>
        </w:rPr>
        <w:t>I</w:t>
      </w:r>
      <w:r w:rsidRPr="006234AA">
        <w:t>: Giá trị hiện hành của trái phiếu chưa hưởng lãi = Số lãi đã trả trong mười hai (12) tháng vừa qua / (1 + r</w:t>
      </w:r>
      <w:r w:rsidRPr="006234AA">
        <w:rPr>
          <w:vertAlign w:val="subscript"/>
        </w:rPr>
        <w:t>2</w:t>
      </w:r>
      <w:r w:rsidRPr="006234AA">
        <w:t xml:space="preserve"> × d</w:t>
      </w:r>
      <w:r w:rsidRPr="006234AA">
        <w:rPr>
          <w:vertAlign w:val="subscript"/>
        </w:rPr>
        <w:t>2</w:t>
      </w:r>
      <w:r w:rsidRPr="006234AA">
        <w:t>/365)</w:t>
      </w:r>
    </w:p>
    <w:p w:rsidR="00F07ED7" w:rsidRPr="006234AA" w:rsidRDefault="00F07ED7" w:rsidP="003C0546">
      <w:pPr>
        <w:spacing w:after="120"/>
      </w:pPr>
      <w:r w:rsidRPr="006234AA">
        <w:rPr>
          <w:i/>
        </w:rPr>
        <w:t>r</w:t>
      </w:r>
      <w:r w:rsidRPr="006234AA">
        <w:rPr>
          <w:i/>
          <w:vertAlign w:val="subscript"/>
        </w:rPr>
        <w:t>2</w:t>
      </w:r>
      <w:r w:rsidRPr="006234AA">
        <w:t xml:space="preserve">: Trong trường hợp trái phiếu không hưởng quyền lãi (ex-interest): lãi suất áp dụng kể từ ngày tính toán đến ngày trả lãi tiếp theo (do </w:t>
      </w:r>
      <w:r w:rsidR="00F5451B" w:rsidRPr="006234AA">
        <w:t>Trung tâm lưu ký chứng khoán</w:t>
      </w:r>
      <w:r w:rsidRPr="006234AA">
        <w:t xml:space="preserve"> tính toán và</w:t>
      </w:r>
      <w:r w:rsidRPr="006234AA">
        <w:rPr>
          <w:i/>
        </w:rPr>
        <w:t xml:space="preserve"> </w:t>
      </w:r>
      <w:r w:rsidRPr="006234AA">
        <w:t>công bố lúc 15h30 ngày giao dịch trước)</w:t>
      </w:r>
    </w:p>
    <w:p w:rsidR="00F07ED7" w:rsidRPr="006234AA" w:rsidRDefault="00F07ED7" w:rsidP="003C0546">
      <w:pPr>
        <w:spacing w:after="120"/>
      </w:pPr>
      <w:r w:rsidRPr="006234AA">
        <w:rPr>
          <w:i/>
        </w:rPr>
        <w:t>d2</w:t>
      </w:r>
      <w:r w:rsidRPr="006234AA">
        <w:t>: Trong trường hợp trái phiếu không hưởng quyền lãi, số ngày kể từ ngày tính toán đến ngày trả lãi tiếp theo</w:t>
      </w:r>
    </w:p>
    <w:p w:rsidR="00F07ED7" w:rsidRPr="006234AA" w:rsidRDefault="00F07ED7" w:rsidP="003C0546">
      <w:pPr>
        <w:spacing w:after="120"/>
      </w:pPr>
      <w:r w:rsidRPr="006234AA">
        <w:rPr>
          <w:i/>
        </w:rPr>
        <w:t>r*</w:t>
      </w:r>
      <w:r w:rsidRPr="006234AA">
        <w:t xml:space="preserve">: Lãi suất áp dụng kể từ ngày tính toán cho đến ngày thanh toán cuối cùng do </w:t>
      </w:r>
      <w:r w:rsidR="00F5451B" w:rsidRPr="006234AA">
        <w:t>Trung tâm lưu ký chứng khoán</w:t>
      </w:r>
      <w:r w:rsidRPr="006234AA">
        <w:t xml:space="preserve"> tính toán và</w:t>
      </w:r>
      <w:r w:rsidRPr="006234AA">
        <w:rPr>
          <w:i/>
        </w:rPr>
        <w:t xml:space="preserve"> </w:t>
      </w:r>
      <w:r w:rsidRPr="006234AA">
        <w:t>công bố lúc 15h30 ngày giao dịch trước</w:t>
      </w:r>
    </w:p>
    <w:p w:rsidR="00F07ED7" w:rsidRPr="006234AA" w:rsidRDefault="00F07ED7" w:rsidP="003C0546">
      <w:pPr>
        <w:spacing w:after="120"/>
      </w:pPr>
      <w:r w:rsidRPr="006234AA">
        <w:rPr>
          <w:i/>
        </w:rPr>
        <w:t>t</w:t>
      </w:r>
      <w:r w:rsidRPr="006234AA">
        <w:t>: Số ngày kể từ ngày tính toán đến ngày thanh toán cuối cùng</w:t>
      </w:r>
    </w:p>
    <w:p w:rsidR="00F07ED7" w:rsidRPr="006234AA" w:rsidRDefault="00F07ED7" w:rsidP="003C0546">
      <w:pPr>
        <w:spacing w:after="120"/>
        <w:rPr>
          <w:u w:val="single"/>
          <w:lang w:val="nl-NL"/>
        </w:rPr>
      </w:pPr>
      <w:r w:rsidRPr="006234AA">
        <w:rPr>
          <w:u w:val="single"/>
          <w:lang w:val="nl-NL"/>
        </w:rPr>
        <w:t xml:space="preserve">Bước 3: Tính lợi suất kỳ hạn (forward yield ) của từng trái phiếu riêng lẻ </w:t>
      </w:r>
    </w:p>
    <w:p w:rsidR="00F07ED7" w:rsidRPr="006234AA" w:rsidRDefault="00F07ED7" w:rsidP="003C0546">
      <w:pPr>
        <w:spacing w:after="120"/>
        <w:rPr>
          <w:lang w:val="nl-NL"/>
        </w:rPr>
      </w:pPr>
      <w:r w:rsidRPr="006234AA">
        <w:rPr>
          <w:lang w:val="nl-NL"/>
        </w:rPr>
        <w:t>Lợi suất kỳ hạn phù hợp với giá kỳ hạn của trái phiếu riêng lẻ được tính sử dụng công thức sử dụng ở bước 1.</w:t>
      </w:r>
    </w:p>
    <w:p w:rsidR="00F07ED7" w:rsidRPr="006234AA" w:rsidRDefault="00F07ED7" w:rsidP="003C0546">
      <w:pPr>
        <w:spacing w:after="120"/>
        <w:rPr>
          <w:u w:val="single"/>
          <w:lang w:val="nl-NL"/>
        </w:rPr>
      </w:pPr>
      <w:r w:rsidRPr="006234AA">
        <w:rPr>
          <w:u w:val="single"/>
          <w:lang w:val="nl-NL"/>
        </w:rPr>
        <w:t>Bước 4: Tính lợi suất kỳ hạn trung bình của danh mục trái phiếu sử dụng để thanh toán cuối cùng</w:t>
      </w:r>
    </w:p>
    <w:p w:rsidR="00F07ED7" w:rsidRPr="006234AA" w:rsidRDefault="00F07ED7" w:rsidP="003C0546">
      <w:pPr>
        <w:spacing w:after="120"/>
        <w:rPr>
          <w:lang w:val="nl-NL"/>
        </w:rPr>
      </w:pPr>
      <w:r w:rsidRPr="006234AA">
        <w:rPr>
          <w:lang w:val="nl-NL"/>
        </w:rPr>
        <w:t>Lợi suất kỳ hạn trung bình của danh mục trái phiếu là trung bình cộng của lợi suất kỳ hạn của các trái phiếu riêng lẻ, làm tròn đến chữ số thập phân thứ 4.</w:t>
      </w:r>
    </w:p>
    <w:p w:rsidR="00F07ED7" w:rsidRPr="006234AA" w:rsidRDefault="00F07ED7" w:rsidP="003C0546">
      <w:pPr>
        <w:spacing w:after="120"/>
        <w:rPr>
          <w:lang w:val="nl-NL"/>
        </w:rPr>
      </w:pPr>
    </w:p>
    <w:p w:rsidR="00F07ED7" w:rsidRPr="006234AA" w:rsidRDefault="00F07ED7" w:rsidP="003C0546">
      <w:pPr>
        <w:spacing w:after="120"/>
        <w:rPr>
          <w:lang w:val="nl-NL"/>
        </w:rPr>
      </w:pPr>
    </w:p>
    <w:p w:rsidR="00F07ED7" w:rsidRPr="006234AA" w:rsidRDefault="00F07ED7" w:rsidP="003C0546">
      <w:pPr>
        <w:spacing w:after="120"/>
        <w:rPr>
          <w:lang w:val="nl-NL"/>
        </w:rPr>
      </w:pPr>
    </w:p>
    <w:p w:rsidR="00F07ED7" w:rsidRPr="006234AA" w:rsidRDefault="00F07ED7" w:rsidP="003C0546">
      <w:pPr>
        <w:spacing w:after="120"/>
        <w:rPr>
          <w:lang w:val="nl-NL"/>
        </w:rPr>
      </w:pPr>
    </w:p>
    <w:p w:rsidR="00F07ED7" w:rsidRPr="006234AA" w:rsidRDefault="00F07ED7" w:rsidP="003C0546">
      <w:pPr>
        <w:spacing w:after="120"/>
        <w:rPr>
          <w:lang w:val="nl-NL"/>
        </w:rPr>
      </w:pPr>
    </w:p>
    <w:p w:rsidR="00F07ED7" w:rsidRPr="006234AA" w:rsidRDefault="00F07ED7" w:rsidP="003C0546">
      <w:pPr>
        <w:spacing w:after="120"/>
        <w:rPr>
          <w:lang w:val="nl-NL"/>
        </w:rPr>
      </w:pPr>
    </w:p>
    <w:p w:rsidR="00DE321B" w:rsidRPr="006234AA" w:rsidRDefault="00DE321B" w:rsidP="003C0546">
      <w:pPr>
        <w:spacing w:after="120"/>
        <w:rPr>
          <w:lang w:val="nl-NL"/>
        </w:rPr>
      </w:pPr>
    </w:p>
    <w:p w:rsidR="00DE321B" w:rsidRPr="006234AA" w:rsidRDefault="00DE321B" w:rsidP="003C0546">
      <w:pPr>
        <w:spacing w:after="120"/>
        <w:rPr>
          <w:lang w:val="nl-NL"/>
        </w:rPr>
      </w:pPr>
    </w:p>
    <w:p w:rsidR="00DE321B" w:rsidRPr="006234AA" w:rsidRDefault="00DE321B" w:rsidP="003C0546">
      <w:pPr>
        <w:spacing w:after="120"/>
        <w:rPr>
          <w:lang w:val="nl-NL"/>
        </w:rPr>
      </w:pPr>
    </w:p>
    <w:p w:rsidR="00DE321B" w:rsidRPr="006234AA" w:rsidRDefault="00DE321B" w:rsidP="003C0546">
      <w:pPr>
        <w:spacing w:after="120"/>
        <w:rPr>
          <w:lang w:val="nl-NL"/>
        </w:rPr>
      </w:pPr>
    </w:p>
    <w:p w:rsidR="00DE321B" w:rsidRPr="006234AA" w:rsidRDefault="00DE321B" w:rsidP="003C0546">
      <w:pPr>
        <w:spacing w:after="120"/>
        <w:rPr>
          <w:lang w:val="nl-NL"/>
        </w:rPr>
      </w:pPr>
    </w:p>
    <w:p w:rsidR="00DE321B" w:rsidRPr="006234AA" w:rsidRDefault="00DE321B" w:rsidP="003C0546">
      <w:pPr>
        <w:spacing w:after="120"/>
        <w:rPr>
          <w:lang w:val="nl-NL"/>
        </w:rPr>
      </w:pPr>
    </w:p>
    <w:p w:rsidR="00DE321B" w:rsidRPr="006234AA" w:rsidRDefault="00DE321B" w:rsidP="003C0546">
      <w:pPr>
        <w:spacing w:after="120"/>
        <w:rPr>
          <w:lang w:val="nl-NL"/>
        </w:rPr>
      </w:pPr>
    </w:p>
    <w:p w:rsidR="00F07ED7" w:rsidRPr="006234AA" w:rsidRDefault="00F07ED7" w:rsidP="003C0546">
      <w:pPr>
        <w:spacing w:after="120"/>
        <w:rPr>
          <w:lang w:val="nl-NL"/>
        </w:rPr>
      </w:pPr>
    </w:p>
    <w:p w:rsidR="00F53F82" w:rsidRPr="006234AA" w:rsidRDefault="00F53F82" w:rsidP="003C0546">
      <w:pPr>
        <w:pStyle w:val="Heading5"/>
        <w:spacing w:after="120"/>
        <w:ind w:hanging="2912"/>
      </w:pPr>
      <w:bookmarkStart w:id="260" w:name="_Toc422672031"/>
      <w:r w:rsidRPr="006234AA">
        <w:lastRenderedPageBreak/>
        <w:t>Khuyến cáo và cảnh báo về rủi ro</w:t>
      </w:r>
      <w:bookmarkEnd w:id="260"/>
    </w:p>
    <w:p w:rsidR="00F53F82" w:rsidRPr="006234AA" w:rsidRDefault="00F53F82" w:rsidP="003C0546">
      <w:pPr>
        <w:spacing w:after="120"/>
        <w:ind w:firstLine="0"/>
        <w:jc w:val="center"/>
        <w:rPr>
          <w:b/>
          <w:bCs/>
          <w:i/>
          <w:iCs/>
          <w:lang w:val="nl-NL"/>
        </w:rPr>
      </w:pPr>
      <w:r w:rsidRPr="006234AA">
        <w:rPr>
          <w:i/>
          <w:iCs/>
          <w:lang w:val="nl-NL"/>
        </w:rPr>
        <w:t>(Ban hành kèm theo Thông tư số /2014/TT-BTC ngày tháng năm 2014 của Bộ Tài chính về chứng khoán phái sinh và thị trường chứng khoán phái sinh)</w:t>
      </w:r>
    </w:p>
    <w:p w:rsidR="00F53F82" w:rsidRPr="006234AA" w:rsidRDefault="00F53F82" w:rsidP="003C0546">
      <w:pPr>
        <w:spacing w:after="120"/>
        <w:rPr>
          <w:lang w:val="nl-NL"/>
        </w:rPr>
      </w:pPr>
    </w:p>
    <w:p w:rsidR="00F53F82" w:rsidRPr="006234AA" w:rsidRDefault="00F53F82" w:rsidP="003C0546">
      <w:pPr>
        <w:spacing w:after="120"/>
        <w:rPr>
          <w:lang w:val="nl-NL"/>
        </w:rPr>
      </w:pPr>
    </w:p>
    <w:p w:rsidR="00F07ED7" w:rsidRPr="006234AA" w:rsidRDefault="00F07ED7" w:rsidP="003C0546">
      <w:pPr>
        <w:spacing w:after="120"/>
        <w:rPr>
          <w:lang w:val="nl-NL"/>
        </w:rPr>
      </w:pPr>
      <w:r w:rsidRPr="006234AA">
        <w:rPr>
          <w:lang w:val="nl-NL"/>
        </w:rPr>
        <w:t>Tất cả các thành viên giao dịch phải cung cấp cho khách hàng, nhà đầu tư khuyến cáo và cảnh báo rủi ro, tối thiểu bao gồm các nội dung sau:</w:t>
      </w:r>
    </w:p>
    <w:p w:rsidR="00F07ED7" w:rsidRPr="006234AA" w:rsidRDefault="00F07ED7" w:rsidP="003C0546">
      <w:pPr>
        <w:spacing w:after="120"/>
        <w:rPr>
          <w:lang w:val="nl-NL"/>
        </w:rPr>
      </w:pPr>
      <w:r w:rsidRPr="006234AA">
        <w:rPr>
          <w:lang w:val="nl-NL"/>
        </w:rPr>
        <w:t>______________________________________________________</w:t>
      </w:r>
    </w:p>
    <w:p w:rsidR="00F07ED7" w:rsidRPr="006234AA" w:rsidRDefault="00F07ED7" w:rsidP="003C0546">
      <w:pPr>
        <w:spacing w:after="120"/>
        <w:rPr>
          <w:lang w:val="nl-NL"/>
        </w:rPr>
      </w:pPr>
    </w:p>
    <w:p w:rsidR="00F07ED7" w:rsidRPr="006234AA" w:rsidRDefault="00F07ED7" w:rsidP="003C0546">
      <w:pPr>
        <w:spacing w:after="120"/>
        <w:rPr>
          <w:lang w:val="nl-NL"/>
        </w:rPr>
      </w:pPr>
      <w:r w:rsidRPr="006234AA">
        <w:rPr>
          <w:lang w:val="nl-NL"/>
        </w:rPr>
        <w:t>Tài liệu này không mô tả tất cả các rủi ro và vấn đề quan trọng khác của giao dịch hợp đồng tương lai. Về khía cạnh rủi ro, nhà đầu tư chỉ nên thực hiện các giao dịch hợp đồng tương lai khi hiểu được rõ bản chất của các hợp đồng định tham gia, các mối quan hệ hợp đồng và mức rủi ro có thể phải đối mặt. Nhà đầu tư cần xem xét một cách cẩn trọng sự phù hợp của giao dịch chứng khoán phái sinh trên các khía cạnh kinh nghiệm, mục tiêu, nguồn lực tài chính và điều kiện liên quan khác.</w:t>
      </w:r>
    </w:p>
    <w:p w:rsidR="00F07ED7" w:rsidRPr="006234AA" w:rsidRDefault="00F07ED7" w:rsidP="003C0546">
      <w:pPr>
        <w:spacing w:after="120"/>
        <w:rPr>
          <w:lang w:val="nl-NL"/>
        </w:rPr>
      </w:pPr>
    </w:p>
    <w:p w:rsidR="00F07ED7" w:rsidRPr="006234AA" w:rsidRDefault="00F07ED7" w:rsidP="003C0546">
      <w:pPr>
        <w:spacing w:after="120"/>
        <w:rPr>
          <w:b/>
          <w:lang w:val="nl-NL"/>
        </w:rPr>
      </w:pPr>
      <w:r w:rsidRPr="006234AA">
        <w:rPr>
          <w:b/>
          <w:lang w:val="nl-NL"/>
        </w:rPr>
        <w:t>Rủi ro liên quan đến hợp đồng tương lai</w:t>
      </w:r>
    </w:p>
    <w:p w:rsidR="00F07ED7" w:rsidRPr="006234AA" w:rsidRDefault="00F07ED7" w:rsidP="003C0546">
      <w:pPr>
        <w:spacing w:after="120"/>
        <w:rPr>
          <w:lang w:val="nl-NL"/>
        </w:rPr>
      </w:pPr>
      <w:r w:rsidRPr="006234AA">
        <w:rPr>
          <w:lang w:val="nl-NL"/>
        </w:rPr>
        <w:t xml:space="preserve">1. Tác dụng của “đòn bẩy” </w:t>
      </w:r>
    </w:p>
    <w:p w:rsidR="00F07ED7" w:rsidRPr="006234AA" w:rsidRDefault="00F07ED7" w:rsidP="003C0546">
      <w:pPr>
        <w:spacing w:after="120"/>
        <w:rPr>
          <w:lang w:val="nl-NL"/>
        </w:rPr>
      </w:pPr>
      <w:r w:rsidRPr="006234AA">
        <w:rPr>
          <w:lang w:val="nl-NL"/>
        </w:rPr>
        <w:t>Các giao dịch hợp đồng tương lai có mức độ rủi ro cao. Giá trị khoản ký quỹ ban đầu tương đối thấp so với giá trị của các hợp đồng tương lai, do đó đây là các giao dịch “đòn bẩy”. Một thay đổi nhỏ của thị trường có thể tác động lớn, tích cực hoặc tiêu cực, đến các khoản ký quỹ mà nhà đầu tư phải nộp. Nhà đầu tư có thể phải gánh chịu toàn bộ tổn thất về các khoản ký quỹ ban đầu và ký quỹ bổ sung nộp cho thành viên giao dịch để duy trì các vị thế mở của mình. Nếu thị trường tác động tiêu cực tới các vị thế của nhà đầu tư hoặc mức ký quỹ tăng lên, nhà đầu tư có thể nhận được yêu cầu nộp các khoản ký quỹ bổ sung để duy trì vị thế của mình. Nếu nhà đầu tư không tuân thủ yêu cầu nộp ký quỹ bổ sung trong thời hạn quy định, vị thế của nhà đầu tư có thể bị thanh lý với một khoản lỗ mà nhà đầu tư sẽ phải gánh chịu.</w:t>
      </w:r>
    </w:p>
    <w:p w:rsidR="00F07ED7" w:rsidRPr="006234AA" w:rsidRDefault="00F07ED7" w:rsidP="003C0546">
      <w:pPr>
        <w:spacing w:after="120"/>
        <w:rPr>
          <w:lang w:val="nl-NL"/>
        </w:rPr>
      </w:pPr>
      <w:r w:rsidRPr="006234AA">
        <w:rPr>
          <w:lang w:val="nl-NL"/>
        </w:rPr>
        <w:t>2. Lệnh giao dịch hoặc chiến lược giảm thiểu rủi ro</w:t>
      </w:r>
    </w:p>
    <w:p w:rsidR="00F07ED7" w:rsidRPr="006234AA" w:rsidRDefault="00F07ED7" w:rsidP="003C0546">
      <w:pPr>
        <w:spacing w:after="120"/>
        <w:rPr>
          <w:lang w:val="nl-NL"/>
        </w:rPr>
      </w:pPr>
      <w:r w:rsidRPr="006234AA">
        <w:rPr>
          <w:lang w:val="nl-NL"/>
        </w:rPr>
        <w:t>Việc đặt các lệnh nhất định (ví dụ như lệnh “cắt lỗ”, nếu được phép theo quy định của Sở giao dịch chứng khoán) được dự kiến để hạn chế thiệt hại đến một số lượng nhất định có thể không hiệu quả vì các lệnh này có thể không thực hiện được trong những điều kiện thị trường nhất định. Chiến lược sử dụng sự kết hợp các vị thế (nếu có, chẳng hạn như chiến lược “spread” và “straddle”) có thể cũng rủi ro như sử dụng các vị thế “mua” hay vị thế “bán” đơn giản.</w:t>
      </w:r>
    </w:p>
    <w:p w:rsidR="00F07ED7" w:rsidRPr="006234AA" w:rsidRDefault="00F07ED7" w:rsidP="003C0546">
      <w:pPr>
        <w:spacing w:after="120"/>
        <w:rPr>
          <w:lang w:val="nl-NL"/>
        </w:rPr>
      </w:pPr>
      <w:r w:rsidRPr="006234AA">
        <w:rPr>
          <w:lang w:val="nl-NL"/>
        </w:rPr>
        <w:t xml:space="preserve">3. Các điều khoản và điều kiện của hợp đồng </w:t>
      </w:r>
    </w:p>
    <w:p w:rsidR="00F07ED7" w:rsidRPr="006234AA" w:rsidRDefault="00F07ED7" w:rsidP="003C0546">
      <w:pPr>
        <w:spacing w:after="120"/>
        <w:rPr>
          <w:lang w:val="nl-NL"/>
        </w:rPr>
      </w:pPr>
      <w:r w:rsidRPr="006234AA">
        <w:rPr>
          <w:lang w:val="nl-NL"/>
        </w:rPr>
        <w:lastRenderedPageBreak/>
        <w:t xml:space="preserve">Nhà đầu tư cần yêu thành viên giao dịch của mình cung cấp các điều khoản và điều kiện của hợp đồng tương lai cụ thể mà nhà đầu tư giao dịch và các nghĩa vụ liên quan (ví dụ như những trường hợp nhà đầu tư bắt buộc phải chuyển giao hoặc nhận tài sản cơ sở của một hợp đồng tương lai). Trong những trường hợp nhất định các chi tiết của hợp đồng có thể được Sở giao dịch chứng khoán hoặc </w:t>
      </w:r>
      <w:r w:rsidR="00F5451B" w:rsidRPr="006234AA">
        <w:rPr>
          <w:lang w:val="nl-NL"/>
        </w:rPr>
        <w:t>Trung tâm lưu ký chứng khoán</w:t>
      </w:r>
      <w:r w:rsidRPr="006234AA">
        <w:rPr>
          <w:lang w:val="nl-NL"/>
        </w:rPr>
        <w:t xml:space="preserve"> sửa đổi để phản ánh những thay đổi trong tài sản cơ sở hoặc các trạng thái khác của hợp đồng tương lai.</w:t>
      </w:r>
    </w:p>
    <w:p w:rsidR="00F07ED7" w:rsidRPr="006234AA" w:rsidRDefault="00F07ED7" w:rsidP="003C0546">
      <w:pPr>
        <w:spacing w:after="120"/>
        <w:rPr>
          <w:lang w:val="nl-NL"/>
        </w:rPr>
      </w:pPr>
      <w:r w:rsidRPr="006234AA">
        <w:rPr>
          <w:lang w:val="nl-NL"/>
        </w:rPr>
        <w:t>4. Đình chỉ hoặc hạn chế giao dịch</w:t>
      </w:r>
    </w:p>
    <w:p w:rsidR="00F07ED7" w:rsidRPr="006234AA" w:rsidRDefault="00F07ED7" w:rsidP="003C0546">
      <w:pPr>
        <w:spacing w:after="120"/>
        <w:rPr>
          <w:lang w:val="nl-NL"/>
        </w:rPr>
      </w:pPr>
      <w:r w:rsidRPr="006234AA">
        <w:rPr>
          <w:lang w:val="nl-NL"/>
        </w:rPr>
        <w:t xml:space="preserve">Các điều kiện thị trường và quy định vận hành thị trường như thiếu tính thanh khoản, đình chỉ giao dịch các hợp đồng do giới hạn giá... có thể làm tăng rủi ro thiệt hại do rất khó hoặc không thể thực hiện giao dịch một cách hiệu quả, không thanh lý được các vị thế. Việc nhà đầu tư đã bán quyền chọn cũng có thể làm tăng rủi ro thua lỗ. </w:t>
      </w:r>
    </w:p>
    <w:p w:rsidR="00F07ED7" w:rsidRPr="006234AA" w:rsidRDefault="00F07ED7" w:rsidP="003C0546">
      <w:pPr>
        <w:spacing w:after="120"/>
        <w:rPr>
          <w:lang w:val="nl-NL"/>
        </w:rPr>
      </w:pPr>
      <w:r w:rsidRPr="006234AA">
        <w:rPr>
          <w:lang w:val="nl-NL"/>
        </w:rPr>
        <w:t xml:space="preserve">Hơn nữa, quan hệ thông thường giữa giá tài sản cơ sở và </w:t>
      </w:r>
      <w:r w:rsidR="000A65D9" w:rsidRPr="006234AA">
        <w:rPr>
          <w:lang w:val="nl-NL"/>
        </w:rPr>
        <w:t>giá thanh toán</w:t>
      </w:r>
      <w:r w:rsidRPr="006234AA">
        <w:rPr>
          <w:lang w:val="nl-NL"/>
        </w:rPr>
        <w:t xml:space="preserve"> tương lai có thể không tồn tại. Điều này có thể xảy ra trong một số trường hợp như việc không có giá tham chiếu có thể gây khó khăn cho việc đánh giá giá trị hợp lý của hợp đồng tương lai.</w:t>
      </w:r>
    </w:p>
    <w:p w:rsidR="00F07ED7" w:rsidRPr="006234AA" w:rsidRDefault="00F07ED7" w:rsidP="003C0546">
      <w:pPr>
        <w:spacing w:after="120"/>
        <w:rPr>
          <w:lang w:val="nl-NL"/>
        </w:rPr>
      </w:pPr>
      <w:r w:rsidRPr="006234AA">
        <w:rPr>
          <w:lang w:val="nl-NL"/>
        </w:rPr>
        <w:t xml:space="preserve">5. Tiền và chứng khoán lưu ký </w:t>
      </w:r>
    </w:p>
    <w:p w:rsidR="00F07ED7" w:rsidRPr="006234AA" w:rsidRDefault="00F07ED7" w:rsidP="003C0546">
      <w:pPr>
        <w:spacing w:after="120"/>
        <w:rPr>
          <w:lang w:val="nl-NL"/>
        </w:rPr>
      </w:pPr>
      <w:r w:rsidRPr="006234AA">
        <w:rPr>
          <w:lang w:val="nl-NL"/>
        </w:rPr>
        <w:t>Nhà đầu tư phải tự làm quen với việc bảo vệ các khoản tiền, chứng khoán đã nộp, đặc biệt là trong trường hợp thành viên giao dịch vỡ nợ, phá sản. Mức độ mà nhà đầu tư có thể lấy lại được khoản tiền hoặc chứng khoán của mình có thể được điều chỉnh bởi các văn bản quy phạm pháp luật cụ thể liên quan.</w:t>
      </w:r>
    </w:p>
    <w:p w:rsidR="00F07ED7" w:rsidRPr="006234AA" w:rsidRDefault="00F07ED7" w:rsidP="003C0546">
      <w:pPr>
        <w:spacing w:after="120"/>
        <w:rPr>
          <w:lang w:val="nl-NL"/>
        </w:rPr>
      </w:pPr>
      <w:r w:rsidRPr="006234AA">
        <w:rPr>
          <w:lang w:val="nl-NL"/>
        </w:rPr>
        <w:t xml:space="preserve">6. Phí và lệ phí </w:t>
      </w:r>
    </w:p>
    <w:p w:rsidR="00F07ED7" w:rsidRPr="006234AA" w:rsidRDefault="00F07ED7" w:rsidP="003C0546">
      <w:pPr>
        <w:spacing w:after="120"/>
        <w:rPr>
          <w:lang w:val="nl-NL"/>
        </w:rPr>
      </w:pPr>
      <w:r w:rsidRPr="006234AA">
        <w:rPr>
          <w:lang w:val="nl-NL"/>
        </w:rPr>
        <w:t>Trước khi bắt đầu kinh doanh, nhà đầu tư phải được giải thích rõ ràng về các loại phí và lệ phí mà mình sẽ phải trả. Những khoản phí này sẽ ảnh hưởng đến lợi nhuận ròng (nếu có) hoặc làm tăng tổn thất của nhà đầu tư.</w:t>
      </w:r>
    </w:p>
    <w:p w:rsidR="00F07ED7" w:rsidRPr="006234AA" w:rsidRDefault="00F07ED7" w:rsidP="003C0546">
      <w:pPr>
        <w:spacing w:after="120"/>
        <w:rPr>
          <w:lang w:val="nl-NL"/>
        </w:rPr>
      </w:pPr>
      <w:r w:rsidRPr="006234AA">
        <w:rPr>
          <w:lang w:val="nl-NL"/>
        </w:rPr>
        <w:t xml:space="preserve">7. Trang thiết bị giao dịch </w:t>
      </w:r>
      <w:r w:rsidRPr="006234AA">
        <w:rPr>
          <w:i/>
          <w:lang w:val="nl-NL"/>
        </w:rPr>
        <w:t>(Trading facilities)</w:t>
      </w:r>
    </w:p>
    <w:p w:rsidR="00F07ED7" w:rsidRPr="006234AA" w:rsidRDefault="00F07ED7" w:rsidP="003C0546">
      <w:pPr>
        <w:spacing w:after="120"/>
        <w:rPr>
          <w:lang w:val="nl-NL"/>
        </w:rPr>
      </w:pPr>
      <w:r w:rsidRPr="006234AA">
        <w:rPr>
          <w:lang w:val="nl-NL"/>
        </w:rPr>
        <w:t xml:space="preserve">Hầu hết hệ thống giao dịch đều có các hệ thống máy tính hỗ trợ phục vụ việc chuyển lệnh, khớp lệnh, đăng ký hoặc </w:t>
      </w:r>
      <w:r w:rsidR="00666F37" w:rsidRPr="006234AA">
        <w:rPr>
          <w:lang w:val="nl-NL"/>
        </w:rPr>
        <w:t xml:space="preserve">bù trừ, </w:t>
      </w:r>
      <w:r w:rsidR="00813DBA" w:rsidRPr="006234AA">
        <w:rPr>
          <w:lang w:val="nl-NL"/>
        </w:rPr>
        <w:t>thanh toán</w:t>
      </w:r>
      <w:r w:rsidRPr="006234AA">
        <w:rPr>
          <w:lang w:val="nl-NL"/>
        </w:rPr>
        <w:t xml:space="preserve"> giao dịch. Như với mọi thiết bị và hệ thống khác, trang thiết bị giao dịch có thể gặp sự cố, bị gián đoạn tạm thời. Khả năng phục hồi các thiệt hại có thể bị giới hạn về trách nhiệm pháp lý của các nhà cung cấp hệ thống, thị trường, </w:t>
      </w:r>
      <w:r w:rsidR="00F5451B" w:rsidRPr="006234AA">
        <w:rPr>
          <w:lang w:val="nl-NL"/>
        </w:rPr>
        <w:t>Trung tâm lưu ký chứng khoán</w:t>
      </w:r>
      <w:r w:rsidRPr="006234AA">
        <w:rPr>
          <w:lang w:val="nl-NL"/>
        </w:rPr>
        <w:t xml:space="preserve"> và/hoặc thành viên giao dịch. Giới hạn như vậy có thể thay đổi, nhà đầu tư cần yêu cầu thành viên giao dịch cung cấp thông tin chi tiết về vấn đề này.</w:t>
      </w:r>
    </w:p>
    <w:p w:rsidR="00F07ED7" w:rsidRPr="006234AA" w:rsidRDefault="00F07ED7" w:rsidP="003C0546">
      <w:pPr>
        <w:spacing w:after="120"/>
        <w:rPr>
          <w:lang w:val="nl-NL"/>
        </w:rPr>
      </w:pPr>
      <w:r w:rsidRPr="006234AA">
        <w:rPr>
          <w:lang w:val="nl-NL"/>
        </w:rPr>
        <w:t xml:space="preserve">8. Giao dịch điện tử </w:t>
      </w:r>
    </w:p>
    <w:p w:rsidR="00F07ED7" w:rsidRPr="006234AA" w:rsidRDefault="00F07ED7" w:rsidP="003C0546">
      <w:pPr>
        <w:spacing w:after="120"/>
        <w:rPr>
          <w:lang w:val="nl-NL"/>
        </w:rPr>
      </w:pPr>
      <w:r w:rsidRPr="006234AA">
        <w:rPr>
          <w:lang w:val="nl-NL"/>
        </w:rPr>
        <w:t xml:space="preserve">Giao dịch trên các hệ thống giao dịch điện tử khác nhau có thể khác nhau. Nếu thực hiện các giao dịch trên một hệ thống giao dịch điện tử, nhà đầu tư sẽ đối mặt với những rủi ro liên quan đến hệ thống bao gồm sự cố phần cứng và </w:t>
      </w:r>
      <w:r w:rsidRPr="006234AA">
        <w:rPr>
          <w:lang w:val="nl-NL"/>
        </w:rPr>
        <w:lastRenderedPageBreak/>
        <w:t>phần mềm. Sự cố hệ thống có thể làm cho lệnh giao dịch của nhà đầu tư không thực hiện được hoặc không thực hiện đúng theo yêu cầu của nhà đầu tư.</w:t>
      </w:r>
    </w:p>
    <w:p w:rsidR="00F07ED7" w:rsidRPr="006234AA" w:rsidRDefault="00F07ED7" w:rsidP="003C0546">
      <w:pPr>
        <w:spacing w:after="120"/>
        <w:rPr>
          <w:lang w:val="nl-NL"/>
        </w:rPr>
      </w:pPr>
    </w:p>
    <w:p w:rsidR="00F07ED7" w:rsidRPr="006234AA" w:rsidRDefault="00F07ED7" w:rsidP="003C0546">
      <w:pPr>
        <w:spacing w:after="120"/>
        <w:rPr>
          <w:lang w:val="nl-NL"/>
        </w:rPr>
      </w:pPr>
      <w:r w:rsidRPr="006234AA">
        <w:rPr>
          <w:lang w:val="nl-NL"/>
        </w:rPr>
        <w:t xml:space="preserve">Tôi xác nhận rằng tôi đã nhận được và hiểu rõ khuyến cáo và cảnh báo về rủi ro.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F07ED7" w:rsidRPr="006234AA" w:rsidTr="00A15B69">
        <w:tc>
          <w:tcPr>
            <w:tcW w:w="4643" w:type="dxa"/>
          </w:tcPr>
          <w:p w:rsidR="00F07ED7" w:rsidRPr="006234AA" w:rsidRDefault="00F07ED7" w:rsidP="003C0546">
            <w:pPr>
              <w:spacing w:after="120"/>
              <w:ind w:firstLine="0"/>
              <w:rPr>
                <w:lang w:val="nl-NL"/>
              </w:rPr>
            </w:pPr>
          </w:p>
        </w:tc>
        <w:tc>
          <w:tcPr>
            <w:tcW w:w="4644" w:type="dxa"/>
          </w:tcPr>
          <w:p w:rsidR="00F07ED7" w:rsidRPr="006234AA" w:rsidRDefault="00F07ED7" w:rsidP="003C0546">
            <w:pPr>
              <w:spacing w:after="120"/>
              <w:ind w:firstLine="0"/>
              <w:jc w:val="right"/>
              <w:rPr>
                <w:i/>
                <w:lang w:val="nl-NL"/>
              </w:rPr>
            </w:pPr>
            <w:r w:rsidRPr="006234AA">
              <w:rPr>
                <w:i/>
                <w:lang w:val="nl-NL"/>
              </w:rPr>
              <w:t>..., ngày ... tháng ... năm ...</w:t>
            </w:r>
          </w:p>
          <w:p w:rsidR="00F07ED7" w:rsidRPr="006234AA" w:rsidRDefault="00F07ED7" w:rsidP="003C0546">
            <w:pPr>
              <w:spacing w:after="120"/>
              <w:ind w:firstLine="0"/>
              <w:rPr>
                <w:i/>
                <w:lang w:val="nl-NL"/>
              </w:rPr>
            </w:pPr>
          </w:p>
          <w:p w:rsidR="00F07ED7" w:rsidRPr="006234AA" w:rsidRDefault="00F07ED7" w:rsidP="003C0546">
            <w:pPr>
              <w:spacing w:after="120"/>
              <w:ind w:firstLine="0"/>
              <w:jc w:val="right"/>
              <w:rPr>
                <w:i/>
                <w:lang w:val="nl-NL"/>
              </w:rPr>
            </w:pPr>
            <w:r w:rsidRPr="006234AA">
              <w:rPr>
                <w:i/>
                <w:lang w:val="nl-NL"/>
              </w:rPr>
              <w:t>(nhà đầu tư ký và ghi rõ họ tên)</w:t>
            </w:r>
          </w:p>
          <w:p w:rsidR="00F07ED7" w:rsidRPr="006234AA" w:rsidRDefault="00F07ED7" w:rsidP="003C0546">
            <w:pPr>
              <w:spacing w:after="120"/>
              <w:ind w:firstLine="0"/>
              <w:rPr>
                <w:lang w:val="nl-NL"/>
              </w:rPr>
            </w:pPr>
          </w:p>
        </w:tc>
      </w:tr>
    </w:tbl>
    <w:p w:rsidR="00F53F82" w:rsidRPr="006234AA" w:rsidRDefault="00F53F82" w:rsidP="003C0546">
      <w:pPr>
        <w:spacing w:after="120"/>
        <w:rPr>
          <w:lang w:val="nl-NL"/>
        </w:rPr>
      </w:pPr>
    </w:p>
    <w:p w:rsidR="00F53F82" w:rsidRPr="006234AA" w:rsidRDefault="00F53F82" w:rsidP="003C0546">
      <w:pPr>
        <w:spacing w:after="120"/>
        <w:rPr>
          <w:lang w:val="nl-NL"/>
        </w:rPr>
      </w:pPr>
    </w:p>
    <w:p w:rsidR="00F53F82" w:rsidRPr="006234AA" w:rsidRDefault="00F53F82" w:rsidP="003C0546">
      <w:pPr>
        <w:spacing w:after="120"/>
        <w:rPr>
          <w:lang w:val="nl-NL"/>
        </w:rPr>
      </w:pPr>
    </w:p>
    <w:p w:rsidR="006C2B6D" w:rsidRPr="006234AA" w:rsidRDefault="006C2B6D" w:rsidP="003C0546">
      <w:pPr>
        <w:spacing w:after="120"/>
        <w:ind w:firstLine="0"/>
        <w:jc w:val="left"/>
        <w:rPr>
          <w:lang w:val="nl-NL"/>
        </w:rPr>
      </w:pPr>
      <w:r w:rsidRPr="006234AA">
        <w:rPr>
          <w:lang w:val="nl-NL"/>
        </w:rPr>
        <w:br w:type="page"/>
      </w:r>
    </w:p>
    <w:p w:rsidR="006C2B6D" w:rsidRPr="006234AA" w:rsidRDefault="009473CA" w:rsidP="003C0546">
      <w:pPr>
        <w:pStyle w:val="Heading5"/>
        <w:spacing w:after="120"/>
        <w:ind w:hanging="2912"/>
      </w:pPr>
      <w:bookmarkStart w:id="261" w:name="_Toc422672032"/>
      <w:r w:rsidRPr="006234AA">
        <w:lastRenderedPageBreak/>
        <w:t>Thông tin trên</w:t>
      </w:r>
      <w:r w:rsidR="006C2B6D" w:rsidRPr="006234AA">
        <w:t xml:space="preserve"> lệnh giao dịch</w:t>
      </w:r>
      <w:bookmarkEnd w:id="261"/>
    </w:p>
    <w:p w:rsidR="006C2B6D" w:rsidRPr="006234AA" w:rsidRDefault="006C2B6D"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6C2B6D" w:rsidRPr="006234AA" w:rsidRDefault="006C2B6D" w:rsidP="003C0546">
      <w:pPr>
        <w:spacing w:after="120"/>
        <w:ind w:firstLine="0"/>
        <w:jc w:val="center"/>
        <w:rPr>
          <w:b/>
          <w:bCs/>
          <w:iCs/>
          <w:lang w:val="nl-NL"/>
        </w:rPr>
      </w:pPr>
    </w:p>
    <w:p w:rsidR="009615E5" w:rsidRPr="006234AA" w:rsidRDefault="009615E5" w:rsidP="003C0546">
      <w:pPr>
        <w:spacing w:after="120"/>
        <w:rPr>
          <w:lang w:val="nl-NL"/>
        </w:rPr>
      </w:pPr>
      <w:r w:rsidRPr="006234AA">
        <w:rPr>
          <w:lang w:val="nl-NL"/>
        </w:rPr>
        <w:t>Lệnh giao dịch phải bao gồm tối thiểu các thông tin sau:</w:t>
      </w:r>
    </w:p>
    <w:p w:rsidR="009615E5" w:rsidRPr="006234AA" w:rsidRDefault="009615E5" w:rsidP="003C0546">
      <w:pPr>
        <w:spacing w:after="120"/>
        <w:rPr>
          <w:lang w:val="nl-NL"/>
        </w:rPr>
      </w:pPr>
    </w:p>
    <w:tbl>
      <w:tblPr>
        <w:tblStyle w:val="TableGrid"/>
        <w:tblW w:w="9312" w:type="dxa"/>
        <w:tblLook w:val="04A0"/>
      </w:tblPr>
      <w:tblGrid>
        <w:gridCol w:w="1951"/>
        <w:gridCol w:w="3002"/>
        <w:gridCol w:w="4359"/>
      </w:tblGrid>
      <w:tr w:rsidR="009615E5" w:rsidRPr="006234AA" w:rsidTr="00A15B69">
        <w:tc>
          <w:tcPr>
            <w:tcW w:w="4953" w:type="dxa"/>
            <w:gridSpan w:val="2"/>
          </w:tcPr>
          <w:p w:rsidR="009615E5" w:rsidRPr="006234AA" w:rsidRDefault="009615E5" w:rsidP="003C0546">
            <w:pPr>
              <w:spacing w:after="120"/>
              <w:ind w:firstLine="0"/>
              <w:rPr>
                <w:b/>
                <w:lang w:val="nl-NL"/>
              </w:rPr>
            </w:pPr>
            <w:r w:rsidRPr="006234AA">
              <w:rPr>
                <w:b/>
                <w:lang w:val="nl-NL"/>
              </w:rPr>
              <w:t>Thông tin</w:t>
            </w:r>
          </w:p>
        </w:tc>
        <w:tc>
          <w:tcPr>
            <w:tcW w:w="4359" w:type="dxa"/>
          </w:tcPr>
          <w:p w:rsidR="009615E5" w:rsidRPr="006234AA" w:rsidRDefault="009615E5" w:rsidP="003C0546">
            <w:pPr>
              <w:spacing w:after="120"/>
              <w:ind w:firstLine="0"/>
              <w:rPr>
                <w:b/>
                <w:lang w:val="nl-NL"/>
              </w:rPr>
            </w:pPr>
            <w:r w:rsidRPr="006234AA">
              <w:rPr>
                <w:b/>
                <w:lang w:val="nl-NL"/>
              </w:rPr>
              <w:t>Nội dung</w:t>
            </w:r>
          </w:p>
        </w:tc>
      </w:tr>
      <w:tr w:rsidR="009615E5" w:rsidRPr="006234AA" w:rsidTr="00A15B69">
        <w:tc>
          <w:tcPr>
            <w:tcW w:w="4953" w:type="dxa"/>
            <w:gridSpan w:val="2"/>
          </w:tcPr>
          <w:p w:rsidR="009615E5" w:rsidRPr="006234AA" w:rsidRDefault="009615E5" w:rsidP="003C0546">
            <w:pPr>
              <w:spacing w:after="120"/>
              <w:ind w:firstLine="0"/>
              <w:rPr>
                <w:lang w:val="nl-NL"/>
              </w:rPr>
            </w:pPr>
            <w:r w:rsidRPr="006234AA">
              <w:rPr>
                <w:lang w:val="nl-NL"/>
              </w:rPr>
              <w:t>Mã số thành viên giao dịch</w:t>
            </w:r>
          </w:p>
        </w:tc>
        <w:tc>
          <w:tcPr>
            <w:tcW w:w="4359" w:type="dxa"/>
          </w:tcPr>
          <w:p w:rsidR="009615E5" w:rsidRPr="006234AA" w:rsidRDefault="009615E5" w:rsidP="003C0546">
            <w:pPr>
              <w:spacing w:after="120"/>
              <w:ind w:firstLine="0"/>
              <w:rPr>
                <w:lang w:val="nl-NL"/>
              </w:rPr>
            </w:pPr>
            <w:r w:rsidRPr="006234AA">
              <w:rPr>
                <w:lang w:val="nl-NL"/>
              </w:rPr>
              <w:t>Mã số do Sở giao dịch chứng khoán cấp cho mỗi thành viên giao dịch</w:t>
            </w:r>
          </w:p>
        </w:tc>
      </w:tr>
      <w:tr w:rsidR="009615E5" w:rsidRPr="006234AA" w:rsidTr="00A15B69">
        <w:tc>
          <w:tcPr>
            <w:tcW w:w="4953" w:type="dxa"/>
            <w:gridSpan w:val="2"/>
          </w:tcPr>
          <w:p w:rsidR="009615E5" w:rsidRPr="006234AA" w:rsidRDefault="009615E5" w:rsidP="003C0546">
            <w:pPr>
              <w:spacing w:after="120"/>
              <w:ind w:firstLine="0"/>
              <w:rPr>
                <w:lang w:val="nl-NL"/>
              </w:rPr>
            </w:pPr>
            <w:r w:rsidRPr="006234AA">
              <w:rPr>
                <w:lang w:val="nl-NL"/>
              </w:rPr>
              <w:t>Mã số thành viên bù trừ</w:t>
            </w:r>
          </w:p>
        </w:tc>
        <w:tc>
          <w:tcPr>
            <w:tcW w:w="4359" w:type="dxa"/>
          </w:tcPr>
          <w:p w:rsidR="009615E5" w:rsidRPr="006234AA" w:rsidRDefault="009615E5" w:rsidP="003C0546">
            <w:pPr>
              <w:spacing w:after="120"/>
              <w:ind w:firstLine="0"/>
              <w:rPr>
                <w:lang w:val="nl-NL"/>
              </w:rPr>
            </w:pPr>
            <w:r w:rsidRPr="006234AA">
              <w:rPr>
                <w:lang w:val="nl-NL"/>
              </w:rPr>
              <w:t xml:space="preserve">Mã số do </w:t>
            </w:r>
            <w:r w:rsidR="00F5451B" w:rsidRPr="006234AA">
              <w:rPr>
                <w:lang w:val="nl-NL"/>
              </w:rPr>
              <w:t>Trung tâm lưu ký chứng khoán</w:t>
            </w:r>
            <w:r w:rsidRPr="006234AA">
              <w:rPr>
                <w:lang w:val="nl-NL"/>
              </w:rPr>
              <w:t xml:space="preserve"> cấp cho mỗi thành viên bù trừ</w:t>
            </w:r>
          </w:p>
        </w:tc>
      </w:tr>
      <w:tr w:rsidR="009615E5" w:rsidRPr="006234AA" w:rsidTr="00A15B69">
        <w:tc>
          <w:tcPr>
            <w:tcW w:w="4953" w:type="dxa"/>
            <w:gridSpan w:val="2"/>
          </w:tcPr>
          <w:p w:rsidR="009615E5" w:rsidRPr="006234AA" w:rsidRDefault="009615E5" w:rsidP="003C0546">
            <w:pPr>
              <w:spacing w:after="120"/>
              <w:ind w:firstLine="0"/>
              <w:rPr>
                <w:lang w:val="nl-NL"/>
              </w:rPr>
            </w:pPr>
            <w:r w:rsidRPr="006234AA">
              <w:rPr>
                <w:lang w:val="nl-NL"/>
              </w:rPr>
              <w:t>Loại lệnh giao dịch</w:t>
            </w:r>
          </w:p>
        </w:tc>
        <w:tc>
          <w:tcPr>
            <w:tcW w:w="4359" w:type="dxa"/>
          </w:tcPr>
          <w:p w:rsidR="009615E5" w:rsidRPr="006234AA" w:rsidRDefault="009615E5" w:rsidP="003C0546">
            <w:pPr>
              <w:spacing w:after="120"/>
              <w:ind w:firstLine="0"/>
              <w:rPr>
                <w:lang w:val="nl-NL"/>
              </w:rPr>
            </w:pPr>
            <w:r w:rsidRPr="006234AA">
              <w:rPr>
                <w:lang w:val="nl-NL"/>
              </w:rPr>
              <w:t>Lệnh giới hạn, lệnh thị trường...</w:t>
            </w:r>
          </w:p>
        </w:tc>
      </w:tr>
      <w:tr w:rsidR="009615E5" w:rsidRPr="006234AA" w:rsidTr="00A15B69">
        <w:tc>
          <w:tcPr>
            <w:tcW w:w="4953" w:type="dxa"/>
            <w:gridSpan w:val="2"/>
          </w:tcPr>
          <w:p w:rsidR="009615E5" w:rsidRPr="006234AA" w:rsidRDefault="009615E5" w:rsidP="003C0546">
            <w:pPr>
              <w:spacing w:after="120"/>
              <w:ind w:firstLine="0"/>
              <w:rPr>
                <w:lang w:val="nl-NL"/>
              </w:rPr>
            </w:pPr>
            <w:r w:rsidRPr="006234AA">
              <w:rPr>
                <w:lang w:val="nl-NL"/>
              </w:rPr>
              <w:t>Các điều kiện của lệnh giới hạn</w:t>
            </w:r>
          </w:p>
        </w:tc>
        <w:tc>
          <w:tcPr>
            <w:tcW w:w="4359" w:type="dxa"/>
          </w:tcPr>
          <w:p w:rsidR="009615E5" w:rsidRPr="006234AA" w:rsidRDefault="009615E5" w:rsidP="003C0546">
            <w:pPr>
              <w:spacing w:after="120"/>
              <w:ind w:firstLine="0"/>
              <w:rPr>
                <w:lang w:val="nl-NL"/>
              </w:rPr>
            </w:pPr>
            <w:r w:rsidRPr="006234AA">
              <w:rPr>
                <w:lang w:val="nl-NL"/>
              </w:rPr>
              <w:t>Ghi chi tiết (nếu có)</w:t>
            </w:r>
          </w:p>
        </w:tc>
      </w:tr>
      <w:tr w:rsidR="009615E5" w:rsidRPr="006234AA" w:rsidTr="00A15B69">
        <w:tc>
          <w:tcPr>
            <w:tcW w:w="4953" w:type="dxa"/>
            <w:gridSpan w:val="2"/>
          </w:tcPr>
          <w:p w:rsidR="009615E5" w:rsidRPr="006234AA" w:rsidRDefault="009615E5" w:rsidP="003C0546">
            <w:pPr>
              <w:spacing w:after="120"/>
              <w:ind w:firstLine="0"/>
              <w:rPr>
                <w:lang w:val="nl-NL"/>
              </w:rPr>
            </w:pPr>
            <w:r w:rsidRPr="006234AA">
              <w:rPr>
                <w:lang w:val="nl-NL"/>
              </w:rPr>
              <w:t>Phân loại lệnh</w:t>
            </w:r>
          </w:p>
        </w:tc>
        <w:tc>
          <w:tcPr>
            <w:tcW w:w="4359" w:type="dxa"/>
          </w:tcPr>
          <w:p w:rsidR="009615E5" w:rsidRPr="006234AA" w:rsidRDefault="009615E5" w:rsidP="003C0546">
            <w:pPr>
              <w:spacing w:after="120"/>
              <w:ind w:firstLine="0"/>
              <w:rPr>
                <w:lang w:val="nl-NL"/>
              </w:rPr>
            </w:pPr>
            <w:r w:rsidRPr="006234AA">
              <w:rPr>
                <w:lang w:val="nl-NL"/>
              </w:rPr>
              <w:t>Lệnh mua hoặc lệnh bán</w:t>
            </w:r>
          </w:p>
        </w:tc>
      </w:tr>
      <w:tr w:rsidR="009615E5" w:rsidRPr="006234AA" w:rsidTr="00A15B69">
        <w:tc>
          <w:tcPr>
            <w:tcW w:w="1951" w:type="dxa"/>
          </w:tcPr>
          <w:p w:rsidR="009615E5" w:rsidRPr="006234AA" w:rsidRDefault="009615E5" w:rsidP="003C0546">
            <w:pPr>
              <w:spacing w:after="120"/>
              <w:ind w:firstLine="0"/>
              <w:rPr>
                <w:lang w:val="nl-NL"/>
              </w:rPr>
            </w:pPr>
            <w:r w:rsidRPr="006234AA">
              <w:rPr>
                <w:lang w:val="nl-NL"/>
              </w:rPr>
              <w:t>Mã hợp đồng</w:t>
            </w:r>
          </w:p>
        </w:tc>
        <w:tc>
          <w:tcPr>
            <w:tcW w:w="3002" w:type="dxa"/>
          </w:tcPr>
          <w:p w:rsidR="009615E5" w:rsidRPr="006234AA" w:rsidRDefault="009615E5" w:rsidP="003C0546">
            <w:pPr>
              <w:spacing w:after="120"/>
              <w:ind w:firstLine="0"/>
              <w:rPr>
                <w:lang w:val="nl-NL"/>
              </w:rPr>
            </w:pPr>
            <w:r w:rsidRPr="006234AA">
              <w:rPr>
                <w:lang w:val="nl-NL"/>
              </w:rPr>
              <w:t>Loại chứng khoán phái sinh</w:t>
            </w:r>
          </w:p>
        </w:tc>
        <w:tc>
          <w:tcPr>
            <w:tcW w:w="4359" w:type="dxa"/>
          </w:tcPr>
          <w:p w:rsidR="009615E5" w:rsidRPr="006234AA" w:rsidRDefault="009615E5" w:rsidP="003C0546">
            <w:pPr>
              <w:spacing w:after="120"/>
              <w:ind w:firstLine="0"/>
              <w:rPr>
                <w:i/>
                <w:lang w:val="nl-NL"/>
              </w:rPr>
            </w:pPr>
            <w:r w:rsidRPr="006234AA">
              <w:rPr>
                <w:lang w:val="nl-NL"/>
              </w:rPr>
              <w:t xml:space="preserve">Giao dịch hợp đồng tương lai </w:t>
            </w:r>
            <w:r w:rsidRPr="006234AA">
              <w:rPr>
                <w:i/>
                <w:lang w:val="nl-NL"/>
              </w:rPr>
              <w:t xml:space="preserve">(có thể mở rộng khi có loại khác) </w:t>
            </w:r>
          </w:p>
        </w:tc>
      </w:tr>
      <w:tr w:rsidR="009615E5" w:rsidRPr="006234AA" w:rsidTr="00A15B69">
        <w:tc>
          <w:tcPr>
            <w:tcW w:w="1951" w:type="dxa"/>
          </w:tcPr>
          <w:p w:rsidR="009615E5" w:rsidRPr="006234AA" w:rsidRDefault="009615E5" w:rsidP="003C0546">
            <w:pPr>
              <w:spacing w:after="120"/>
              <w:ind w:firstLine="0"/>
              <w:rPr>
                <w:lang w:val="nl-NL"/>
              </w:rPr>
            </w:pPr>
          </w:p>
        </w:tc>
        <w:tc>
          <w:tcPr>
            <w:tcW w:w="3002" w:type="dxa"/>
          </w:tcPr>
          <w:p w:rsidR="009615E5" w:rsidRPr="006234AA" w:rsidRDefault="009615E5" w:rsidP="003C0546">
            <w:pPr>
              <w:spacing w:after="120"/>
              <w:ind w:firstLine="0"/>
              <w:rPr>
                <w:lang w:val="nl-NL"/>
              </w:rPr>
            </w:pPr>
            <w:r w:rsidRPr="006234AA">
              <w:rPr>
                <w:lang w:val="nl-NL"/>
              </w:rPr>
              <w:t>Loại tài sản cơ sở</w:t>
            </w:r>
          </w:p>
        </w:tc>
        <w:tc>
          <w:tcPr>
            <w:tcW w:w="4359" w:type="dxa"/>
          </w:tcPr>
          <w:p w:rsidR="009615E5" w:rsidRPr="006234AA" w:rsidRDefault="009615E5" w:rsidP="003C0546">
            <w:pPr>
              <w:spacing w:after="120"/>
              <w:ind w:firstLine="0"/>
              <w:rPr>
                <w:lang w:val="nl-NL"/>
              </w:rPr>
            </w:pPr>
            <w:r w:rsidRPr="006234AA">
              <w:rPr>
                <w:lang w:val="nl-NL"/>
              </w:rPr>
              <w:t>Chỉ số cơ sở, Trái phiếu cơ sở...</w:t>
            </w:r>
          </w:p>
        </w:tc>
      </w:tr>
      <w:tr w:rsidR="009615E5" w:rsidRPr="006234AA" w:rsidTr="00A15B69">
        <w:tc>
          <w:tcPr>
            <w:tcW w:w="1951" w:type="dxa"/>
          </w:tcPr>
          <w:p w:rsidR="009615E5" w:rsidRPr="006234AA" w:rsidRDefault="009615E5" w:rsidP="003C0546">
            <w:pPr>
              <w:spacing w:after="120"/>
              <w:ind w:firstLine="0"/>
              <w:rPr>
                <w:lang w:val="nl-NL"/>
              </w:rPr>
            </w:pPr>
          </w:p>
        </w:tc>
        <w:tc>
          <w:tcPr>
            <w:tcW w:w="3002" w:type="dxa"/>
          </w:tcPr>
          <w:p w:rsidR="009615E5" w:rsidRPr="006234AA" w:rsidRDefault="009615E5" w:rsidP="003C0546">
            <w:pPr>
              <w:spacing w:after="120"/>
              <w:ind w:firstLine="0"/>
              <w:rPr>
                <w:lang w:val="nl-NL"/>
              </w:rPr>
            </w:pPr>
            <w:r w:rsidRPr="006234AA">
              <w:rPr>
                <w:lang w:val="nl-NL"/>
              </w:rPr>
              <w:t>Ngày giao dịch cuối cùng</w:t>
            </w:r>
          </w:p>
        </w:tc>
        <w:tc>
          <w:tcPr>
            <w:tcW w:w="4359" w:type="dxa"/>
          </w:tcPr>
          <w:p w:rsidR="009615E5" w:rsidRPr="006234AA" w:rsidRDefault="009615E5" w:rsidP="003C0546">
            <w:pPr>
              <w:spacing w:after="120"/>
              <w:ind w:firstLine="0"/>
              <w:rPr>
                <w:lang w:val="nl-NL"/>
              </w:rPr>
            </w:pPr>
            <w:r w:rsidRPr="006234AA">
              <w:rPr>
                <w:lang w:val="nl-NL"/>
              </w:rPr>
              <w:t>Ghi ngày cụ thể</w:t>
            </w:r>
          </w:p>
        </w:tc>
      </w:tr>
      <w:tr w:rsidR="009615E5" w:rsidRPr="006234AA" w:rsidTr="00A15B69">
        <w:tc>
          <w:tcPr>
            <w:tcW w:w="4953" w:type="dxa"/>
            <w:gridSpan w:val="2"/>
          </w:tcPr>
          <w:p w:rsidR="009615E5" w:rsidRPr="006234AA" w:rsidRDefault="009615E5" w:rsidP="003C0546">
            <w:pPr>
              <w:spacing w:after="120"/>
              <w:ind w:firstLine="0"/>
              <w:rPr>
                <w:lang w:val="nl-NL"/>
              </w:rPr>
            </w:pPr>
            <w:r w:rsidRPr="006234AA">
              <w:rPr>
                <w:lang w:val="nl-NL"/>
              </w:rPr>
              <w:t>Số lượng</w:t>
            </w:r>
          </w:p>
        </w:tc>
        <w:tc>
          <w:tcPr>
            <w:tcW w:w="4359" w:type="dxa"/>
          </w:tcPr>
          <w:p w:rsidR="009615E5" w:rsidRPr="006234AA" w:rsidRDefault="009615E5" w:rsidP="003C0546">
            <w:pPr>
              <w:spacing w:after="120"/>
              <w:ind w:firstLine="0"/>
              <w:rPr>
                <w:lang w:val="nl-NL"/>
              </w:rPr>
            </w:pPr>
            <w:r w:rsidRPr="006234AA">
              <w:rPr>
                <w:lang w:val="nl-NL"/>
              </w:rPr>
              <w:t>Số hợp đồng dự kiến giao dịch</w:t>
            </w:r>
          </w:p>
        </w:tc>
      </w:tr>
      <w:tr w:rsidR="009615E5" w:rsidRPr="006234AA" w:rsidTr="00A15B69">
        <w:tc>
          <w:tcPr>
            <w:tcW w:w="4953" w:type="dxa"/>
            <w:gridSpan w:val="2"/>
          </w:tcPr>
          <w:p w:rsidR="009615E5" w:rsidRPr="006234AA" w:rsidRDefault="009615E5" w:rsidP="003C0546">
            <w:pPr>
              <w:tabs>
                <w:tab w:val="left" w:pos="1485"/>
              </w:tabs>
              <w:spacing w:after="120"/>
              <w:ind w:firstLine="0"/>
              <w:rPr>
                <w:lang w:val="nl-NL"/>
              </w:rPr>
            </w:pPr>
            <w:r w:rsidRPr="006234AA">
              <w:rPr>
                <w:lang w:val="nl-NL"/>
              </w:rPr>
              <w:t>Giá</w:t>
            </w:r>
          </w:p>
        </w:tc>
        <w:tc>
          <w:tcPr>
            <w:tcW w:w="4359" w:type="dxa"/>
          </w:tcPr>
          <w:p w:rsidR="009615E5" w:rsidRPr="006234AA" w:rsidRDefault="009615E5" w:rsidP="003C0546">
            <w:pPr>
              <w:spacing w:after="120"/>
              <w:ind w:firstLine="0"/>
              <w:rPr>
                <w:lang w:val="nl-NL"/>
              </w:rPr>
            </w:pPr>
            <w:r w:rsidRPr="006234AA">
              <w:rPr>
                <w:lang w:val="nl-NL"/>
              </w:rPr>
              <w:t>Giá giao dịch của lệnh</w:t>
            </w:r>
          </w:p>
        </w:tc>
      </w:tr>
      <w:tr w:rsidR="009615E5" w:rsidRPr="006234AA" w:rsidTr="00A15B69">
        <w:tc>
          <w:tcPr>
            <w:tcW w:w="1951" w:type="dxa"/>
          </w:tcPr>
          <w:p w:rsidR="009615E5" w:rsidRPr="006234AA" w:rsidRDefault="009615E5" w:rsidP="003C0546">
            <w:pPr>
              <w:spacing w:after="120"/>
              <w:ind w:firstLine="0"/>
              <w:rPr>
                <w:lang w:val="nl-NL"/>
              </w:rPr>
            </w:pPr>
            <w:r w:rsidRPr="006234AA">
              <w:rPr>
                <w:lang w:val="nl-NL"/>
              </w:rPr>
              <w:t xml:space="preserve">Cơ chế giao dịch </w:t>
            </w:r>
          </w:p>
        </w:tc>
        <w:tc>
          <w:tcPr>
            <w:tcW w:w="3002" w:type="dxa"/>
          </w:tcPr>
          <w:p w:rsidR="009615E5" w:rsidRPr="006234AA" w:rsidRDefault="009615E5" w:rsidP="003C0546">
            <w:pPr>
              <w:spacing w:after="120"/>
              <w:ind w:firstLine="0"/>
              <w:rPr>
                <w:lang w:val="nl-NL"/>
              </w:rPr>
            </w:pPr>
            <w:r w:rsidRPr="006234AA">
              <w:rPr>
                <w:lang w:val="nl-NL"/>
              </w:rPr>
              <w:t>Giao dịch ủy thác</w:t>
            </w:r>
          </w:p>
        </w:tc>
        <w:tc>
          <w:tcPr>
            <w:tcW w:w="4359" w:type="dxa"/>
          </w:tcPr>
          <w:p w:rsidR="009615E5" w:rsidRPr="006234AA" w:rsidRDefault="009615E5" w:rsidP="003C0546">
            <w:pPr>
              <w:spacing w:after="120"/>
              <w:ind w:firstLine="0"/>
              <w:rPr>
                <w:lang w:val="nl-NL"/>
              </w:rPr>
            </w:pPr>
            <w:r w:rsidRPr="006234AA">
              <w:rPr>
                <w:lang w:val="nl-NL"/>
              </w:rPr>
              <w:t>Giao dịch ủy thác, môi giới cho giao dịch ủy thác</w:t>
            </w:r>
          </w:p>
        </w:tc>
      </w:tr>
      <w:tr w:rsidR="009615E5" w:rsidRPr="006234AA" w:rsidTr="00A15B69">
        <w:tc>
          <w:tcPr>
            <w:tcW w:w="1951" w:type="dxa"/>
          </w:tcPr>
          <w:p w:rsidR="009615E5" w:rsidRPr="006234AA" w:rsidRDefault="009615E5" w:rsidP="003C0546">
            <w:pPr>
              <w:spacing w:after="120"/>
              <w:ind w:firstLine="0"/>
              <w:rPr>
                <w:lang w:val="nl-NL"/>
              </w:rPr>
            </w:pPr>
          </w:p>
        </w:tc>
        <w:tc>
          <w:tcPr>
            <w:tcW w:w="3002" w:type="dxa"/>
          </w:tcPr>
          <w:p w:rsidR="009615E5" w:rsidRPr="006234AA" w:rsidRDefault="009615E5" w:rsidP="003C0546">
            <w:pPr>
              <w:spacing w:after="120"/>
              <w:ind w:firstLine="0"/>
              <w:rPr>
                <w:lang w:val="nl-NL"/>
              </w:rPr>
            </w:pPr>
            <w:r w:rsidRPr="006234AA">
              <w:rPr>
                <w:lang w:val="nl-NL"/>
              </w:rPr>
              <w:t>Giao dịch tự doanh</w:t>
            </w:r>
          </w:p>
        </w:tc>
        <w:tc>
          <w:tcPr>
            <w:tcW w:w="4359" w:type="dxa"/>
          </w:tcPr>
          <w:p w:rsidR="009615E5" w:rsidRPr="006234AA" w:rsidRDefault="009615E5" w:rsidP="003C0546">
            <w:pPr>
              <w:spacing w:after="120"/>
              <w:ind w:firstLine="0"/>
              <w:rPr>
                <w:lang w:val="nl-NL"/>
              </w:rPr>
            </w:pPr>
            <w:r w:rsidRPr="006234AA">
              <w:rPr>
                <w:lang w:val="nl-NL"/>
              </w:rPr>
              <w:t>Giao dịch tự doanh của thành viên giao dịch/bù trừ, giao dịch tự doanh của công ty không phải là thành viên giao dịch/bù trừ</w:t>
            </w:r>
          </w:p>
        </w:tc>
      </w:tr>
      <w:tr w:rsidR="009615E5" w:rsidRPr="006234AA" w:rsidTr="00A15B69">
        <w:tc>
          <w:tcPr>
            <w:tcW w:w="1951" w:type="dxa"/>
          </w:tcPr>
          <w:p w:rsidR="009615E5" w:rsidRPr="006234AA" w:rsidRDefault="009615E5" w:rsidP="003C0546">
            <w:pPr>
              <w:spacing w:after="120"/>
              <w:ind w:firstLine="0"/>
              <w:rPr>
                <w:lang w:val="nl-NL"/>
              </w:rPr>
            </w:pPr>
            <w:r w:rsidRPr="006234AA">
              <w:rPr>
                <w:lang w:val="nl-NL"/>
              </w:rPr>
              <w:t>Phân loại nhà đầu tư</w:t>
            </w:r>
          </w:p>
        </w:tc>
        <w:tc>
          <w:tcPr>
            <w:tcW w:w="3002" w:type="dxa"/>
          </w:tcPr>
          <w:p w:rsidR="009615E5" w:rsidRPr="006234AA" w:rsidRDefault="009615E5" w:rsidP="003C0546">
            <w:pPr>
              <w:spacing w:after="120"/>
              <w:ind w:firstLine="0"/>
              <w:rPr>
                <w:lang w:val="nl-NL"/>
              </w:rPr>
            </w:pPr>
            <w:r w:rsidRPr="006234AA">
              <w:rPr>
                <w:lang w:val="nl-NL"/>
              </w:rPr>
              <w:t>Quốc tịch</w:t>
            </w:r>
          </w:p>
        </w:tc>
        <w:tc>
          <w:tcPr>
            <w:tcW w:w="4359" w:type="dxa"/>
          </w:tcPr>
          <w:p w:rsidR="009615E5" w:rsidRPr="006234AA" w:rsidRDefault="009615E5" w:rsidP="003C0546">
            <w:pPr>
              <w:spacing w:after="120"/>
              <w:ind w:firstLine="0"/>
              <w:rPr>
                <w:lang w:val="nl-NL"/>
              </w:rPr>
            </w:pPr>
            <w:r w:rsidRPr="006234AA">
              <w:rPr>
                <w:lang w:val="nl-NL"/>
              </w:rPr>
              <w:t>Mã quốc gia</w:t>
            </w:r>
          </w:p>
        </w:tc>
      </w:tr>
      <w:tr w:rsidR="009615E5" w:rsidRPr="006234AA" w:rsidTr="00A15B69">
        <w:tc>
          <w:tcPr>
            <w:tcW w:w="1951" w:type="dxa"/>
          </w:tcPr>
          <w:p w:rsidR="009615E5" w:rsidRPr="006234AA" w:rsidRDefault="009615E5" w:rsidP="003C0546">
            <w:pPr>
              <w:spacing w:after="120"/>
              <w:ind w:firstLine="0"/>
              <w:rPr>
                <w:lang w:val="nl-NL"/>
              </w:rPr>
            </w:pPr>
          </w:p>
        </w:tc>
        <w:tc>
          <w:tcPr>
            <w:tcW w:w="3002" w:type="dxa"/>
          </w:tcPr>
          <w:p w:rsidR="009615E5" w:rsidRPr="006234AA" w:rsidRDefault="009615E5" w:rsidP="003C0546">
            <w:pPr>
              <w:spacing w:after="120"/>
              <w:ind w:firstLine="0"/>
              <w:rPr>
                <w:lang w:val="nl-NL"/>
              </w:rPr>
            </w:pPr>
            <w:r w:rsidRPr="006234AA">
              <w:rPr>
                <w:lang w:val="nl-NL"/>
              </w:rPr>
              <w:t xml:space="preserve">Phân loại theo hình thức </w:t>
            </w:r>
            <w:r w:rsidRPr="006234AA">
              <w:rPr>
                <w:lang w:val="nl-NL"/>
              </w:rPr>
              <w:lastRenderedPageBreak/>
              <w:t>tổ chức</w:t>
            </w:r>
          </w:p>
        </w:tc>
        <w:tc>
          <w:tcPr>
            <w:tcW w:w="4359" w:type="dxa"/>
          </w:tcPr>
          <w:p w:rsidR="009615E5" w:rsidRPr="006234AA" w:rsidRDefault="009615E5" w:rsidP="003C0546">
            <w:pPr>
              <w:spacing w:after="120"/>
              <w:ind w:firstLine="0"/>
              <w:rPr>
                <w:lang w:val="nl-NL"/>
              </w:rPr>
            </w:pPr>
            <w:r w:rsidRPr="006234AA">
              <w:rPr>
                <w:lang w:val="nl-NL"/>
              </w:rPr>
              <w:lastRenderedPageBreak/>
              <w:t xml:space="preserve">Quỹ đầu tư, quỹ hưu trí tự nguyện, </w:t>
            </w:r>
            <w:r w:rsidRPr="006234AA">
              <w:rPr>
                <w:lang w:val="nl-NL"/>
              </w:rPr>
              <w:lastRenderedPageBreak/>
              <w:t>quỹ hưu trí bổ sung, doanh nghiệp bảo hiểm, ngân hàng thương mại, công ty đầu tư tài chính, công ty chứng khoán, công ty quản lý quỹ, doanh nghiệp nhà nước, tổ chức tư nhân nước ngoài, tổ chức chính phủ nước ngoài, tổ chức/cá nhân khác</w:t>
            </w:r>
          </w:p>
        </w:tc>
      </w:tr>
      <w:tr w:rsidR="009615E5" w:rsidRPr="006234AA" w:rsidTr="00A15B69">
        <w:tc>
          <w:tcPr>
            <w:tcW w:w="1951" w:type="dxa"/>
          </w:tcPr>
          <w:p w:rsidR="009615E5" w:rsidRPr="006234AA" w:rsidRDefault="009615E5" w:rsidP="003C0546">
            <w:pPr>
              <w:spacing w:after="120"/>
              <w:ind w:firstLine="0"/>
              <w:rPr>
                <w:lang w:val="nl-NL"/>
              </w:rPr>
            </w:pPr>
          </w:p>
        </w:tc>
        <w:tc>
          <w:tcPr>
            <w:tcW w:w="3002" w:type="dxa"/>
          </w:tcPr>
          <w:p w:rsidR="009615E5" w:rsidRPr="006234AA" w:rsidRDefault="009615E5" w:rsidP="003C0546">
            <w:pPr>
              <w:spacing w:after="120"/>
              <w:ind w:firstLine="0"/>
              <w:rPr>
                <w:lang w:val="nl-NL"/>
              </w:rPr>
            </w:pPr>
            <w:r w:rsidRPr="006234AA">
              <w:rPr>
                <w:lang w:val="nl-NL"/>
              </w:rPr>
              <w:t>Phân loại theo nơi cư trú</w:t>
            </w:r>
          </w:p>
        </w:tc>
        <w:tc>
          <w:tcPr>
            <w:tcW w:w="4359" w:type="dxa"/>
          </w:tcPr>
          <w:p w:rsidR="009615E5" w:rsidRPr="006234AA" w:rsidRDefault="009615E5" w:rsidP="003C0546">
            <w:pPr>
              <w:spacing w:after="120"/>
              <w:ind w:firstLine="0"/>
              <w:rPr>
                <w:lang w:val="nl-NL"/>
              </w:rPr>
            </w:pPr>
            <w:r w:rsidRPr="006234AA">
              <w:rPr>
                <w:lang w:val="nl-NL"/>
              </w:rPr>
              <w:t xml:space="preserve">Người Việt Nam, người nước ngoài cư trú tại Việt Nam, người nước ngoài không cư trú tại Việt Nam </w:t>
            </w:r>
          </w:p>
        </w:tc>
      </w:tr>
      <w:tr w:rsidR="009615E5" w:rsidRPr="006234AA" w:rsidTr="00A15B69">
        <w:tc>
          <w:tcPr>
            <w:tcW w:w="1951" w:type="dxa"/>
          </w:tcPr>
          <w:p w:rsidR="009615E5" w:rsidRPr="006234AA" w:rsidRDefault="009615E5" w:rsidP="003C0546">
            <w:pPr>
              <w:spacing w:after="120"/>
              <w:ind w:firstLine="0"/>
              <w:rPr>
                <w:lang w:val="nl-NL"/>
              </w:rPr>
            </w:pPr>
            <w:r w:rsidRPr="006234AA">
              <w:rPr>
                <w:lang w:val="nl-NL"/>
              </w:rPr>
              <w:t>Mã tài khoản nhà đầu tư</w:t>
            </w:r>
          </w:p>
        </w:tc>
        <w:tc>
          <w:tcPr>
            <w:tcW w:w="3002" w:type="dxa"/>
          </w:tcPr>
          <w:p w:rsidR="009615E5" w:rsidRPr="006234AA" w:rsidRDefault="009615E5" w:rsidP="003C0546">
            <w:pPr>
              <w:spacing w:after="120"/>
              <w:ind w:firstLine="0"/>
              <w:rPr>
                <w:lang w:val="nl-NL"/>
              </w:rPr>
            </w:pPr>
            <w:r w:rsidRPr="006234AA">
              <w:rPr>
                <w:lang w:val="nl-NL"/>
              </w:rPr>
              <w:t>Mã số trụ sở kinh doanh của thành viên giao dịch</w:t>
            </w:r>
          </w:p>
        </w:tc>
        <w:tc>
          <w:tcPr>
            <w:tcW w:w="4359" w:type="dxa"/>
          </w:tcPr>
          <w:p w:rsidR="009615E5" w:rsidRPr="006234AA" w:rsidRDefault="009615E5" w:rsidP="003C0546">
            <w:pPr>
              <w:spacing w:after="120"/>
              <w:ind w:firstLine="0"/>
              <w:rPr>
                <w:lang w:val="nl-NL"/>
              </w:rPr>
            </w:pPr>
            <w:r w:rsidRPr="006234AA">
              <w:rPr>
                <w:lang w:val="nl-NL"/>
              </w:rPr>
              <w:t>Mã số nhà đầu tư do thành viên giao dịch cấp</w:t>
            </w:r>
          </w:p>
        </w:tc>
      </w:tr>
      <w:tr w:rsidR="009615E5" w:rsidRPr="006234AA" w:rsidTr="00A15B69">
        <w:tc>
          <w:tcPr>
            <w:tcW w:w="1951" w:type="dxa"/>
          </w:tcPr>
          <w:p w:rsidR="009615E5" w:rsidRPr="006234AA" w:rsidRDefault="009615E5" w:rsidP="003C0546">
            <w:pPr>
              <w:spacing w:after="120"/>
              <w:ind w:firstLine="0"/>
              <w:rPr>
                <w:lang w:val="nl-NL"/>
              </w:rPr>
            </w:pPr>
          </w:p>
        </w:tc>
        <w:tc>
          <w:tcPr>
            <w:tcW w:w="3002" w:type="dxa"/>
          </w:tcPr>
          <w:p w:rsidR="009615E5" w:rsidRPr="006234AA" w:rsidRDefault="009615E5" w:rsidP="003C0546">
            <w:pPr>
              <w:spacing w:after="120"/>
              <w:ind w:firstLine="0"/>
              <w:rPr>
                <w:lang w:val="nl-NL"/>
              </w:rPr>
            </w:pPr>
            <w:r w:rsidRPr="006234AA">
              <w:rPr>
                <w:lang w:val="nl-NL"/>
              </w:rPr>
              <w:t>Mã tài khoản của nhà đầu tư</w:t>
            </w:r>
          </w:p>
        </w:tc>
        <w:tc>
          <w:tcPr>
            <w:tcW w:w="4359" w:type="dxa"/>
          </w:tcPr>
          <w:p w:rsidR="009615E5" w:rsidRPr="006234AA" w:rsidRDefault="009615E5" w:rsidP="003C0546">
            <w:pPr>
              <w:spacing w:after="120"/>
              <w:ind w:firstLine="0"/>
              <w:rPr>
                <w:lang w:val="nl-NL"/>
              </w:rPr>
            </w:pPr>
            <w:r w:rsidRPr="006234AA">
              <w:rPr>
                <w:lang w:val="nl-NL"/>
              </w:rPr>
              <w:t>Do thành viên giao dịch cấp cho nhà đầu tư</w:t>
            </w:r>
          </w:p>
        </w:tc>
      </w:tr>
      <w:tr w:rsidR="009615E5" w:rsidRPr="006234AA" w:rsidTr="00A15B69">
        <w:tc>
          <w:tcPr>
            <w:tcW w:w="4953" w:type="dxa"/>
            <w:gridSpan w:val="2"/>
          </w:tcPr>
          <w:p w:rsidR="009615E5" w:rsidRPr="006234AA" w:rsidRDefault="009615E5" w:rsidP="003C0546">
            <w:pPr>
              <w:spacing w:after="120"/>
              <w:ind w:firstLine="0"/>
              <w:rPr>
                <w:lang w:val="nl-NL"/>
              </w:rPr>
            </w:pPr>
            <w:r w:rsidRPr="006234AA">
              <w:rPr>
                <w:lang w:val="nl-NL"/>
              </w:rPr>
              <w:t>Các mã tài khoản chứng khoán thay thế</w:t>
            </w:r>
          </w:p>
        </w:tc>
        <w:tc>
          <w:tcPr>
            <w:tcW w:w="4359" w:type="dxa"/>
          </w:tcPr>
          <w:p w:rsidR="009615E5" w:rsidRPr="006234AA" w:rsidRDefault="009615E5" w:rsidP="003C0546">
            <w:pPr>
              <w:spacing w:after="120"/>
              <w:ind w:firstLine="0"/>
              <w:rPr>
                <w:lang w:val="nl-NL"/>
              </w:rPr>
            </w:pPr>
            <w:r w:rsidRPr="006234AA">
              <w:rPr>
                <w:lang w:val="nl-NL"/>
              </w:rPr>
              <w:t>Do thành viên bù trừ cấp</w:t>
            </w:r>
          </w:p>
        </w:tc>
      </w:tr>
      <w:tr w:rsidR="009615E5" w:rsidRPr="006234AA" w:rsidTr="00A15B69">
        <w:tc>
          <w:tcPr>
            <w:tcW w:w="1951" w:type="dxa"/>
          </w:tcPr>
          <w:p w:rsidR="009615E5" w:rsidRPr="006234AA" w:rsidRDefault="009615E5" w:rsidP="003C0546">
            <w:pPr>
              <w:spacing w:after="120"/>
              <w:ind w:firstLine="0"/>
              <w:rPr>
                <w:lang w:val="nl-NL"/>
              </w:rPr>
            </w:pPr>
            <w:r w:rsidRPr="006234AA">
              <w:rPr>
                <w:lang w:val="nl-NL"/>
              </w:rPr>
              <w:t>Phân loại tài khoản</w:t>
            </w:r>
          </w:p>
        </w:tc>
        <w:tc>
          <w:tcPr>
            <w:tcW w:w="3002" w:type="dxa"/>
          </w:tcPr>
          <w:p w:rsidR="009615E5" w:rsidRPr="006234AA" w:rsidRDefault="009615E5" w:rsidP="003C0546">
            <w:pPr>
              <w:spacing w:after="120"/>
              <w:ind w:firstLine="0"/>
              <w:rPr>
                <w:lang w:val="nl-NL"/>
              </w:rPr>
            </w:pPr>
            <w:r w:rsidRPr="006234AA">
              <w:rPr>
                <w:lang w:val="nl-NL"/>
              </w:rPr>
              <w:t>Loại tài khoản</w:t>
            </w:r>
          </w:p>
        </w:tc>
        <w:tc>
          <w:tcPr>
            <w:tcW w:w="4359" w:type="dxa"/>
          </w:tcPr>
          <w:p w:rsidR="009615E5" w:rsidRPr="006234AA" w:rsidRDefault="009615E5" w:rsidP="003C0546">
            <w:pPr>
              <w:spacing w:after="120"/>
              <w:ind w:firstLine="0"/>
              <w:rPr>
                <w:lang w:val="nl-NL"/>
              </w:rPr>
            </w:pPr>
            <w:r w:rsidRPr="006234AA">
              <w:rPr>
                <w:lang w:val="nl-NL"/>
              </w:rPr>
              <w:t xml:space="preserve">Tài khoản khách hàng, tài khoản tự doanh, tài khoản tạo lập thị trường, tài khoản phòng ngừa rủi ro/hạn chế chênh lệch giá </w:t>
            </w:r>
          </w:p>
        </w:tc>
      </w:tr>
      <w:tr w:rsidR="009615E5" w:rsidRPr="006234AA" w:rsidTr="00A15B69">
        <w:tc>
          <w:tcPr>
            <w:tcW w:w="1951" w:type="dxa"/>
          </w:tcPr>
          <w:p w:rsidR="009615E5" w:rsidRPr="006234AA" w:rsidRDefault="009615E5" w:rsidP="003C0546">
            <w:pPr>
              <w:spacing w:after="120"/>
              <w:ind w:firstLine="0"/>
              <w:rPr>
                <w:lang w:val="nl-NL"/>
              </w:rPr>
            </w:pPr>
          </w:p>
        </w:tc>
        <w:tc>
          <w:tcPr>
            <w:tcW w:w="3002" w:type="dxa"/>
          </w:tcPr>
          <w:p w:rsidR="009615E5" w:rsidRPr="006234AA" w:rsidRDefault="009615E5" w:rsidP="003C0546">
            <w:pPr>
              <w:spacing w:after="120"/>
              <w:ind w:firstLine="0"/>
              <w:rPr>
                <w:lang w:val="nl-NL"/>
              </w:rPr>
            </w:pPr>
            <w:r w:rsidRPr="006234AA">
              <w:rPr>
                <w:lang w:val="nl-NL"/>
              </w:rPr>
              <w:t>Loại ký quỹ</w:t>
            </w:r>
          </w:p>
        </w:tc>
        <w:tc>
          <w:tcPr>
            <w:tcW w:w="4359" w:type="dxa"/>
          </w:tcPr>
          <w:p w:rsidR="009615E5" w:rsidRPr="006234AA" w:rsidRDefault="009615E5" w:rsidP="003C0546">
            <w:pPr>
              <w:spacing w:after="120"/>
              <w:ind w:firstLine="0"/>
              <w:rPr>
                <w:lang w:val="nl-NL"/>
              </w:rPr>
            </w:pPr>
            <w:r w:rsidRPr="006234AA">
              <w:rPr>
                <w:lang w:val="nl-NL"/>
              </w:rPr>
              <w:t>Ký quỹ thông thường/ký quỹ được giảm trừ</w:t>
            </w:r>
          </w:p>
        </w:tc>
      </w:tr>
      <w:tr w:rsidR="009615E5" w:rsidRPr="006234AA" w:rsidTr="00A15B69">
        <w:tc>
          <w:tcPr>
            <w:tcW w:w="1951" w:type="dxa"/>
          </w:tcPr>
          <w:p w:rsidR="009615E5" w:rsidRPr="006234AA" w:rsidRDefault="009615E5" w:rsidP="003C0546">
            <w:pPr>
              <w:spacing w:after="120"/>
              <w:ind w:firstLine="0"/>
              <w:rPr>
                <w:lang w:val="nl-NL"/>
              </w:rPr>
            </w:pPr>
          </w:p>
        </w:tc>
        <w:tc>
          <w:tcPr>
            <w:tcW w:w="3002" w:type="dxa"/>
          </w:tcPr>
          <w:p w:rsidR="009615E5" w:rsidRPr="006234AA" w:rsidRDefault="009615E5" w:rsidP="003C0546">
            <w:pPr>
              <w:spacing w:after="120"/>
              <w:ind w:firstLine="0"/>
              <w:rPr>
                <w:lang w:val="nl-NL"/>
              </w:rPr>
            </w:pPr>
            <w:r w:rsidRPr="006234AA">
              <w:rPr>
                <w:lang w:val="nl-NL"/>
              </w:rPr>
              <w:t>Phân loại giao dịch</w:t>
            </w:r>
          </w:p>
        </w:tc>
        <w:tc>
          <w:tcPr>
            <w:tcW w:w="4359" w:type="dxa"/>
          </w:tcPr>
          <w:p w:rsidR="009615E5" w:rsidRPr="006234AA" w:rsidRDefault="009615E5" w:rsidP="003C0546">
            <w:pPr>
              <w:spacing w:after="120"/>
              <w:ind w:firstLine="0"/>
              <w:rPr>
                <w:lang w:val="nl-NL"/>
              </w:rPr>
            </w:pPr>
            <w:r w:rsidRPr="006234AA">
              <w:rPr>
                <w:lang w:val="nl-NL"/>
              </w:rPr>
              <w:t>Giao dịch thông thường/giao dịch hạn chế chênh lệch giá/giao dịch phòng ngừa rủi ro/giao dịch bù trừ</w:t>
            </w:r>
          </w:p>
        </w:tc>
      </w:tr>
      <w:tr w:rsidR="009615E5" w:rsidRPr="006234AA" w:rsidTr="00A15B69">
        <w:tc>
          <w:tcPr>
            <w:tcW w:w="4953" w:type="dxa"/>
            <w:gridSpan w:val="2"/>
          </w:tcPr>
          <w:p w:rsidR="009615E5" w:rsidRPr="006234AA" w:rsidRDefault="009615E5" w:rsidP="003C0546">
            <w:pPr>
              <w:spacing w:after="120"/>
              <w:ind w:firstLine="0"/>
              <w:rPr>
                <w:lang w:val="nl-NL"/>
              </w:rPr>
            </w:pPr>
            <w:r w:rsidRPr="006234AA">
              <w:rPr>
                <w:lang w:val="nl-NL"/>
              </w:rPr>
              <w:t>Phương pháp nhận lệnh từ khách hàng</w:t>
            </w:r>
          </w:p>
        </w:tc>
        <w:tc>
          <w:tcPr>
            <w:tcW w:w="4359" w:type="dxa"/>
          </w:tcPr>
          <w:p w:rsidR="009615E5" w:rsidRPr="006234AA" w:rsidRDefault="009615E5" w:rsidP="003C0546">
            <w:pPr>
              <w:spacing w:after="120"/>
              <w:ind w:firstLine="0"/>
            </w:pPr>
            <w:r w:rsidRPr="006234AA">
              <w:t>a) Nhận lệnh trực tiếp;</w:t>
            </w:r>
          </w:p>
          <w:p w:rsidR="009615E5" w:rsidRPr="006234AA" w:rsidRDefault="009615E5" w:rsidP="003C0546">
            <w:pPr>
              <w:spacing w:after="120"/>
              <w:ind w:firstLine="0"/>
            </w:pPr>
            <w:r w:rsidRPr="006234AA">
              <w:t xml:space="preserve">b) Nhận lệnh từ xa (qua điện thoại/thiết bị nhập lệnh tại địa điểm kinh doanh của thành viên/khách hàng nhập lệnh vào hệ thống phái sinh của thành viên thông qua thiết bị truyền thông có dây </w:t>
            </w:r>
            <w:r w:rsidRPr="006234AA">
              <w:rPr>
                <w:i/>
              </w:rPr>
              <w:t>(wire comm. device)</w:t>
            </w:r>
            <w:r w:rsidRPr="006234AA">
              <w:t xml:space="preserve"> hoặc thiết bị truyền thông không dây </w:t>
            </w:r>
            <w:r w:rsidRPr="006234AA">
              <w:rPr>
                <w:i/>
              </w:rPr>
              <w:t>(wireless comm. device)</w:t>
            </w:r>
            <w:r w:rsidRPr="006234AA">
              <w:t>, khách hàng nhập lệnh qua hệ thống máy tính, và các phương pháp khác).</w:t>
            </w:r>
          </w:p>
        </w:tc>
      </w:tr>
    </w:tbl>
    <w:p w:rsidR="006C2B6D" w:rsidRPr="006234AA" w:rsidRDefault="006C2B6D" w:rsidP="003C0546">
      <w:pPr>
        <w:spacing w:after="120"/>
        <w:ind w:firstLine="0"/>
        <w:rPr>
          <w:lang w:val="nl-NL"/>
        </w:rPr>
      </w:pPr>
    </w:p>
    <w:p w:rsidR="006C2B6D" w:rsidRPr="006234AA" w:rsidRDefault="006C2B6D" w:rsidP="003C0546">
      <w:pPr>
        <w:spacing w:after="120"/>
        <w:ind w:firstLine="0"/>
        <w:jc w:val="left"/>
        <w:rPr>
          <w:lang w:val="nl-NL"/>
        </w:rPr>
      </w:pPr>
      <w:r w:rsidRPr="006234AA">
        <w:rPr>
          <w:lang w:val="nl-NL"/>
        </w:rPr>
        <w:lastRenderedPageBreak/>
        <w:br w:type="page"/>
      </w:r>
    </w:p>
    <w:p w:rsidR="006C2B6D" w:rsidRPr="006234AA" w:rsidRDefault="006C2B6D" w:rsidP="003C0546">
      <w:pPr>
        <w:pStyle w:val="Heading5"/>
        <w:spacing w:after="120"/>
        <w:ind w:hanging="2912"/>
      </w:pPr>
      <w:bookmarkStart w:id="262" w:name="_Toc422672033"/>
      <w:r w:rsidRPr="006234AA">
        <w:lastRenderedPageBreak/>
        <w:t>Hợp đồng tạo lập thị trường</w:t>
      </w:r>
      <w:bookmarkEnd w:id="262"/>
    </w:p>
    <w:p w:rsidR="006C2B6D" w:rsidRPr="006234AA" w:rsidRDefault="006C2B6D" w:rsidP="003C0546">
      <w:pPr>
        <w:spacing w:after="120"/>
        <w:ind w:firstLine="0"/>
        <w:jc w:val="center"/>
        <w:rPr>
          <w:b/>
          <w:bCs/>
          <w:i/>
          <w:iCs/>
          <w:lang w:val="nl-NL"/>
        </w:rPr>
      </w:pPr>
      <w:r w:rsidRPr="006234AA">
        <w:rPr>
          <w:i/>
          <w:iCs/>
          <w:lang w:val="nl-NL"/>
        </w:rPr>
        <w:t>(Ban hành kèm theo Thông tư số /2014/TT-BTC ngày tháng năm 2014 của Bộ Tài chính về chứng khoán phái sinh và thị trường chứng khoán phái sinh)</w:t>
      </w:r>
    </w:p>
    <w:p w:rsidR="006C2B6D" w:rsidRPr="006234AA" w:rsidRDefault="006C2B6D" w:rsidP="003C0546">
      <w:pPr>
        <w:spacing w:after="120"/>
        <w:rPr>
          <w:lang w:val="nl-NL"/>
        </w:rPr>
      </w:pPr>
    </w:p>
    <w:p w:rsidR="000E462B" w:rsidRPr="006234AA" w:rsidRDefault="000E462B" w:rsidP="003C0546">
      <w:pPr>
        <w:spacing w:after="120"/>
        <w:rPr>
          <w:lang w:val="nl-NL"/>
        </w:rPr>
      </w:pPr>
      <w:r w:rsidRPr="006234AA">
        <w:rPr>
          <w:lang w:val="nl-NL"/>
        </w:rPr>
        <w:t xml:space="preserve">Hôm nay, ngày ... tháng ... năm ..., tại ..., chúng tôi gồm có: </w:t>
      </w:r>
    </w:p>
    <w:p w:rsidR="000E462B" w:rsidRPr="006234AA" w:rsidRDefault="000E462B" w:rsidP="003C0546">
      <w:pPr>
        <w:spacing w:after="120"/>
        <w:rPr>
          <w:lang w:val="nl-NL"/>
        </w:rPr>
      </w:pPr>
      <w:r w:rsidRPr="006234AA">
        <w:rPr>
          <w:lang w:val="nl-NL"/>
        </w:rPr>
        <w:t>Bên A: Sở giao dịch chứng khoán</w:t>
      </w:r>
    </w:p>
    <w:p w:rsidR="000E462B" w:rsidRPr="006234AA" w:rsidRDefault="000E462B" w:rsidP="003C0546">
      <w:pPr>
        <w:spacing w:after="120"/>
        <w:rPr>
          <w:lang w:val="nl-NL"/>
        </w:rPr>
      </w:pPr>
      <w:r w:rsidRPr="006234AA">
        <w:rPr>
          <w:lang w:val="nl-NL"/>
        </w:rPr>
        <w:t xml:space="preserve">Bên B: Công ty ... </w:t>
      </w:r>
    </w:p>
    <w:p w:rsidR="000E462B" w:rsidRPr="006234AA" w:rsidRDefault="000E462B" w:rsidP="003C0546">
      <w:pPr>
        <w:spacing w:after="120"/>
        <w:rPr>
          <w:lang w:val="nl-NL"/>
        </w:rPr>
      </w:pPr>
      <w:r w:rsidRPr="006234AA">
        <w:rPr>
          <w:lang w:val="nl-NL"/>
        </w:rPr>
        <w:t>ký hợp đồng tạo lập thị trường theo quy định tại Thông tư số ... ngày ... tháng ... năm ... của Bộ trưởng Bộ Tài chính với những nội dung chính sau đây:</w:t>
      </w:r>
    </w:p>
    <w:p w:rsidR="000E462B" w:rsidRPr="006234AA" w:rsidRDefault="000E462B" w:rsidP="003C0546">
      <w:pPr>
        <w:spacing w:after="120"/>
        <w:rPr>
          <w:lang w:val="nl-NL"/>
        </w:rPr>
      </w:pPr>
      <w:r w:rsidRPr="006234AA">
        <w:rPr>
          <w:lang w:val="nl-NL"/>
        </w:rPr>
        <w:t>1. Bên B có nghĩa vụ cung cấp dịch vụ tạo lập thị trường theo quy định tại Thông tư số ... ngày ... của Bộ trưởng Bộ Tài chính và quy định của hợp đồng này.</w:t>
      </w:r>
    </w:p>
    <w:p w:rsidR="000E462B" w:rsidRPr="006234AA" w:rsidRDefault="000E462B" w:rsidP="003C0546">
      <w:pPr>
        <w:spacing w:after="120"/>
        <w:rPr>
          <w:lang w:val="nl-NL"/>
        </w:rPr>
      </w:pPr>
      <w:r w:rsidRPr="006234AA">
        <w:rPr>
          <w:lang w:val="nl-NL"/>
        </w:rPr>
        <w:t>2. Các sản phẩm mà bên B cung cấp dịch vụ tạo lập thị trường bao gồm:</w:t>
      </w:r>
    </w:p>
    <w:p w:rsidR="000E462B" w:rsidRPr="006234AA" w:rsidRDefault="000E462B" w:rsidP="003C0546">
      <w:pPr>
        <w:spacing w:after="120"/>
        <w:rPr>
          <w:lang w:val="nl-NL"/>
        </w:rPr>
      </w:pPr>
    </w:p>
    <w:tbl>
      <w:tblPr>
        <w:tblStyle w:val="TableGrid"/>
        <w:tblW w:w="0" w:type="auto"/>
        <w:tblLook w:val="04A0"/>
      </w:tblPr>
      <w:tblGrid>
        <w:gridCol w:w="1668"/>
        <w:gridCol w:w="3685"/>
        <w:gridCol w:w="3934"/>
      </w:tblGrid>
      <w:tr w:rsidR="000E462B" w:rsidRPr="006234AA" w:rsidTr="00A15B69">
        <w:tc>
          <w:tcPr>
            <w:tcW w:w="5353" w:type="dxa"/>
            <w:gridSpan w:val="2"/>
          </w:tcPr>
          <w:p w:rsidR="000E462B" w:rsidRPr="006234AA" w:rsidRDefault="000E462B" w:rsidP="003C0546">
            <w:pPr>
              <w:spacing w:after="120"/>
              <w:ind w:firstLine="0"/>
              <w:rPr>
                <w:lang w:val="nl-NL"/>
              </w:rPr>
            </w:pPr>
            <w:r w:rsidRPr="006234AA">
              <w:rPr>
                <w:lang w:val="nl-NL"/>
              </w:rPr>
              <w:t xml:space="preserve">Sản phẩm </w:t>
            </w:r>
          </w:p>
        </w:tc>
        <w:tc>
          <w:tcPr>
            <w:tcW w:w="3934" w:type="dxa"/>
          </w:tcPr>
          <w:p w:rsidR="000E462B" w:rsidRPr="006234AA" w:rsidRDefault="000E462B" w:rsidP="003C0546">
            <w:pPr>
              <w:spacing w:after="120"/>
              <w:ind w:firstLine="0"/>
              <w:rPr>
                <w:lang w:val="nl-NL"/>
              </w:rPr>
            </w:pPr>
            <w:r w:rsidRPr="006234AA">
              <w:rPr>
                <w:lang w:val="nl-NL"/>
              </w:rPr>
              <w:t xml:space="preserve">Ngày đầu tiên cung cấp dịch vụ </w:t>
            </w:r>
          </w:p>
        </w:tc>
      </w:tr>
      <w:tr w:rsidR="000E462B" w:rsidRPr="006234AA" w:rsidTr="00A15B69">
        <w:tc>
          <w:tcPr>
            <w:tcW w:w="1668" w:type="dxa"/>
            <w:vMerge w:val="restart"/>
          </w:tcPr>
          <w:p w:rsidR="000E462B" w:rsidRPr="006234AA" w:rsidRDefault="000E462B" w:rsidP="003C0546">
            <w:pPr>
              <w:spacing w:after="120"/>
              <w:ind w:firstLine="0"/>
              <w:rPr>
                <w:lang w:val="nl-NL"/>
              </w:rPr>
            </w:pPr>
            <w:r w:rsidRPr="006234AA">
              <w:rPr>
                <w:lang w:val="nl-NL"/>
              </w:rPr>
              <w:t>Hợp đồng tương lai</w:t>
            </w:r>
          </w:p>
        </w:tc>
        <w:tc>
          <w:tcPr>
            <w:tcW w:w="3685" w:type="dxa"/>
          </w:tcPr>
          <w:p w:rsidR="000E462B" w:rsidRPr="006234AA" w:rsidRDefault="000E462B" w:rsidP="003C0546">
            <w:pPr>
              <w:spacing w:after="120"/>
              <w:ind w:firstLine="0"/>
              <w:rPr>
                <w:lang w:val="nl-NL"/>
              </w:rPr>
            </w:pPr>
            <w:r w:rsidRPr="006234AA">
              <w:rPr>
                <w:lang w:val="nl-NL"/>
              </w:rPr>
              <w:t>Hợp đồng tương lai chỉ số ...</w:t>
            </w:r>
          </w:p>
        </w:tc>
        <w:tc>
          <w:tcPr>
            <w:tcW w:w="3934" w:type="dxa"/>
          </w:tcPr>
          <w:p w:rsidR="000E462B" w:rsidRPr="006234AA" w:rsidRDefault="000E462B" w:rsidP="003C0546">
            <w:pPr>
              <w:spacing w:after="120"/>
              <w:ind w:firstLine="0"/>
              <w:rPr>
                <w:lang w:val="nl-NL"/>
              </w:rPr>
            </w:pPr>
          </w:p>
        </w:tc>
      </w:tr>
      <w:tr w:rsidR="000E462B" w:rsidRPr="006234AA" w:rsidTr="00A15B69">
        <w:tc>
          <w:tcPr>
            <w:tcW w:w="1668" w:type="dxa"/>
            <w:vMerge/>
          </w:tcPr>
          <w:p w:rsidR="000E462B" w:rsidRPr="006234AA" w:rsidRDefault="000E462B" w:rsidP="003C0546">
            <w:pPr>
              <w:spacing w:after="120"/>
              <w:ind w:firstLine="0"/>
              <w:rPr>
                <w:lang w:val="nl-NL"/>
              </w:rPr>
            </w:pPr>
          </w:p>
        </w:tc>
        <w:tc>
          <w:tcPr>
            <w:tcW w:w="3685" w:type="dxa"/>
          </w:tcPr>
          <w:p w:rsidR="000E462B" w:rsidRPr="006234AA" w:rsidRDefault="000E462B" w:rsidP="003C0546">
            <w:pPr>
              <w:spacing w:after="120"/>
              <w:ind w:firstLine="0"/>
              <w:rPr>
                <w:lang w:val="nl-NL"/>
              </w:rPr>
            </w:pPr>
            <w:r w:rsidRPr="006234AA">
              <w:rPr>
                <w:lang w:val="nl-NL"/>
              </w:rPr>
              <w:t>Hợp đồng tương lai chỉ số ...</w:t>
            </w:r>
          </w:p>
        </w:tc>
        <w:tc>
          <w:tcPr>
            <w:tcW w:w="3934" w:type="dxa"/>
          </w:tcPr>
          <w:p w:rsidR="000E462B" w:rsidRPr="006234AA" w:rsidRDefault="000E462B" w:rsidP="003C0546">
            <w:pPr>
              <w:spacing w:after="120"/>
              <w:ind w:firstLine="0"/>
              <w:rPr>
                <w:lang w:val="nl-NL"/>
              </w:rPr>
            </w:pPr>
          </w:p>
        </w:tc>
      </w:tr>
      <w:tr w:rsidR="000E462B" w:rsidRPr="006234AA" w:rsidTr="00A15B69">
        <w:tc>
          <w:tcPr>
            <w:tcW w:w="1668" w:type="dxa"/>
            <w:vMerge/>
          </w:tcPr>
          <w:p w:rsidR="000E462B" w:rsidRPr="006234AA" w:rsidRDefault="000E462B" w:rsidP="003C0546">
            <w:pPr>
              <w:spacing w:after="120"/>
              <w:ind w:firstLine="0"/>
              <w:rPr>
                <w:lang w:val="nl-NL"/>
              </w:rPr>
            </w:pPr>
          </w:p>
        </w:tc>
        <w:tc>
          <w:tcPr>
            <w:tcW w:w="3685" w:type="dxa"/>
          </w:tcPr>
          <w:p w:rsidR="000E462B" w:rsidRPr="006234AA" w:rsidRDefault="000E462B" w:rsidP="003C0546">
            <w:pPr>
              <w:spacing w:after="120"/>
              <w:ind w:firstLine="0"/>
              <w:rPr>
                <w:lang w:val="nl-NL"/>
              </w:rPr>
            </w:pPr>
            <w:r w:rsidRPr="006234AA">
              <w:rPr>
                <w:lang w:val="nl-NL"/>
              </w:rPr>
              <w:t>...</w:t>
            </w:r>
          </w:p>
        </w:tc>
        <w:tc>
          <w:tcPr>
            <w:tcW w:w="3934" w:type="dxa"/>
          </w:tcPr>
          <w:p w:rsidR="000E462B" w:rsidRPr="006234AA" w:rsidRDefault="000E462B" w:rsidP="003C0546">
            <w:pPr>
              <w:spacing w:after="120"/>
              <w:ind w:firstLine="0"/>
              <w:rPr>
                <w:lang w:val="nl-NL"/>
              </w:rPr>
            </w:pPr>
          </w:p>
        </w:tc>
      </w:tr>
      <w:tr w:rsidR="000E462B" w:rsidRPr="006234AA" w:rsidTr="00A15B69">
        <w:tc>
          <w:tcPr>
            <w:tcW w:w="1668" w:type="dxa"/>
            <w:vMerge/>
          </w:tcPr>
          <w:p w:rsidR="000E462B" w:rsidRPr="006234AA" w:rsidRDefault="000E462B" w:rsidP="003C0546">
            <w:pPr>
              <w:spacing w:after="120"/>
              <w:ind w:firstLine="0"/>
              <w:rPr>
                <w:lang w:val="nl-NL"/>
              </w:rPr>
            </w:pPr>
          </w:p>
        </w:tc>
        <w:tc>
          <w:tcPr>
            <w:tcW w:w="3685" w:type="dxa"/>
          </w:tcPr>
          <w:p w:rsidR="000E462B" w:rsidRPr="006234AA" w:rsidRDefault="000E462B" w:rsidP="003C0546">
            <w:pPr>
              <w:spacing w:after="120"/>
              <w:ind w:firstLine="0"/>
              <w:rPr>
                <w:lang w:val="nl-NL"/>
              </w:rPr>
            </w:pPr>
            <w:r w:rsidRPr="006234AA">
              <w:rPr>
                <w:lang w:val="nl-NL"/>
              </w:rPr>
              <w:t>Hợp đồng tương lai TPCP ...</w:t>
            </w:r>
          </w:p>
        </w:tc>
        <w:tc>
          <w:tcPr>
            <w:tcW w:w="3934" w:type="dxa"/>
          </w:tcPr>
          <w:p w:rsidR="000E462B" w:rsidRPr="006234AA" w:rsidRDefault="000E462B" w:rsidP="003C0546">
            <w:pPr>
              <w:spacing w:after="120"/>
              <w:ind w:firstLine="0"/>
              <w:rPr>
                <w:lang w:val="nl-NL"/>
              </w:rPr>
            </w:pPr>
          </w:p>
        </w:tc>
      </w:tr>
      <w:tr w:rsidR="000E462B" w:rsidRPr="006234AA" w:rsidTr="00A15B69">
        <w:tc>
          <w:tcPr>
            <w:tcW w:w="1668" w:type="dxa"/>
            <w:vMerge/>
          </w:tcPr>
          <w:p w:rsidR="000E462B" w:rsidRPr="006234AA" w:rsidRDefault="000E462B" w:rsidP="003C0546">
            <w:pPr>
              <w:spacing w:after="120"/>
              <w:ind w:firstLine="0"/>
              <w:rPr>
                <w:lang w:val="nl-NL"/>
              </w:rPr>
            </w:pPr>
          </w:p>
        </w:tc>
        <w:tc>
          <w:tcPr>
            <w:tcW w:w="3685" w:type="dxa"/>
          </w:tcPr>
          <w:p w:rsidR="000E462B" w:rsidRPr="006234AA" w:rsidRDefault="000E462B" w:rsidP="003C0546">
            <w:pPr>
              <w:spacing w:after="120"/>
              <w:ind w:firstLine="0"/>
              <w:rPr>
                <w:lang w:val="nl-NL"/>
              </w:rPr>
            </w:pPr>
            <w:r w:rsidRPr="006234AA">
              <w:rPr>
                <w:lang w:val="nl-NL"/>
              </w:rPr>
              <w:t>Hợp đồng tương lai TPCP ...</w:t>
            </w:r>
          </w:p>
        </w:tc>
        <w:tc>
          <w:tcPr>
            <w:tcW w:w="3934" w:type="dxa"/>
          </w:tcPr>
          <w:p w:rsidR="000E462B" w:rsidRPr="006234AA" w:rsidRDefault="000E462B" w:rsidP="003C0546">
            <w:pPr>
              <w:spacing w:after="120"/>
              <w:ind w:firstLine="0"/>
              <w:rPr>
                <w:lang w:val="nl-NL"/>
              </w:rPr>
            </w:pPr>
          </w:p>
        </w:tc>
      </w:tr>
      <w:tr w:rsidR="000E462B" w:rsidRPr="006234AA" w:rsidTr="00A15B69">
        <w:tc>
          <w:tcPr>
            <w:tcW w:w="1668" w:type="dxa"/>
            <w:vMerge/>
          </w:tcPr>
          <w:p w:rsidR="000E462B" w:rsidRPr="006234AA" w:rsidRDefault="000E462B" w:rsidP="003C0546">
            <w:pPr>
              <w:spacing w:after="120"/>
              <w:ind w:firstLine="0"/>
              <w:rPr>
                <w:lang w:val="nl-NL"/>
              </w:rPr>
            </w:pPr>
          </w:p>
        </w:tc>
        <w:tc>
          <w:tcPr>
            <w:tcW w:w="3685" w:type="dxa"/>
          </w:tcPr>
          <w:p w:rsidR="000E462B" w:rsidRPr="006234AA" w:rsidRDefault="000E462B" w:rsidP="003C0546">
            <w:pPr>
              <w:spacing w:after="120"/>
              <w:ind w:firstLine="0"/>
              <w:rPr>
                <w:lang w:val="nl-NL"/>
              </w:rPr>
            </w:pPr>
            <w:r w:rsidRPr="006234AA">
              <w:rPr>
                <w:lang w:val="nl-NL"/>
              </w:rPr>
              <w:t>...</w:t>
            </w:r>
          </w:p>
        </w:tc>
        <w:tc>
          <w:tcPr>
            <w:tcW w:w="3934" w:type="dxa"/>
          </w:tcPr>
          <w:p w:rsidR="000E462B" w:rsidRPr="006234AA" w:rsidRDefault="000E462B" w:rsidP="003C0546">
            <w:pPr>
              <w:spacing w:after="120"/>
              <w:ind w:firstLine="0"/>
              <w:rPr>
                <w:lang w:val="nl-NL"/>
              </w:rPr>
            </w:pPr>
          </w:p>
        </w:tc>
      </w:tr>
    </w:tbl>
    <w:p w:rsidR="000E462B" w:rsidRPr="006234AA" w:rsidRDefault="000E462B" w:rsidP="003C0546">
      <w:pPr>
        <w:spacing w:after="120"/>
        <w:rPr>
          <w:lang w:val="nl-NL"/>
        </w:rPr>
      </w:pPr>
    </w:p>
    <w:p w:rsidR="000E462B" w:rsidRPr="006234AA" w:rsidRDefault="000E462B" w:rsidP="003C0546">
      <w:pPr>
        <w:spacing w:after="120"/>
        <w:rPr>
          <w:lang w:val="nl-NL"/>
        </w:rPr>
      </w:pPr>
      <w:r w:rsidRPr="006234AA">
        <w:rPr>
          <w:lang w:val="nl-NL"/>
        </w:rPr>
        <w:t>3. Chấm dứt hợp đồng</w:t>
      </w:r>
    </w:p>
    <w:p w:rsidR="000E462B" w:rsidRPr="006234AA" w:rsidRDefault="000E462B" w:rsidP="003C0546">
      <w:pPr>
        <w:spacing w:after="120"/>
        <w:rPr>
          <w:lang w:val="nl-NL"/>
        </w:rPr>
      </w:pPr>
      <w:r w:rsidRPr="006234AA">
        <w:rPr>
          <w:lang w:val="nl-NL"/>
        </w:rPr>
        <w:t>a) Trước khi chấm dứt hợp đồng hoặc thay đổi sản phẩm tạo lập thị trường, Bên B phải thông báo cho Bên A ít nhất ... ngày trước khi kết thúc quý.</w:t>
      </w:r>
    </w:p>
    <w:p w:rsidR="000E462B" w:rsidRPr="006234AA" w:rsidRDefault="000E462B" w:rsidP="003C0546">
      <w:pPr>
        <w:spacing w:after="120"/>
        <w:rPr>
          <w:lang w:val="nl-NL"/>
        </w:rPr>
      </w:pPr>
      <w:r w:rsidRPr="006234AA">
        <w:rPr>
          <w:lang w:val="nl-NL"/>
        </w:rPr>
        <w:t>b) Việc chấm dứt hợp đồng hoặc thay đổi sản phẩm tạo lập thị trường sẽ có hiệu lực sau khi thị trường đóng cửa tại ngày giao dịch cuối cùng của quý.</w:t>
      </w:r>
    </w:p>
    <w:p w:rsidR="000E462B" w:rsidRPr="006234AA" w:rsidRDefault="000E462B" w:rsidP="003C0546">
      <w:pPr>
        <w:spacing w:after="120"/>
        <w:rPr>
          <w:lang w:val="nl-NL"/>
        </w:rPr>
      </w:pPr>
      <w:r w:rsidRPr="006234AA">
        <w:rPr>
          <w:lang w:val="nl-NL"/>
        </w:rPr>
        <w:t>4. Chấm dứt trách nhiệm</w:t>
      </w:r>
    </w:p>
    <w:p w:rsidR="000E462B" w:rsidRPr="006234AA" w:rsidRDefault="000E462B" w:rsidP="003C0546">
      <w:pPr>
        <w:spacing w:after="120"/>
        <w:rPr>
          <w:lang w:val="nl-NL"/>
        </w:rPr>
      </w:pPr>
      <w:r w:rsidRPr="006234AA">
        <w:rPr>
          <w:lang w:val="nl-NL"/>
        </w:rPr>
        <w:t>a) Bên A có quyền thay đổi các quy định về hoạt động tạo lập thị trường, bao gồm nhưng không hạn chế các nội dung như thời gian yết giá tạo lập thị trường, khối lượng, chênh lệch giá yết, quyền và nghĩa vụ của nhà tạo lập thị trường phù hợp với quy định của pháp luật.</w:t>
      </w:r>
    </w:p>
    <w:p w:rsidR="000E462B" w:rsidRPr="006234AA" w:rsidRDefault="000E462B" w:rsidP="003C0546">
      <w:pPr>
        <w:spacing w:after="120"/>
        <w:rPr>
          <w:lang w:val="nl-NL"/>
        </w:rPr>
      </w:pPr>
      <w:r w:rsidRPr="006234AA">
        <w:rPr>
          <w:lang w:val="nl-NL"/>
        </w:rPr>
        <w:lastRenderedPageBreak/>
        <w:t>b) Bên A có quyền công bố công khai về hiệu quả, chất lượng và các đánh giá hoạt động của các nhà tạo lập thị trường.</w:t>
      </w:r>
    </w:p>
    <w:p w:rsidR="000E462B" w:rsidRPr="006234AA" w:rsidRDefault="000E462B" w:rsidP="003C0546">
      <w:pPr>
        <w:spacing w:after="120"/>
        <w:rPr>
          <w:lang w:val="nl-NL"/>
        </w:rPr>
      </w:pPr>
      <w:r w:rsidRPr="006234AA">
        <w:rPr>
          <w:lang w:val="nl-NL"/>
        </w:rPr>
        <w:t>Hợp đồng này được lập thành ba (03) bản chính, bên A giữ hai (02) bản, bên B giữ một (01) bản.</w:t>
      </w:r>
    </w:p>
    <w:p w:rsidR="000E462B" w:rsidRPr="006234AA" w:rsidRDefault="000E462B" w:rsidP="003C0546">
      <w:pPr>
        <w:spacing w:after="120"/>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0E462B" w:rsidRPr="006234AA" w:rsidTr="00A15B69">
        <w:tc>
          <w:tcPr>
            <w:tcW w:w="4643" w:type="dxa"/>
          </w:tcPr>
          <w:p w:rsidR="000E462B" w:rsidRPr="006234AA" w:rsidRDefault="000E462B" w:rsidP="003C0546">
            <w:pPr>
              <w:spacing w:after="120"/>
              <w:ind w:firstLine="0"/>
              <w:rPr>
                <w:i/>
                <w:lang w:val="nl-NL"/>
              </w:rPr>
            </w:pPr>
          </w:p>
        </w:tc>
        <w:tc>
          <w:tcPr>
            <w:tcW w:w="4644" w:type="dxa"/>
          </w:tcPr>
          <w:p w:rsidR="000E462B" w:rsidRPr="006234AA" w:rsidRDefault="000E462B" w:rsidP="003C0546">
            <w:pPr>
              <w:spacing w:after="120"/>
              <w:rPr>
                <w:i/>
                <w:lang w:val="nl-NL"/>
              </w:rPr>
            </w:pPr>
            <w:r w:rsidRPr="006234AA">
              <w:rPr>
                <w:i/>
                <w:lang w:val="nl-NL"/>
              </w:rPr>
              <w:t>..., ngày ... tháng ... năm ...</w:t>
            </w:r>
          </w:p>
        </w:tc>
      </w:tr>
      <w:tr w:rsidR="000E462B" w:rsidRPr="006234AA" w:rsidTr="00A15B69">
        <w:tc>
          <w:tcPr>
            <w:tcW w:w="4643" w:type="dxa"/>
          </w:tcPr>
          <w:p w:rsidR="000E462B" w:rsidRPr="006234AA" w:rsidRDefault="000E462B" w:rsidP="003C0546">
            <w:pPr>
              <w:spacing w:after="120"/>
              <w:ind w:firstLine="0"/>
              <w:jc w:val="center"/>
              <w:rPr>
                <w:b/>
                <w:lang w:val="nl-NL"/>
              </w:rPr>
            </w:pPr>
            <w:r w:rsidRPr="006234AA">
              <w:rPr>
                <w:b/>
                <w:lang w:val="nl-NL"/>
              </w:rPr>
              <w:t>ĐẠI DIỆN BÊN A</w:t>
            </w:r>
          </w:p>
          <w:p w:rsidR="000E462B" w:rsidRPr="006234AA" w:rsidRDefault="000E462B" w:rsidP="003C0546">
            <w:pPr>
              <w:spacing w:after="120"/>
              <w:ind w:firstLine="0"/>
              <w:jc w:val="center"/>
              <w:rPr>
                <w:b/>
                <w:lang w:val="nl-NL"/>
              </w:rPr>
            </w:pPr>
            <w:r w:rsidRPr="006234AA">
              <w:rPr>
                <w:b/>
                <w:lang w:val="nl-NL"/>
              </w:rPr>
              <w:t>SỞ GIAO DỊCH CHỨNG KHOÁN</w:t>
            </w:r>
          </w:p>
          <w:p w:rsidR="000E462B" w:rsidRPr="006234AA" w:rsidRDefault="000E462B" w:rsidP="003C0546">
            <w:pPr>
              <w:spacing w:after="120"/>
              <w:ind w:firstLine="0"/>
              <w:jc w:val="center"/>
              <w:rPr>
                <w:i/>
                <w:lang w:val="nl-NL"/>
              </w:rPr>
            </w:pPr>
            <w:r w:rsidRPr="006234AA">
              <w:rPr>
                <w:i/>
                <w:lang w:val="nl-NL"/>
              </w:rPr>
              <w:t>(ký, ghi rõ họ tên, đóng dấu)</w:t>
            </w:r>
          </w:p>
        </w:tc>
        <w:tc>
          <w:tcPr>
            <w:tcW w:w="4644" w:type="dxa"/>
          </w:tcPr>
          <w:p w:rsidR="000E462B" w:rsidRPr="006234AA" w:rsidRDefault="000E462B" w:rsidP="003C0546">
            <w:pPr>
              <w:spacing w:after="120"/>
              <w:ind w:firstLine="0"/>
              <w:jc w:val="center"/>
              <w:rPr>
                <w:b/>
                <w:lang w:val="nl-NL"/>
              </w:rPr>
            </w:pPr>
            <w:r w:rsidRPr="006234AA">
              <w:rPr>
                <w:b/>
                <w:lang w:val="nl-NL"/>
              </w:rPr>
              <w:t>ĐẠI DIỆN BÊN B</w:t>
            </w:r>
          </w:p>
          <w:p w:rsidR="000E462B" w:rsidRPr="006234AA" w:rsidRDefault="000E462B" w:rsidP="003C0546">
            <w:pPr>
              <w:spacing w:after="120"/>
              <w:ind w:firstLine="0"/>
              <w:jc w:val="center"/>
              <w:rPr>
                <w:b/>
                <w:lang w:val="nl-NL"/>
              </w:rPr>
            </w:pPr>
            <w:r w:rsidRPr="006234AA">
              <w:rPr>
                <w:b/>
                <w:lang w:val="nl-NL"/>
              </w:rPr>
              <w:t>CÔNG TY ...</w:t>
            </w:r>
          </w:p>
          <w:p w:rsidR="000E462B" w:rsidRPr="006234AA" w:rsidRDefault="000E462B" w:rsidP="003C0546">
            <w:pPr>
              <w:spacing w:after="120"/>
              <w:ind w:firstLine="0"/>
              <w:jc w:val="center"/>
              <w:rPr>
                <w:lang w:val="nl-NL"/>
              </w:rPr>
            </w:pPr>
            <w:r w:rsidRPr="006234AA">
              <w:rPr>
                <w:i/>
                <w:lang w:val="nl-NL"/>
              </w:rPr>
              <w:t>(ký, ghi rõ họ tên, đóng dấu)</w:t>
            </w:r>
          </w:p>
        </w:tc>
      </w:tr>
    </w:tbl>
    <w:p w:rsidR="000E462B" w:rsidRPr="006234AA" w:rsidRDefault="000E462B" w:rsidP="003C0546">
      <w:pPr>
        <w:spacing w:after="120"/>
        <w:rPr>
          <w:lang w:val="nl-NL"/>
        </w:rPr>
      </w:pPr>
    </w:p>
    <w:p w:rsidR="006C2B6D" w:rsidRPr="006234AA" w:rsidRDefault="006C2B6D" w:rsidP="003C0546">
      <w:pPr>
        <w:spacing w:after="120"/>
        <w:rPr>
          <w:lang w:val="nl-NL"/>
        </w:rPr>
      </w:pPr>
    </w:p>
    <w:p w:rsidR="006C2B6D" w:rsidRPr="006234AA" w:rsidRDefault="006C2B6D" w:rsidP="003C0546">
      <w:pPr>
        <w:spacing w:after="120"/>
        <w:ind w:firstLine="0"/>
        <w:jc w:val="left"/>
        <w:rPr>
          <w:b/>
          <w:bCs/>
          <w:lang w:val="nl-NL"/>
        </w:rPr>
      </w:pPr>
      <w:r w:rsidRPr="006234AA">
        <w:rPr>
          <w:lang w:val="nl-NL"/>
        </w:rPr>
        <w:br w:type="page"/>
      </w:r>
    </w:p>
    <w:p w:rsidR="00D9612D" w:rsidRPr="006234AA" w:rsidRDefault="00D9612D" w:rsidP="003C0546">
      <w:pPr>
        <w:pStyle w:val="Heading5"/>
        <w:spacing w:after="120"/>
        <w:ind w:left="1418" w:hanging="284"/>
      </w:pPr>
      <w:bookmarkStart w:id="263" w:name="_Toc388876128"/>
      <w:bookmarkStart w:id="264" w:name="_Toc422672034"/>
      <w:r w:rsidRPr="006234AA">
        <w:lastRenderedPageBreak/>
        <w:t>Báo cáo về số lượng thanh toán cuối cùng của hợp đồng tương lai trái phiếu chính phủ và các trái phiếu chuyển giao</w:t>
      </w:r>
      <w:bookmarkEnd w:id="263"/>
      <w:bookmarkEnd w:id="264"/>
    </w:p>
    <w:p w:rsidR="00D9612D" w:rsidRPr="006234AA" w:rsidRDefault="00D9612D" w:rsidP="003C0546">
      <w:pPr>
        <w:spacing w:after="120"/>
        <w:ind w:firstLine="0"/>
        <w:jc w:val="center"/>
        <w:rPr>
          <w:b/>
          <w:bCs/>
          <w:i/>
          <w:iCs/>
          <w:lang w:val="nl-NL"/>
        </w:rPr>
      </w:pPr>
      <w:r w:rsidRPr="006234AA">
        <w:rPr>
          <w:i/>
          <w:iCs/>
          <w:lang w:val="nl-NL"/>
        </w:rPr>
        <w:t>(Ban hành kèm theo Thông tư số /2014/TT-BTC ngày tháng năm 2014 của Bộ Tài chính về chứng khoán phái sinh và thị trường chứng khoán phái sinh)</w:t>
      </w:r>
    </w:p>
    <w:p w:rsidR="00D9612D" w:rsidRPr="006234AA" w:rsidRDefault="00D9612D" w:rsidP="003C0546">
      <w:pPr>
        <w:spacing w:after="120"/>
        <w:rPr>
          <w:lang w:val="nl-NL"/>
        </w:rPr>
      </w:pPr>
    </w:p>
    <w:tbl>
      <w:tblPr>
        <w:tblStyle w:val="TableGrid"/>
        <w:tblW w:w="0" w:type="auto"/>
        <w:tblLook w:val="04A0"/>
      </w:tblPr>
      <w:tblGrid>
        <w:gridCol w:w="1668"/>
        <w:gridCol w:w="2202"/>
      </w:tblGrid>
      <w:tr w:rsidR="00D9612D" w:rsidRPr="006234AA" w:rsidTr="009718D4">
        <w:tc>
          <w:tcPr>
            <w:tcW w:w="1668" w:type="dxa"/>
          </w:tcPr>
          <w:p w:rsidR="00D9612D" w:rsidRPr="006234AA" w:rsidRDefault="00D9612D" w:rsidP="003C0546">
            <w:pPr>
              <w:spacing w:after="120"/>
              <w:ind w:firstLine="0"/>
              <w:jc w:val="center"/>
              <w:rPr>
                <w:lang w:val="nl-NL"/>
              </w:rPr>
            </w:pPr>
            <w:r w:rsidRPr="006234AA">
              <w:rPr>
                <w:lang w:val="nl-NL"/>
              </w:rPr>
              <w:t>Người nhận</w:t>
            </w:r>
          </w:p>
        </w:tc>
        <w:tc>
          <w:tcPr>
            <w:tcW w:w="2202" w:type="dxa"/>
            <w:tcBorders>
              <w:right w:val="single" w:sz="4" w:space="0" w:color="auto"/>
            </w:tcBorders>
          </w:tcPr>
          <w:p w:rsidR="00D9612D" w:rsidRPr="006234AA" w:rsidRDefault="00D9612D" w:rsidP="003C0546">
            <w:pPr>
              <w:spacing w:after="120"/>
              <w:ind w:firstLine="0"/>
              <w:jc w:val="center"/>
              <w:rPr>
                <w:lang w:val="nl-NL"/>
              </w:rPr>
            </w:pPr>
            <w:r w:rsidRPr="006234AA">
              <w:rPr>
                <w:lang w:val="nl-NL"/>
              </w:rPr>
              <w:t>Người xác nhận</w:t>
            </w:r>
          </w:p>
        </w:tc>
      </w:tr>
      <w:tr w:rsidR="00D9612D" w:rsidRPr="006234AA" w:rsidTr="009718D4">
        <w:tc>
          <w:tcPr>
            <w:tcW w:w="1668" w:type="dxa"/>
          </w:tcPr>
          <w:p w:rsidR="00D9612D" w:rsidRPr="006234AA" w:rsidRDefault="00D9612D" w:rsidP="003C0546">
            <w:pPr>
              <w:spacing w:after="120"/>
              <w:ind w:firstLine="0"/>
              <w:jc w:val="center"/>
              <w:rPr>
                <w:lang w:val="nl-NL"/>
              </w:rPr>
            </w:pPr>
            <w:r w:rsidRPr="006234AA">
              <w:rPr>
                <w:lang w:val="nl-NL"/>
              </w:rPr>
              <w:t>*</w:t>
            </w:r>
          </w:p>
        </w:tc>
        <w:tc>
          <w:tcPr>
            <w:tcW w:w="2202" w:type="dxa"/>
            <w:tcBorders>
              <w:right w:val="single" w:sz="4" w:space="0" w:color="auto"/>
            </w:tcBorders>
          </w:tcPr>
          <w:p w:rsidR="00D9612D" w:rsidRPr="006234AA" w:rsidRDefault="00D9612D" w:rsidP="003C0546">
            <w:pPr>
              <w:spacing w:after="120"/>
              <w:ind w:firstLine="0"/>
              <w:jc w:val="center"/>
              <w:rPr>
                <w:lang w:val="nl-NL"/>
              </w:rPr>
            </w:pPr>
            <w:r w:rsidRPr="006234AA">
              <w:rPr>
                <w:lang w:val="nl-NL"/>
              </w:rPr>
              <w:t>*</w:t>
            </w:r>
          </w:p>
        </w:tc>
      </w:tr>
    </w:tbl>
    <w:p w:rsidR="00D9612D" w:rsidRPr="006234AA" w:rsidRDefault="00D9612D" w:rsidP="003C0546">
      <w:pPr>
        <w:spacing w:after="120"/>
        <w:ind w:firstLine="0"/>
        <w:jc w:val="left"/>
        <w:rPr>
          <w:lang w:val="nl-NL"/>
        </w:rPr>
      </w:pPr>
    </w:p>
    <w:p w:rsidR="003643AD" w:rsidRPr="006234AA" w:rsidRDefault="003643AD" w:rsidP="003C0546">
      <w:pPr>
        <w:spacing w:after="120"/>
        <w:ind w:firstLine="0"/>
        <w:jc w:val="center"/>
        <w:rPr>
          <w:b/>
          <w:lang w:val="nl-NL"/>
        </w:rPr>
      </w:pPr>
      <w:r w:rsidRPr="006234AA">
        <w:rPr>
          <w:b/>
          <w:lang w:val="nl-NL"/>
        </w:rPr>
        <w:t>Báo cáo về số lượng thanh toán cuối cùng của hợp đồng tương lai trái phiếu chính phủ và các trái phiếu chuyển giao</w:t>
      </w:r>
    </w:p>
    <w:p w:rsidR="003643AD" w:rsidRPr="006234AA" w:rsidRDefault="003643AD" w:rsidP="003C0546">
      <w:pPr>
        <w:spacing w:after="120"/>
        <w:rPr>
          <w:lang w:val="nl-NL"/>
        </w:rPr>
      </w:pPr>
    </w:p>
    <w:p w:rsidR="003643AD" w:rsidRPr="006234AA" w:rsidRDefault="003643AD" w:rsidP="003C0546">
      <w:pPr>
        <w:spacing w:after="120"/>
        <w:rPr>
          <w:lang w:val="nl-NL"/>
        </w:rPr>
      </w:pPr>
      <w:r w:rsidRPr="006234AA">
        <w:rPr>
          <w:lang w:val="nl-NL"/>
        </w:rPr>
        <w:t xml:space="preserve">Căn cứ Điều ... Thông tư ... ngày ... tháng ... năm 2014 của Bộ trưởng Bộ Tài chính, chúng tôi xin nộp báo cáo về số lượng thanh toán cuối cùng của hợp đồng tương lai trái phiếu chính phủ và các trái phiếu chuyển giao như sau: </w:t>
      </w:r>
    </w:p>
    <w:p w:rsidR="003643AD" w:rsidRPr="006234AA" w:rsidRDefault="003643AD" w:rsidP="003C0546">
      <w:pPr>
        <w:spacing w:after="120"/>
        <w:ind w:firstLine="0"/>
        <w:jc w:val="left"/>
        <w:rPr>
          <w:lang w:val="nl-NL"/>
        </w:rPr>
      </w:pPr>
    </w:p>
    <w:tbl>
      <w:tblPr>
        <w:tblStyle w:val="TableGrid"/>
        <w:tblW w:w="0" w:type="auto"/>
        <w:tblLook w:val="04A0"/>
      </w:tblPr>
      <w:tblGrid>
        <w:gridCol w:w="1809"/>
        <w:gridCol w:w="512"/>
        <w:gridCol w:w="764"/>
        <w:gridCol w:w="1558"/>
        <w:gridCol w:w="2322"/>
        <w:gridCol w:w="2322"/>
      </w:tblGrid>
      <w:tr w:rsidR="003643AD" w:rsidRPr="006234AA" w:rsidTr="00D60CD2">
        <w:tc>
          <w:tcPr>
            <w:tcW w:w="4643" w:type="dxa"/>
            <w:gridSpan w:val="4"/>
            <w:tcBorders>
              <w:top w:val="nil"/>
              <w:left w:val="nil"/>
              <w:bottom w:val="nil"/>
              <w:right w:val="nil"/>
            </w:tcBorders>
          </w:tcPr>
          <w:p w:rsidR="003643AD" w:rsidRPr="006234AA" w:rsidRDefault="003643AD" w:rsidP="003C0546">
            <w:pPr>
              <w:spacing w:after="120"/>
              <w:ind w:firstLine="0"/>
              <w:jc w:val="left"/>
              <w:rPr>
                <w:lang w:val="nl-NL"/>
              </w:rPr>
            </w:pPr>
          </w:p>
        </w:tc>
        <w:tc>
          <w:tcPr>
            <w:tcW w:w="4644" w:type="dxa"/>
            <w:gridSpan w:val="2"/>
            <w:tcBorders>
              <w:top w:val="nil"/>
              <w:left w:val="nil"/>
              <w:bottom w:val="nil"/>
              <w:right w:val="nil"/>
            </w:tcBorders>
          </w:tcPr>
          <w:p w:rsidR="003643AD" w:rsidRPr="006234AA" w:rsidRDefault="003643AD" w:rsidP="003C0546">
            <w:pPr>
              <w:spacing w:after="120"/>
              <w:ind w:firstLine="33"/>
              <w:rPr>
                <w:i/>
                <w:lang w:val="nl-NL"/>
              </w:rPr>
            </w:pPr>
            <w:r w:rsidRPr="006234AA">
              <w:rPr>
                <w:i/>
                <w:lang w:val="nl-NL"/>
              </w:rPr>
              <w:t>Ngày ... tháng ... năm ...</w:t>
            </w:r>
          </w:p>
          <w:p w:rsidR="003643AD" w:rsidRPr="006234AA" w:rsidRDefault="003643AD" w:rsidP="003C0546">
            <w:pPr>
              <w:spacing w:after="120"/>
              <w:ind w:firstLine="33"/>
              <w:rPr>
                <w:lang w:val="nl-NL"/>
              </w:rPr>
            </w:pPr>
            <w:r w:rsidRPr="006234AA">
              <w:rPr>
                <w:lang w:val="nl-NL"/>
              </w:rPr>
              <w:t xml:space="preserve">Đại diện có thẩm quyền </w:t>
            </w:r>
          </w:p>
          <w:p w:rsidR="003643AD" w:rsidRPr="006234AA" w:rsidRDefault="003643AD" w:rsidP="003C0546">
            <w:pPr>
              <w:spacing w:after="120"/>
              <w:ind w:firstLine="33"/>
              <w:rPr>
                <w:lang w:val="nl-NL"/>
              </w:rPr>
            </w:pPr>
            <w:r w:rsidRPr="006234AA">
              <w:rPr>
                <w:i/>
                <w:lang w:val="nl-NL"/>
              </w:rPr>
              <w:t>(ký, ghi rõ họ tên, đóng dấu)</w:t>
            </w:r>
          </w:p>
          <w:p w:rsidR="003643AD" w:rsidRPr="006234AA" w:rsidRDefault="003643AD" w:rsidP="003C0546">
            <w:pPr>
              <w:spacing w:after="120"/>
              <w:ind w:firstLine="33"/>
              <w:rPr>
                <w:lang w:val="nl-NL"/>
              </w:rPr>
            </w:pPr>
            <w:r w:rsidRPr="006234AA">
              <w:rPr>
                <w:lang w:val="nl-NL"/>
              </w:rPr>
              <w:t xml:space="preserve">Tên công ty </w:t>
            </w:r>
          </w:p>
          <w:p w:rsidR="003643AD" w:rsidRPr="006234AA" w:rsidRDefault="003643AD" w:rsidP="003C0546">
            <w:pPr>
              <w:spacing w:after="120"/>
              <w:ind w:firstLine="33"/>
              <w:rPr>
                <w:lang w:val="nl-NL"/>
              </w:rPr>
            </w:pPr>
            <w:r w:rsidRPr="006234AA">
              <w:rPr>
                <w:lang w:val="nl-NL"/>
              </w:rPr>
              <w:t>(Nhân viên phụ trách: Số liên hệ: ...)</w:t>
            </w:r>
          </w:p>
        </w:tc>
      </w:tr>
      <w:tr w:rsidR="003643AD" w:rsidRPr="006234AA" w:rsidTr="00D60CD2">
        <w:tc>
          <w:tcPr>
            <w:tcW w:w="4643" w:type="dxa"/>
            <w:gridSpan w:val="4"/>
            <w:tcBorders>
              <w:top w:val="nil"/>
              <w:left w:val="nil"/>
              <w:bottom w:val="single" w:sz="4" w:space="0" w:color="auto"/>
              <w:right w:val="nil"/>
            </w:tcBorders>
          </w:tcPr>
          <w:p w:rsidR="003643AD" w:rsidRPr="006234AA" w:rsidRDefault="003643AD" w:rsidP="003C0546">
            <w:pPr>
              <w:spacing w:after="120"/>
              <w:ind w:firstLine="0"/>
              <w:jc w:val="left"/>
              <w:rPr>
                <w:lang w:val="nl-NL"/>
              </w:rPr>
            </w:pPr>
            <w:r w:rsidRPr="006234AA">
              <w:rPr>
                <w:lang w:val="nl-NL"/>
              </w:rPr>
              <w:t>1. Số lượng thanh toán cuối cùng</w:t>
            </w:r>
          </w:p>
        </w:tc>
        <w:tc>
          <w:tcPr>
            <w:tcW w:w="4644" w:type="dxa"/>
            <w:gridSpan w:val="2"/>
            <w:tcBorders>
              <w:top w:val="nil"/>
              <w:left w:val="nil"/>
              <w:bottom w:val="single" w:sz="4" w:space="0" w:color="auto"/>
              <w:right w:val="nil"/>
            </w:tcBorders>
          </w:tcPr>
          <w:p w:rsidR="003643AD" w:rsidRPr="006234AA" w:rsidRDefault="003643AD" w:rsidP="003C0546">
            <w:pPr>
              <w:spacing w:after="120"/>
              <w:ind w:firstLine="0"/>
              <w:jc w:val="left"/>
              <w:rPr>
                <w:lang w:val="nl-NL"/>
              </w:rPr>
            </w:pPr>
          </w:p>
        </w:tc>
      </w:tr>
      <w:tr w:rsidR="003643AD" w:rsidRPr="006234AA" w:rsidTr="00D60CD2">
        <w:tc>
          <w:tcPr>
            <w:tcW w:w="2321" w:type="dxa"/>
            <w:gridSpan w:val="2"/>
            <w:tcBorders>
              <w:top w:val="single" w:sz="4" w:space="0" w:color="auto"/>
            </w:tcBorders>
          </w:tcPr>
          <w:p w:rsidR="003643AD" w:rsidRPr="006234AA" w:rsidRDefault="003643AD" w:rsidP="003C0546">
            <w:pPr>
              <w:spacing w:after="120"/>
              <w:ind w:firstLine="0"/>
              <w:jc w:val="left"/>
              <w:rPr>
                <w:lang w:val="nl-NL"/>
              </w:rPr>
            </w:pPr>
            <w:r w:rsidRPr="006234AA">
              <w:rPr>
                <w:lang w:val="nl-NL"/>
              </w:rPr>
              <w:t>Tên hợp đồng</w:t>
            </w:r>
          </w:p>
        </w:tc>
        <w:tc>
          <w:tcPr>
            <w:tcW w:w="2322" w:type="dxa"/>
            <w:gridSpan w:val="2"/>
            <w:tcBorders>
              <w:top w:val="single" w:sz="4" w:space="0" w:color="auto"/>
            </w:tcBorders>
          </w:tcPr>
          <w:p w:rsidR="003643AD" w:rsidRPr="006234AA" w:rsidRDefault="003643AD" w:rsidP="003C0546">
            <w:pPr>
              <w:spacing w:after="120"/>
              <w:ind w:firstLine="0"/>
              <w:jc w:val="left"/>
              <w:rPr>
                <w:lang w:val="nl-NL"/>
              </w:rPr>
            </w:pPr>
            <w:r w:rsidRPr="006234AA">
              <w:rPr>
                <w:lang w:val="nl-NL"/>
              </w:rPr>
              <w:t>Mã tài khoản</w:t>
            </w:r>
          </w:p>
        </w:tc>
        <w:tc>
          <w:tcPr>
            <w:tcW w:w="4644" w:type="dxa"/>
            <w:gridSpan w:val="2"/>
            <w:tcBorders>
              <w:top w:val="single" w:sz="4" w:space="0" w:color="auto"/>
            </w:tcBorders>
          </w:tcPr>
          <w:p w:rsidR="003643AD" w:rsidRPr="006234AA" w:rsidRDefault="003643AD" w:rsidP="003C0546">
            <w:pPr>
              <w:spacing w:after="120"/>
              <w:ind w:firstLine="0"/>
              <w:jc w:val="left"/>
              <w:rPr>
                <w:lang w:val="nl-NL"/>
              </w:rPr>
            </w:pPr>
            <w:r w:rsidRPr="006234AA">
              <w:rPr>
                <w:lang w:val="nl-NL"/>
              </w:rPr>
              <w:t>Số lượng thanh toán cuối cùng</w:t>
            </w:r>
          </w:p>
        </w:tc>
      </w:tr>
      <w:tr w:rsidR="003643AD" w:rsidRPr="006234AA" w:rsidTr="00D60CD2">
        <w:tc>
          <w:tcPr>
            <w:tcW w:w="2321" w:type="dxa"/>
            <w:gridSpan w:val="2"/>
          </w:tcPr>
          <w:p w:rsidR="003643AD" w:rsidRPr="006234AA" w:rsidRDefault="003643AD" w:rsidP="003C0546">
            <w:pPr>
              <w:spacing w:after="120"/>
              <w:ind w:firstLine="0"/>
              <w:jc w:val="left"/>
              <w:rPr>
                <w:lang w:val="nl-NL"/>
              </w:rPr>
            </w:pPr>
          </w:p>
        </w:tc>
        <w:tc>
          <w:tcPr>
            <w:tcW w:w="2322" w:type="dxa"/>
            <w:gridSpan w:val="2"/>
          </w:tcPr>
          <w:p w:rsidR="003643AD" w:rsidRPr="006234AA" w:rsidRDefault="003643AD" w:rsidP="003C0546">
            <w:pPr>
              <w:spacing w:after="120"/>
              <w:ind w:firstLine="0"/>
              <w:jc w:val="left"/>
              <w:rPr>
                <w:lang w:val="nl-NL"/>
              </w:rPr>
            </w:pPr>
          </w:p>
        </w:tc>
        <w:tc>
          <w:tcPr>
            <w:tcW w:w="2322" w:type="dxa"/>
          </w:tcPr>
          <w:p w:rsidR="003643AD" w:rsidRPr="006234AA" w:rsidRDefault="003643AD" w:rsidP="003C0546">
            <w:pPr>
              <w:spacing w:after="120"/>
              <w:ind w:firstLine="0"/>
              <w:jc w:val="left"/>
              <w:rPr>
                <w:lang w:val="nl-NL"/>
              </w:rPr>
            </w:pPr>
            <w:r w:rsidRPr="006234AA">
              <w:rPr>
                <w:lang w:val="nl-NL"/>
              </w:rPr>
              <w:t>Mua</w:t>
            </w:r>
          </w:p>
        </w:tc>
        <w:tc>
          <w:tcPr>
            <w:tcW w:w="2322" w:type="dxa"/>
          </w:tcPr>
          <w:p w:rsidR="003643AD" w:rsidRPr="006234AA" w:rsidRDefault="003643AD" w:rsidP="003C0546">
            <w:pPr>
              <w:spacing w:after="120"/>
              <w:ind w:firstLine="0"/>
              <w:jc w:val="left"/>
              <w:rPr>
                <w:lang w:val="nl-NL"/>
              </w:rPr>
            </w:pPr>
            <w:r w:rsidRPr="006234AA">
              <w:rPr>
                <w:lang w:val="nl-NL"/>
              </w:rPr>
              <w:t>Bán</w:t>
            </w:r>
          </w:p>
        </w:tc>
      </w:tr>
      <w:tr w:rsidR="003643AD" w:rsidRPr="006234AA" w:rsidTr="00D60CD2">
        <w:tc>
          <w:tcPr>
            <w:tcW w:w="2321" w:type="dxa"/>
            <w:gridSpan w:val="2"/>
            <w:tcBorders>
              <w:bottom w:val="single" w:sz="4" w:space="0" w:color="auto"/>
            </w:tcBorders>
          </w:tcPr>
          <w:p w:rsidR="003643AD" w:rsidRPr="006234AA" w:rsidRDefault="003643AD" w:rsidP="003C0546">
            <w:pPr>
              <w:spacing w:after="120"/>
              <w:ind w:firstLine="0"/>
              <w:jc w:val="left"/>
              <w:rPr>
                <w:lang w:val="nl-NL"/>
              </w:rPr>
            </w:pPr>
          </w:p>
        </w:tc>
        <w:tc>
          <w:tcPr>
            <w:tcW w:w="2322" w:type="dxa"/>
            <w:gridSpan w:val="2"/>
            <w:tcBorders>
              <w:bottom w:val="single" w:sz="4" w:space="0" w:color="auto"/>
            </w:tcBorders>
          </w:tcPr>
          <w:p w:rsidR="003643AD" w:rsidRPr="006234AA" w:rsidRDefault="003643AD" w:rsidP="003C0546">
            <w:pPr>
              <w:spacing w:after="120"/>
              <w:ind w:firstLine="0"/>
              <w:jc w:val="left"/>
              <w:rPr>
                <w:lang w:val="nl-NL"/>
              </w:rPr>
            </w:pPr>
          </w:p>
        </w:tc>
        <w:tc>
          <w:tcPr>
            <w:tcW w:w="2322" w:type="dxa"/>
            <w:tcBorders>
              <w:bottom w:val="single" w:sz="4" w:space="0" w:color="auto"/>
            </w:tcBorders>
          </w:tcPr>
          <w:p w:rsidR="003643AD" w:rsidRPr="006234AA" w:rsidRDefault="003643AD" w:rsidP="003C0546">
            <w:pPr>
              <w:spacing w:after="120"/>
              <w:ind w:firstLine="0"/>
              <w:jc w:val="left"/>
              <w:rPr>
                <w:lang w:val="nl-NL"/>
              </w:rPr>
            </w:pPr>
          </w:p>
        </w:tc>
        <w:tc>
          <w:tcPr>
            <w:tcW w:w="2322" w:type="dxa"/>
            <w:tcBorders>
              <w:bottom w:val="single" w:sz="4" w:space="0" w:color="auto"/>
            </w:tcBorders>
          </w:tcPr>
          <w:p w:rsidR="003643AD" w:rsidRPr="006234AA" w:rsidRDefault="003643AD" w:rsidP="003C0546">
            <w:pPr>
              <w:spacing w:after="120"/>
              <w:ind w:firstLine="0"/>
              <w:jc w:val="left"/>
              <w:rPr>
                <w:lang w:val="nl-NL"/>
              </w:rPr>
            </w:pPr>
          </w:p>
        </w:tc>
      </w:tr>
      <w:tr w:rsidR="003643AD" w:rsidRPr="006234AA" w:rsidTr="00D60CD2">
        <w:tc>
          <w:tcPr>
            <w:tcW w:w="2321" w:type="dxa"/>
            <w:gridSpan w:val="2"/>
          </w:tcPr>
          <w:p w:rsidR="003643AD" w:rsidRPr="006234AA" w:rsidRDefault="003643AD" w:rsidP="003C0546">
            <w:pPr>
              <w:spacing w:after="120"/>
              <w:ind w:firstLine="0"/>
              <w:jc w:val="left"/>
              <w:rPr>
                <w:lang w:val="nl-NL"/>
              </w:rPr>
            </w:pPr>
          </w:p>
        </w:tc>
        <w:tc>
          <w:tcPr>
            <w:tcW w:w="2322" w:type="dxa"/>
            <w:gridSpan w:val="2"/>
          </w:tcPr>
          <w:p w:rsidR="003643AD" w:rsidRPr="006234AA" w:rsidRDefault="003643AD" w:rsidP="003C0546">
            <w:pPr>
              <w:spacing w:after="120"/>
              <w:ind w:firstLine="0"/>
              <w:jc w:val="left"/>
              <w:rPr>
                <w:lang w:val="nl-NL"/>
              </w:rPr>
            </w:pPr>
          </w:p>
        </w:tc>
        <w:tc>
          <w:tcPr>
            <w:tcW w:w="2322" w:type="dxa"/>
          </w:tcPr>
          <w:p w:rsidR="003643AD" w:rsidRPr="006234AA" w:rsidRDefault="003643AD" w:rsidP="003C0546">
            <w:pPr>
              <w:spacing w:after="120"/>
              <w:ind w:firstLine="0"/>
              <w:jc w:val="left"/>
              <w:rPr>
                <w:lang w:val="nl-NL"/>
              </w:rPr>
            </w:pPr>
          </w:p>
        </w:tc>
        <w:tc>
          <w:tcPr>
            <w:tcW w:w="2322" w:type="dxa"/>
          </w:tcPr>
          <w:p w:rsidR="003643AD" w:rsidRPr="006234AA" w:rsidRDefault="003643AD" w:rsidP="003C0546">
            <w:pPr>
              <w:spacing w:after="120"/>
              <w:ind w:firstLine="0"/>
              <w:jc w:val="left"/>
              <w:rPr>
                <w:lang w:val="nl-NL"/>
              </w:rPr>
            </w:pPr>
          </w:p>
        </w:tc>
      </w:tr>
      <w:tr w:rsidR="003643AD" w:rsidRPr="006234AA" w:rsidTr="00D60CD2">
        <w:tc>
          <w:tcPr>
            <w:tcW w:w="2321" w:type="dxa"/>
            <w:gridSpan w:val="2"/>
            <w:tcBorders>
              <w:bottom w:val="single" w:sz="4" w:space="0" w:color="auto"/>
            </w:tcBorders>
          </w:tcPr>
          <w:p w:rsidR="003643AD" w:rsidRPr="006234AA" w:rsidRDefault="003643AD" w:rsidP="003C0546">
            <w:pPr>
              <w:spacing w:after="120"/>
              <w:ind w:firstLine="0"/>
              <w:jc w:val="left"/>
              <w:rPr>
                <w:lang w:val="nl-NL"/>
              </w:rPr>
            </w:pPr>
          </w:p>
        </w:tc>
        <w:tc>
          <w:tcPr>
            <w:tcW w:w="2322" w:type="dxa"/>
            <w:gridSpan w:val="2"/>
            <w:tcBorders>
              <w:bottom w:val="single" w:sz="4" w:space="0" w:color="auto"/>
            </w:tcBorders>
          </w:tcPr>
          <w:p w:rsidR="003643AD" w:rsidRPr="006234AA" w:rsidRDefault="003643AD" w:rsidP="003C0546">
            <w:pPr>
              <w:spacing w:after="120"/>
              <w:ind w:firstLine="0"/>
              <w:jc w:val="left"/>
              <w:rPr>
                <w:lang w:val="nl-NL"/>
              </w:rPr>
            </w:pPr>
          </w:p>
        </w:tc>
        <w:tc>
          <w:tcPr>
            <w:tcW w:w="2322" w:type="dxa"/>
            <w:tcBorders>
              <w:bottom w:val="single" w:sz="4" w:space="0" w:color="auto"/>
            </w:tcBorders>
          </w:tcPr>
          <w:p w:rsidR="003643AD" w:rsidRPr="006234AA" w:rsidRDefault="003643AD" w:rsidP="003C0546">
            <w:pPr>
              <w:spacing w:after="120"/>
              <w:ind w:firstLine="0"/>
              <w:jc w:val="left"/>
              <w:rPr>
                <w:lang w:val="nl-NL"/>
              </w:rPr>
            </w:pPr>
          </w:p>
        </w:tc>
        <w:tc>
          <w:tcPr>
            <w:tcW w:w="2322" w:type="dxa"/>
            <w:tcBorders>
              <w:bottom w:val="single" w:sz="4" w:space="0" w:color="auto"/>
            </w:tcBorders>
          </w:tcPr>
          <w:p w:rsidR="003643AD" w:rsidRPr="006234AA" w:rsidRDefault="003643AD" w:rsidP="003C0546">
            <w:pPr>
              <w:spacing w:after="120"/>
              <w:ind w:firstLine="0"/>
              <w:jc w:val="left"/>
              <w:rPr>
                <w:lang w:val="nl-NL"/>
              </w:rPr>
            </w:pPr>
          </w:p>
        </w:tc>
      </w:tr>
      <w:tr w:rsidR="003643AD" w:rsidRPr="006234AA" w:rsidTr="00D60CD2">
        <w:tc>
          <w:tcPr>
            <w:tcW w:w="9287" w:type="dxa"/>
            <w:gridSpan w:val="6"/>
            <w:tcBorders>
              <w:top w:val="single" w:sz="4" w:space="0" w:color="auto"/>
              <w:left w:val="nil"/>
              <w:bottom w:val="single" w:sz="4" w:space="0" w:color="auto"/>
              <w:right w:val="nil"/>
            </w:tcBorders>
          </w:tcPr>
          <w:p w:rsidR="003643AD" w:rsidRPr="006234AA" w:rsidRDefault="003643AD" w:rsidP="003C0546">
            <w:pPr>
              <w:spacing w:after="120"/>
              <w:ind w:firstLine="0"/>
              <w:jc w:val="left"/>
              <w:rPr>
                <w:lang w:val="nl-NL"/>
              </w:rPr>
            </w:pPr>
          </w:p>
          <w:p w:rsidR="003643AD" w:rsidRPr="006234AA" w:rsidRDefault="003643AD" w:rsidP="003C0546">
            <w:pPr>
              <w:spacing w:after="120"/>
              <w:ind w:firstLine="0"/>
              <w:jc w:val="left"/>
              <w:rPr>
                <w:lang w:val="nl-NL"/>
              </w:rPr>
            </w:pPr>
            <w:r w:rsidRPr="006234AA">
              <w:rPr>
                <w:lang w:val="nl-NL"/>
              </w:rPr>
              <w:t>2. Các trái phiếu do bên nắm giữ vị thế bán chuyển giao</w:t>
            </w:r>
          </w:p>
        </w:tc>
      </w:tr>
      <w:tr w:rsidR="003643AD" w:rsidRPr="006234AA" w:rsidTr="00D60CD2">
        <w:trPr>
          <w:trHeight w:val="521"/>
        </w:trPr>
        <w:tc>
          <w:tcPr>
            <w:tcW w:w="1809" w:type="dxa"/>
            <w:vMerge w:val="restart"/>
            <w:tcBorders>
              <w:top w:val="single" w:sz="4" w:space="0" w:color="auto"/>
            </w:tcBorders>
          </w:tcPr>
          <w:p w:rsidR="003643AD" w:rsidRPr="006234AA" w:rsidRDefault="003643AD" w:rsidP="003C0546">
            <w:pPr>
              <w:spacing w:after="120"/>
              <w:ind w:firstLine="0"/>
              <w:jc w:val="left"/>
              <w:rPr>
                <w:lang w:val="nl-NL"/>
              </w:rPr>
            </w:pPr>
            <w:r w:rsidRPr="006234AA">
              <w:rPr>
                <w:lang w:val="nl-NL"/>
              </w:rPr>
              <w:t>Mã tài khoản</w:t>
            </w:r>
          </w:p>
        </w:tc>
        <w:tc>
          <w:tcPr>
            <w:tcW w:w="2834" w:type="dxa"/>
            <w:gridSpan w:val="3"/>
            <w:tcBorders>
              <w:top w:val="single" w:sz="4" w:space="0" w:color="auto"/>
            </w:tcBorders>
          </w:tcPr>
          <w:p w:rsidR="003643AD" w:rsidRPr="006234AA" w:rsidRDefault="003643AD" w:rsidP="003C0546">
            <w:pPr>
              <w:spacing w:after="120"/>
              <w:ind w:firstLine="0"/>
              <w:jc w:val="left"/>
              <w:rPr>
                <w:lang w:val="nl-NL"/>
              </w:rPr>
            </w:pPr>
            <w:r w:rsidRPr="006234AA">
              <w:rPr>
                <w:lang w:val="nl-NL"/>
              </w:rPr>
              <w:t>Trái phiếu chuyển giao</w:t>
            </w:r>
          </w:p>
        </w:tc>
        <w:tc>
          <w:tcPr>
            <w:tcW w:w="2322" w:type="dxa"/>
            <w:vMerge w:val="restart"/>
            <w:tcBorders>
              <w:top w:val="single" w:sz="4" w:space="0" w:color="auto"/>
            </w:tcBorders>
          </w:tcPr>
          <w:p w:rsidR="003643AD" w:rsidRPr="006234AA" w:rsidRDefault="003643AD" w:rsidP="003C0546">
            <w:pPr>
              <w:spacing w:after="120"/>
              <w:ind w:firstLine="0"/>
              <w:jc w:val="left"/>
              <w:rPr>
                <w:lang w:val="nl-NL"/>
              </w:rPr>
            </w:pPr>
            <w:r w:rsidRPr="006234AA">
              <w:rPr>
                <w:lang w:val="nl-NL"/>
              </w:rPr>
              <w:t xml:space="preserve">Số lượng thanh </w:t>
            </w:r>
            <w:r w:rsidRPr="006234AA">
              <w:rPr>
                <w:lang w:val="nl-NL"/>
              </w:rPr>
              <w:lastRenderedPageBreak/>
              <w:t>toán cuối cùng (số hợp đồng)</w:t>
            </w:r>
          </w:p>
        </w:tc>
        <w:tc>
          <w:tcPr>
            <w:tcW w:w="2322" w:type="dxa"/>
            <w:vMerge w:val="restart"/>
            <w:tcBorders>
              <w:top w:val="single" w:sz="4" w:space="0" w:color="auto"/>
            </w:tcBorders>
          </w:tcPr>
          <w:p w:rsidR="003643AD" w:rsidRPr="006234AA" w:rsidRDefault="003643AD" w:rsidP="003C0546">
            <w:pPr>
              <w:spacing w:after="120"/>
              <w:ind w:firstLine="0"/>
              <w:jc w:val="left"/>
              <w:rPr>
                <w:lang w:val="nl-NL"/>
              </w:rPr>
            </w:pPr>
            <w:r w:rsidRPr="006234AA">
              <w:rPr>
                <w:lang w:val="nl-NL"/>
              </w:rPr>
              <w:lastRenderedPageBreak/>
              <w:t xml:space="preserve">Lượng chuyển </w:t>
            </w:r>
            <w:r w:rsidRPr="006234AA">
              <w:rPr>
                <w:lang w:val="nl-NL"/>
              </w:rPr>
              <w:lastRenderedPageBreak/>
              <w:t>giao (giá trị danh nghĩa)</w:t>
            </w:r>
          </w:p>
        </w:tc>
      </w:tr>
      <w:tr w:rsidR="003643AD" w:rsidRPr="006234AA" w:rsidTr="00D60CD2">
        <w:trPr>
          <w:trHeight w:val="157"/>
        </w:trPr>
        <w:tc>
          <w:tcPr>
            <w:tcW w:w="1809" w:type="dxa"/>
            <w:vMerge/>
          </w:tcPr>
          <w:p w:rsidR="003643AD" w:rsidRPr="006234AA" w:rsidRDefault="003643AD" w:rsidP="003C0546">
            <w:pPr>
              <w:spacing w:after="120"/>
              <w:ind w:firstLine="0"/>
              <w:jc w:val="left"/>
              <w:rPr>
                <w:lang w:val="nl-NL"/>
              </w:rPr>
            </w:pPr>
          </w:p>
        </w:tc>
        <w:tc>
          <w:tcPr>
            <w:tcW w:w="1276" w:type="dxa"/>
            <w:gridSpan w:val="2"/>
          </w:tcPr>
          <w:p w:rsidR="003643AD" w:rsidRPr="006234AA" w:rsidRDefault="003643AD" w:rsidP="003C0546">
            <w:pPr>
              <w:spacing w:after="120"/>
              <w:ind w:firstLine="0"/>
              <w:jc w:val="left"/>
              <w:rPr>
                <w:lang w:val="nl-NL"/>
              </w:rPr>
            </w:pPr>
            <w:r w:rsidRPr="006234AA">
              <w:rPr>
                <w:lang w:val="nl-NL"/>
              </w:rPr>
              <w:t xml:space="preserve">Tên </w:t>
            </w:r>
          </w:p>
        </w:tc>
        <w:tc>
          <w:tcPr>
            <w:tcW w:w="1558" w:type="dxa"/>
          </w:tcPr>
          <w:p w:rsidR="003643AD" w:rsidRPr="006234AA" w:rsidRDefault="003643AD" w:rsidP="003C0546">
            <w:pPr>
              <w:spacing w:after="120"/>
              <w:ind w:firstLine="0"/>
              <w:jc w:val="left"/>
              <w:rPr>
                <w:lang w:val="nl-NL"/>
              </w:rPr>
            </w:pPr>
            <w:r w:rsidRPr="006234AA">
              <w:rPr>
                <w:lang w:val="nl-NL"/>
              </w:rPr>
              <w:t>Mã</w:t>
            </w:r>
          </w:p>
        </w:tc>
        <w:tc>
          <w:tcPr>
            <w:tcW w:w="2322" w:type="dxa"/>
            <w:vMerge/>
          </w:tcPr>
          <w:p w:rsidR="003643AD" w:rsidRPr="006234AA" w:rsidRDefault="003643AD" w:rsidP="003C0546">
            <w:pPr>
              <w:spacing w:after="120"/>
              <w:ind w:firstLine="0"/>
              <w:jc w:val="left"/>
              <w:rPr>
                <w:lang w:val="nl-NL"/>
              </w:rPr>
            </w:pPr>
          </w:p>
        </w:tc>
        <w:tc>
          <w:tcPr>
            <w:tcW w:w="2322" w:type="dxa"/>
            <w:vMerge/>
          </w:tcPr>
          <w:p w:rsidR="003643AD" w:rsidRPr="006234AA" w:rsidRDefault="003643AD" w:rsidP="003C0546">
            <w:pPr>
              <w:spacing w:after="120"/>
              <w:ind w:firstLine="0"/>
              <w:jc w:val="left"/>
              <w:rPr>
                <w:lang w:val="nl-NL"/>
              </w:rPr>
            </w:pPr>
          </w:p>
        </w:tc>
      </w:tr>
      <w:tr w:rsidR="003643AD" w:rsidRPr="006234AA" w:rsidTr="00D60CD2">
        <w:trPr>
          <w:trHeight w:val="157"/>
        </w:trPr>
        <w:tc>
          <w:tcPr>
            <w:tcW w:w="1809" w:type="dxa"/>
          </w:tcPr>
          <w:p w:rsidR="003643AD" w:rsidRPr="006234AA" w:rsidRDefault="003643AD" w:rsidP="003C0546">
            <w:pPr>
              <w:spacing w:after="120"/>
              <w:ind w:firstLine="0"/>
              <w:jc w:val="left"/>
              <w:rPr>
                <w:lang w:val="nl-NL"/>
              </w:rPr>
            </w:pPr>
          </w:p>
        </w:tc>
        <w:tc>
          <w:tcPr>
            <w:tcW w:w="1276" w:type="dxa"/>
            <w:gridSpan w:val="2"/>
          </w:tcPr>
          <w:p w:rsidR="003643AD" w:rsidRPr="006234AA" w:rsidRDefault="003643AD" w:rsidP="003C0546">
            <w:pPr>
              <w:spacing w:after="120"/>
              <w:ind w:firstLine="0"/>
              <w:jc w:val="left"/>
              <w:rPr>
                <w:lang w:val="nl-NL"/>
              </w:rPr>
            </w:pPr>
          </w:p>
        </w:tc>
        <w:tc>
          <w:tcPr>
            <w:tcW w:w="1558" w:type="dxa"/>
          </w:tcPr>
          <w:p w:rsidR="003643AD" w:rsidRPr="006234AA" w:rsidRDefault="003643AD" w:rsidP="003C0546">
            <w:pPr>
              <w:spacing w:after="120"/>
              <w:ind w:firstLine="0"/>
              <w:jc w:val="left"/>
              <w:rPr>
                <w:lang w:val="nl-NL"/>
              </w:rPr>
            </w:pPr>
          </w:p>
        </w:tc>
        <w:tc>
          <w:tcPr>
            <w:tcW w:w="2322" w:type="dxa"/>
          </w:tcPr>
          <w:p w:rsidR="003643AD" w:rsidRPr="006234AA" w:rsidRDefault="003643AD" w:rsidP="003C0546">
            <w:pPr>
              <w:spacing w:after="120"/>
              <w:ind w:firstLine="0"/>
              <w:jc w:val="left"/>
              <w:rPr>
                <w:lang w:val="nl-NL"/>
              </w:rPr>
            </w:pPr>
          </w:p>
        </w:tc>
        <w:tc>
          <w:tcPr>
            <w:tcW w:w="2322" w:type="dxa"/>
          </w:tcPr>
          <w:p w:rsidR="003643AD" w:rsidRPr="006234AA" w:rsidRDefault="003643AD" w:rsidP="003C0546">
            <w:pPr>
              <w:spacing w:after="120"/>
              <w:ind w:firstLine="0"/>
              <w:jc w:val="left"/>
              <w:rPr>
                <w:lang w:val="nl-NL"/>
              </w:rPr>
            </w:pPr>
          </w:p>
        </w:tc>
      </w:tr>
      <w:tr w:rsidR="003643AD" w:rsidRPr="006234AA" w:rsidTr="00D60CD2">
        <w:trPr>
          <w:trHeight w:val="157"/>
        </w:trPr>
        <w:tc>
          <w:tcPr>
            <w:tcW w:w="1809" w:type="dxa"/>
          </w:tcPr>
          <w:p w:rsidR="003643AD" w:rsidRPr="006234AA" w:rsidRDefault="003643AD" w:rsidP="003C0546">
            <w:pPr>
              <w:spacing w:after="120"/>
              <w:ind w:firstLine="0"/>
              <w:jc w:val="left"/>
              <w:rPr>
                <w:lang w:val="nl-NL"/>
              </w:rPr>
            </w:pPr>
          </w:p>
        </w:tc>
        <w:tc>
          <w:tcPr>
            <w:tcW w:w="1276" w:type="dxa"/>
            <w:gridSpan w:val="2"/>
          </w:tcPr>
          <w:p w:rsidR="003643AD" w:rsidRPr="006234AA" w:rsidRDefault="003643AD" w:rsidP="003C0546">
            <w:pPr>
              <w:spacing w:after="120"/>
              <w:ind w:firstLine="0"/>
              <w:jc w:val="left"/>
              <w:rPr>
                <w:lang w:val="nl-NL"/>
              </w:rPr>
            </w:pPr>
          </w:p>
        </w:tc>
        <w:tc>
          <w:tcPr>
            <w:tcW w:w="1558" w:type="dxa"/>
          </w:tcPr>
          <w:p w:rsidR="003643AD" w:rsidRPr="006234AA" w:rsidRDefault="003643AD" w:rsidP="003C0546">
            <w:pPr>
              <w:spacing w:after="120"/>
              <w:ind w:firstLine="0"/>
              <w:jc w:val="left"/>
              <w:rPr>
                <w:lang w:val="nl-NL"/>
              </w:rPr>
            </w:pPr>
          </w:p>
        </w:tc>
        <w:tc>
          <w:tcPr>
            <w:tcW w:w="2322" w:type="dxa"/>
          </w:tcPr>
          <w:p w:rsidR="003643AD" w:rsidRPr="006234AA" w:rsidRDefault="003643AD" w:rsidP="003C0546">
            <w:pPr>
              <w:spacing w:after="120"/>
              <w:ind w:firstLine="0"/>
              <w:jc w:val="left"/>
              <w:rPr>
                <w:lang w:val="nl-NL"/>
              </w:rPr>
            </w:pPr>
          </w:p>
        </w:tc>
        <w:tc>
          <w:tcPr>
            <w:tcW w:w="2322" w:type="dxa"/>
          </w:tcPr>
          <w:p w:rsidR="003643AD" w:rsidRPr="006234AA" w:rsidRDefault="003643AD" w:rsidP="003C0546">
            <w:pPr>
              <w:spacing w:after="120"/>
              <w:ind w:firstLine="0"/>
              <w:jc w:val="left"/>
              <w:rPr>
                <w:lang w:val="nl-NL"/>
              </w:rPr>
            </w:pPr>
          </w:p>
        </w:tc>
      </w:tr>
      <w:tr w:rsidR="003643AD" w:rsidRPr="006234AA" w:rsidTr="00D60CD2">
        <w:trPr>
          <w:trHeight w:val="157"/>
        </w:trPr>
        <w:tc>
          <w:tcPr>
            <w:tcW w:w="1809" w:type="dxa"/>
          </w:tcPr>
          <w:p w:rsidR="003643AD" w:rsidRPr="006234AA" w:rsidRDefault="003643AD" w:rsidP="003C0546">
            <w:pPr>
              <w:spacing w:after="120"/>
              <w:ind w:firstLine="0"/>
              <w:jc w:val="left"/>
              <w:rPr>
                <w:lang w:val="nl-NL"/>
              </w:rPr>
            </w:pPr>
          </w:p>
        </w:tc>
        <w:tc>
          <w:tcPr>
            <w:tcW w:w="1276" w:type="dxa"/>
            <w:gridSpan w:val="2"/>
          </w:tcPr>
          <w:p w:rsidR="003643AD" w:rsidRPr="006234AA" w:rsidRDefault="003643AD" w:rsidP="003C0546">
            <w:pPr>
              <w:spacing w:after="120"/>
              <w:ind w:firstLine="0"/>
              <w:jc w:val="left"/>
              <w:rPr>
                <w:lang w:val="nl-NL"/>
              </w:rPr>
            </w:pPr>
          </w:p>
        </w:tc>
        <w:tc>
          <w:tcPr>
            <w:tcW w:w="1558" w:type="dxa"/>
          </w:tcPr>
          <w:p w:rsidR="003643AD" w:rsidRPr="006234AA" w:rsidRDefault="003643AD" w:rsidP="003C0546">
            <w:pPr>
              <w:spacing w:after="120"/>
              <w:ind w:firstLine="0"/>
              <w:jc w:val="left"/>
              <w:rPr>
                <w:lang w:val="nl-NL"/>
              </w:rPr>
            </w:pPr>
          </w:p>
        </w:tc>
        <w:tc>
          <w:tcPr>
            <w:tcW w:w="2322" w:type="dxa"/>
          </w:tcPr>
          <w:p w:rsidR="003643AD" w:rsidRPr="006234AA" w:rsidRDefault="003643AD" w:rsidP="003C0546">
            <w:pPr>
              <w:spacing w:after="120"/>
              <w:ind w:firstLine="0"/>
              <w:jc w:val="left"/>
              <w:rPr>
                <w:lang w:val="nl-NL"/>
              </w:rPr>
            </w:pPr>
          </w:p>
        </w:tc>
        <w:tc>
          <w:tcPr>
            <w:tcW w:w="2322" w:type="dxa"/>
          </w:tcPr>
          <w:p w:rsidR="003643AD" w:rsidRPr="006234AA" w:rsidRDefault="003643AD" w:rsidP="003C0546">
            <w:pPr>
              <w:spacing w:after="120"/>
              <w:ind w:firstLine="0"/>
              <w:jc w:val="left"/>
              <w:rPr>
                <w:lang w:val="nl-NL"/>
              </w:rPr>
            </w:pPr>
          </w:p>
        </w:tc>
      </w:tr>
    </w:tbl>
    <w:p w:rsidR="003643AD" w:rsidRPr="006234AA" w:rsidRDefault="003643AD" w:rsidP="003C0546">
      <w:pPr>
        <w:spacing w:after="120"/>
        <w:ind w:firstLine="0"/>
        <w:jc w:val="left"/>
        <w:rPr>
          <w:lang w:val="nl-NL"/>
        </w:rPr>
      </w:pPr>
    </w:p>
    <w:p w:rsidR="003643AD" w:rsidRPr="006234AA" w:rsidRDefault="003643AD" w:rsidP="003C0546">
      <w:pPr>
        <w:spacing w:after="120"/>
        <w:rPr>
          <w:lang w:val="nl-NL"/>
        </w:rPr>
      </w:pPr>
      <w:r w:rsidRPr="006234AA">
        <w:rPr>
          <w:lang w:val="nl-NL"/>
        </w:rPr>
        <w:t xml:space="preserve">Ghi chú: </w:t>
      </w:r>
    </w:p>
    <w:p w:rsidR="003643AD" w:rsidRPr="006234AA" w:rsidRDefault="003643AD" w:rsidP="003C0546">
      <w:pPr>
        <w:spacing w:after="120"/>
        <w:rPr>
          <w:lang w:val="nl-NL"/>
        </w:rPr>
      </w:pPr>
      <w:r w:rsidRPr="006234AA">
        <w:rPr>
          <w:lang w:val="nl-NL"/>
        </w:rPr>
        <w:t xml:space="preserve">1. *: Để trống. </w:t>
      </w:r>
    </w:p>
    <w:p w:rsidR="003643AD" w:rsidRPr="006234AA" w:rsidRDefault="003643AD" w:rsidP="003C0546">
      <w:pPr>
        <w:spacing w:after="120"/>
        <w:rPr>
          <w:lang w:val="nl-NL"/>
        </w:rPr>
      </w:pPr>
      <w:r w:rsidRPr="006234AA">
        <w:rPr>
          <w:lang w:val="nl-NL"/>
        </w:rPr>
        <w:t xml:space="preserve">2. (đóng dấu): Sử dụng con dấu mà các thành viên đã đăng ký chính thức với Sở giao dịch chứng khoán. </w:t>
      </w:r>
    </w:p>
    <w:p w:rsidR="003643AD" w:rsidRPr="006234AA" w:rsidRDefault="003643AD" w:rsidP="003C0546">
      <w:pPr>
        <w:spacing w:after="120"/>
        <w:rPr>
          <w:lang w:val="nl-NL"/>
        </w:rPr>
      </w:pPr>
      <w:r w:rsidRPr="006234AA">
        <w:rPr>
          <w:lang w:val="nl-NL"/>
        </w:rPr>
        <w:t xml:space="preserve">3. Số lượng tất toán cho vị thế mua hoặc bán phải được tính cho từng tài khoản. </w:t>
      </w:r>
    </w:p>
    <w:p w:rsidR="003643AD" w:rsidRPr="006234AA" w:rsidRDefault="003643AD" w:rsidP="003C0546">
      <w:pPr>
        <w:spacing w:after="120"/>
        <w:rPr>
          <w:lang w:val="nl-NL"/>
        </w:rPr>
      </w:pPr>
      <w:r w:rsidRPr="006234AA">
        <w:rPr>
          <w:lang w:val="nl-NL"/>
        </w:rPr>
        <w:t>4. Các trái phiếu chuyển giao phải được tính toán cho từng tài khoản và từng trái phiếu chuyển giao.</w:t>
      </w:r>
    </w:p>
    <w:p w:rsidR="00D9612D" w:rsidRPr="006234AA" w:rsidRDefault="00D9612D" w:rsidP="003C0546">
      <w:pPr>
        <w:spacing w:after="120"/>
        <w:rPr>
          <w:lang w:val="nl-NL"/>
        </w:rPr>
      </w:pPr>
    </w:p>
    <w:p w:rsidR="00D9612D" w:rsidRPr="006234AA" w:rsidRDefault="00D9612D" w:rsidP="003C0546">
      <w:pPr>
        <w:spacing w:after="120"/>
        <w:ind w:firstLine="0"/>
        <w:jc w:val="left"/>
        <w:rPr>
          <w:lang w:val="nl-NL"/>
        </w:rPr>
      </w:pPr>
      <w:r w:rsidRPr="006234AA">
        <w:rPr>
          <w:lang w:val="nl-NL"/>
        </w:rPr>
        <w:br w:type="page"/>
      </w:r>
    </w:p>
    <w:p w:rsidR="00D9612D" w:rsidRPr="006234AA" w:rsidRDefault="00D9612D" w:rsidP="003C0546">
      <w:pPr>
        <w:pStyle w:val="Heading5"/>
        <w:spacing w:after="120"/>
        <w:ind w:left="2268" w:hanging="2912"/>
      </w:pPr>
      <w:bookmarkStart w:id="265" w:name="_Toc388876129"/>
      <w:bookmarkStart w:id="266" w:name="_Toc422672035"/>
      <w:r w:rsidRPr="006234AA">
        <w:lastRenderedPageBreak/>
        <w:t xml:space="preserve">Thông báo nộp/yêu cầu rút tiền ký quỹ </w:t>
      </w:r>
      <w:r w:rsidR="00666F37" w:rsidRPr="006234AA">
        <w:t>bù trừ, thanh toán</w:t>
      </w:r>
      <w:bookmarkEnd w:id="265"/>
      <w:bookmarkEnd w:id="266"/>
      <w:r w:rsidRPr="006234AA">
        <w:t xml:space="preserve"> </w:t>
      </w:r>
    </w:p>
    <w:p w:rsidR="00185D41" w:rsidRPr="006234AA" w:rsidRDefault="00185D41"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185D41" w:rsidRPr="006234AA" w:rsidRDefault="00185D41" w:rsidP="003C0546">
      <w:pPr>
        <w:spacing w:after="120"/>
        <w:rPr>
          <w:lang w:val="nl-NL"/>
        </w:rPr>
      </w:pPr>
    </w:p>
    <w:tbl>
      <w:tblPr>
        <w:tblStyle w:val="TableGrid"/>
        <w:tblW w:w="0" w:type="auto"/>
        <w:tblLook w:val="04A0"/>
      </w:tblPr>
      <w:tblGrid>
        <w:gridCol w:w="1668"/>
        <w:gridCol w:w="1701"/>
        <w:gridCol w:w="2202"/>
        <w:gridCol w:w="1200"/>
        <w:gridCol w:w="2516"/>
      </w:tblGrid>
      <w:tr w:rsidR="00185D41" w:rsidRPr="006234AA" w:rsidTr="00A15B69">
        <w:tc>
          <w:tcPr>
            <w:tcW w:w="1668" w:type="dxa"/>
          </w:tcPr>
          <w:p w:rsidR="00185D41" w:rsidRPr="006234AA" w:rsidRDefault="00185D41" w:rsidP="003C0546">
            <w:pPr>
              <w:spacing w:after="120"/>
              <w:ind w:firstLine="0"/>
              <w:jc w:val="center"/>
              <w:rPr>
                <w:lang w:val="nl-NL"/>
              </w:rPr>
            </w:pPr>
            <w:r w:rsidRPr="006234AA">
              <w:rPr>
                <w:lang w:val="nl-NL"/>
              </w:rPr>
              <w:t>Người nhận</w:t>
            </w:r>
          </w:p>
        </w:tc>
        <w:tc>
          <w:tcPr>
            <w:tcW w:w="1701" w:type="dxa"/>
          </w:tcPr>
          <w:p w:rsidR="00185D41" w:rsidRPr="006234AA" w:rsidRDefault="00185D41" w:rsidP="003C0546">
            <w:pPr>
              <w:spacing w:after="120"/>
              <w:ind w:firstLine="0"/>
              <w:jc w:val="center"/>
              <w:rPr>
                <w:lang w:val="nl-NL"/>
              </w:rPr>
            </w:pPr>
            <w:r w:rsidRPr="006234AA">
              <w:rPr>
                <w:lang w:val="nl-NL"/>
              </w:rPr>
              <w:t>Người nhập</w:t>
            </w:r>
          </w:p>
        </w:tc>
        <w:tc>
          <w:tcPr>
            <w:tcW w:w="2202" w:type="dxa"/>
            <w:tcBorders>
              <w:right w:val="single" w:sz="4" w:space="0" w:color="auto"/>
            </w:tcBorders>
          </w:tcPr>
          <w:p w:rsidR="00185D41" w:rsidRPr="006234AA" w:rsidRDefault="00185D41" w:rsidP="003C0546">
            <w:pPr>
              <w:spacing w:after="120"/>
              <w:ind w:firstLine="0"/>
              <w:jc w:val="center"/>
              <w:rPr>
                <w:lang w:val="nl-NL"/>
              </w:rPr>
            </w:pPr>
            <w:r w:rsidRPr="006234AA">
              <w:rPr>
                <w:lang w:val="nl-NL"/>
              </w:rPr>
              <w:t>Người xác nhận</w:t>
            </w:r>
          </w:p>
        </w:tc>
        <w:tc>
          <w:tcPr>
            <w:tcW w:w="1200" w:type="dxa"/>
            <w:tcBorders>
              <w:top w:val="nil"/>
              <w:left w:val="single" w:sz="4" w:space="0" w:color="auto"/>
              <w:bottom w:val="nil"/>
              <w:right w:val="single" w:sz="4" w:space="0" w:color="auto"/>
            </w:tcBorders>
          </w:tcPr>
          <w:p w:rsidR="00185D41" w:rsidRPr="006234AA" w:rsidRDefault="00185D41" w:rsidP="003C0546">
            <w:pPr>
              <w:spacing w:after="120"/>
              <w:ind w:firstLine="0"/>
              <w:jc w:val="center"/>
              <w:rPr>
                <w:lang w:val="nl-NL"/>
              </w:rPr>
            </w:pPr>
          </w:p>
        </w:tc>
        <w:tc>
          <w:tcPr>
            <w:tcW w:w="2516" w:type="dxa"/>
            <w:tcBorders>
              <w:left w:val="single" w:sz="4" w:space="0" w:color="auto"/>
            </w:tcBorders>
          </w:tcPr>
          <w:p w:rsidR="00185D41" w:rsidRPr="006234AA" w:rsidRDefault="00185D41" w:rsidP="003C0546">
            <w:pPr>
              <w:spacing w:after="120"/>
              <w:ind w:firstLine="0"/>
              <w:jc w:val="center"/>
              <w:rPr>
                <w:lang w:val="nl-NL"/>
              </w:rPr>
            </w:pPr>
            <w:r w:rsidRPr="006234AA">
              <w:rPr>
                <w:lang w:val="nl-NL"/>
              </w:rPr>
              <w:t>Xác nhận nộp/rút</w:t>
            </w:r>
          </w:p>
        </w:tc>
      </w:tr>
      <w:tr w:rsidR="00185D41" w:rsidRPr="006234AA" w:rsidTr="00A15B69">
        <w:tc>
          <w:tcPr>
            <w:tcW w:w="1668" w:type="dxa"/>
          </w:tcPr>
          <w:p w:rsidR="00185D41" w:rsidRPr="006234AA" w:rsidRDefault="00185D41" w:rsidP="003C0546">
            <w:pPr>
              <w:spacing w:after="120"/>
              <w:ind w:firstLine="0"/>
              <w:jc w:val="center"/>
              <w:rPr>
                <w:lang w:val="nl-NL"/>
              </w:rPr>
            </w:pPr>
            <w:r w:rsidRPr="006234AA">
              <w:rPr>
                <w:lang w:val="nl-NL"/>
              </w:rPr>
              <w:t>*</w:t>
            </w:r>
          </w:p>
        </w:tc>
        <w:tc>
          <w:tcPr>
            <w:tcW w:w="1701" w:type="dxa"/>
          </w:tcPr>
          <w:p w:rsidR="00185D41" w:rsidRPr="006234AA" w:rsidRDefault="00185D41" w:rsidP="003C0546">
            <w:pPr>
              <w:spacing w:after="120"/>
              <w:ind w:firstLine="0"/>
              <w:jc w:val="center"/>
              <w:rPr>
                <w:lang w:val="nl-NL"/>
              </w:rPr>
            </w:pPr>
            <w:r w:rsidRPr="006234AA">
              <w:rPr>
                <w:lang w:val="nl-NL"/>
              </w:rPr>
              <w:t>*</w:t>
            </w:r>
          </w:p>
        </w:tc>
        <w:tc>
          <w:tcPr>
            <w:tcW w:w="2202" w:type="dxa"/>
            <w:tcBorders>
              <w:right w:val="single" w:sz="4" w:space="0" w:color="auto"/>
            </w:tcBorders>
          </w:tcPr>
          <w:p w:rsidR="00185D41" w:rsidRPr="006234AA" w:rsidRDefault="00185D41" w:rsidP="003C0546">
            <w:pPr>
              <w:spacing w:after="120"/>
              <w:ind w:firstLine="0"/>
              <w:jc w:val="center"/>
              <w:rPr>
                <w:lang w:val="nl-NL"/>
              </w:rPr>
            </w:pPr>
            <w:r w:rsidRPr="006234AA">
              <w:rPr>
                <w:lang w:val="nl-NL"/>
              </w:rPr>
              <w:t>*</w:t>
            </w:r>
          </w:p>
        </w:tc>
        <w:tc>
          <w:tcPr>
            <w:tcW w:w="1200" w:type="dxa"/>
            <w:tcBorders>
              <w:top w:val="nil"/>
              <w:left w:val="single" w:sz="4" w:space="0" w:color="auto"/>
              <w:bottom w:val="nil"/>
              <w:right w:val="single" w:sz="4" w:space="0" w:color="auto"/>
            </w:tcBorders>
          </w:tcPr>
          <w:p w:rsidR="00185D41" w:rsidRPr="006234AA" w:rsidRDefault="00185D41" w:rsidP="003C0546">
            <w:pPr>
              <w:spacing w:after="120"/>
              <w:ind w:firstLine="0"/>
              <w:jc w:val="center"/>
              <w:rPr>
                <w:lang w:val="nl-NL"/>
              </w:rPr>
            </w:pPr>
          </w:p>
        </w:tc>
        <w:tc>
          <w:tcPr>
            <w:tcW w:w="2516" w:type="dxa"/>
            <w:tcBorders>
              <w:left w:val="single" w:sz="4" w:space="0" w:color="auto"/>
            </w:tcBorders>
          </w:tcPr>
          <w:p w:rsidR="00185D41" w:rsidRPr="006234AA" w:rsidRDefault="00185D41" w:rsidP="003C0546">
            <w:pPr>
              <w:spacing w:after="120"/>
              <w:ind w:firstLine="0"/>
              <w:jc w:val="center"/>
              <w:rPr>
                <w:lang w:val="nl-NL"/>
              </w:rPr>
            </w:pPr>
            <w:r w:rsidRPr="006234AA">
              <w:rPr>
                <w:lang w:val="nl-NL"/>
              </w:rPr>
              <w:t>*</w:t>
            </w:r>
          </w:p>
        </w:tc>
      </w:tr>
    </w:tbl>
    <w:p w:rsidR="00185D41" w:rsidRPr="006234AA" w:rsidRDefault="00185D41" w:rsidP="003C0546">
      <w:pPr>
        <w:spacing w:after="120"/>
        <w:rPr>
          <w:lang w:val="nl-NL"/>
        </w:rPr>
      </w:pPr>
    </w:p>
    <w:p w:rsidR="00185D41" w:rsidRPr="006234AA" w:rsidRDefault="00185D41" w:rsidP="003C0546">
      <w:pPr>
        <w:spacing w:after="120"/>
        <w:jc w:val="center"/>
        <w:rPr>
          <w:b/>
          <w:lang w:val="nl-NL"/>
        </w:rPr>
      </w:pPr>
      <w:r w:rsidRPr="006234AA">
        <w:rPr>
          <w:b/>
          <w:lang w:val="nl-NL"/>
        </w:rPr>
        <w:t>THÔNG BÁO NỘP/YÊU CẦU RÚT TIỀN KÝ QUỸ THANH TOÁN BÙ TRỪ</w:t>
      </w:r>
    </w:p>
    <w:p w:rsidR="00185D41" w:rsidRPr="006234AA" w:rsidRDefault="00185D41" w:rsidP="003C0546">
      <w:pPr>
        <w:spacing w:after="120"/>
        <w:rPr>
          <w:lang w:val="nl-NL"/>
        </w:rPr>
      </w:pPr>
    </w:p>
    <w:p w:rsidR="00185D41" w:rsidRPr="006234AA" w:rsidRDefault="00185D41" w:rsidP="003C0546">
      <w:pPr>
        <w:spacing w:after="120"/>
        <w:rPr>
          <w:lang w:val="nl-NL"/>
        </w:rPr>
      </w:pPr>
      <w:r w:rsidRPr="006234AA">
        <w:rPr>
          <w:lang w:val="nl-NL"/>
        </w:rPr>
        <w:t>Kính gửi: Sở giao dịch chứng khoán</w:t>
      </w:r>
    </w:p>
    <w:p w:rsidR="00185D41" w:rsidRPr="006234AA" w:rsidRDefault="00185D41" w:rsidP="003C0546">
      <w:pPr>
        <w:spacing w:after="120"/>
        <w:rPr>
          <w:lang w:val="nl-NL"/>
        </w:rPr>
      </w:pPr>
    </w:p>
    <w:p w:rsidR="00185D41" w:rsidRPr="006234AA" w:rsidRDefault="00185D41" w:rsidP="003C0546">
      <w:pPr>
        <w:spacing w:after="120"/>
        <w:rPr>
          <w:lang w:val="nl-NL"/>
        </w:rPr>
      </w:pPr>
      <w:r w:rsidRPr="006234AA">
        <w:rPr>
          <w:lang w:val="nl-NL"/>
        </w:rPr>
        <w:t xml:space="preserve">Căn cứ Điều ... Thông tư ... ngày ... tháng ... năm 2014 của Bộ trưởng Bộ Tài chính, chúng tôi đề nghị được nộp (rút) khoản tiền ký quỹ sau đây: </w:t>
      </w:r>
    </w:p>
    <w:p w:rsidR="00185D41" w:rsidRPr="006234AA" w:rsidRDefault="00185D41" w:rsidP="003C0546">
      <w:pPr>
        <w:spacing w:after="120"/>
        <w:rPr>
          <w:lang w:val="nl-NL"/>
        </w:rPr>
      </w:pPr>
    </w:p>
    <w:tbl>
      <w:tblPr>
        <w:tblStyle w:val="TableGrid"/>
        <w:tblW w:w="0" w:type="auto"/>
        <w:tblLook w:val="04A0"/>
      </w:tblPr>
      <w:tblGrid>
        <w:gridCol w:w="2059"/>
        <w:gridCol w:w="586"/>
        <w:gridCol w:w="1781"/>
        <w:gridCol w:w="217"/>
        <w:gridCol w:w="2051"/>
        <w:gridCol w:w="2233"/>
        <w:gridCol w:w="360"/>
      </w:tblGrid>
      <w:tr w:rsidR="00185D41" w:rsidRPr="006234AA" w:rsidTr="00A15B69">
        <w:trPr>
          <w:gridAfter w:val="1"/>
          <w:wAfter w:w="360" w:type="dxa"/>
        </w:trPr>
        <w:tc>
          <w:tcPr>
            <w:tcW w:w="4426" w:type="dxa"/>
            <w:gridSpan w:val="3"/>
            <w:tcBorders>
              <w:top w:val="single" w:sz="4" w:space="0" w:color="auto"/>
            </w:tcBorders>
          </w:tcPr>
          <w:p w:rsidR="00185D41" w:rsidRPr="006234AA" w:rsidRDefault="00185D41" w:rsidP="003C0546">
            <w:pPr>
              <w:spacing w:after="120"/>
              <w:ind w:firstLine="0"/>
              <w:rPr>
                <w:lang w:val="nl-NL"/>
              </w:rPr>
            </w:pPr>
            <w:r w:rsidRPr="006234AA">
              <w:rPr>
                <w:lang w:val="nl-NL"/>
              </w:rPr>
              <w:t>Loại tài sản</w:t>
            </w:r>
          </w:p>
        </w:tc>
        <w:tc>
          <w:tcPr>
            <w:tcW w:w="2268" w:type="dxa"/>
            <w:gridSpan w:val="2"/>
            <w:tcBorders>
              <w:top w:val="single" w:sz="4" w:space="0" w:color="auto"/>
            </w:tcBorders>
          </w:tcPr>
          <w:p w:rsidR="00185D41" w:rsidRPr="006234AA" w:rsidRDefault="00185D41" w:rsidP="003C0546">
            <w:pPr>
              <w:spacing w:after="120"/>
              <w:ind w:firstLine="0"/>
              <w:rPr>
                <w:lang w:val="nl-NL"/>
              </w:rPr>
            </w:pPr>
            <w:r w:rsidRPr="006234AA">
              <w:rPr>
                <w:lang w:val="nl-NL"/>
              </w:rPr>
              <w:t>Số lượng tiền nộp (rút) VND</w:t>
            </w:r>
          </w:p>
        </w:tc>
        <w:tc>
          <w:tcPr>
            <w:tcW w:w="2233" w:type="dxa"/>
            <w:tcBorders>
              <w:top w:val="single" w:sz="4" w:space="0" w:color="auto"/>
            </w:tcBorders>
          </w:tcPr>
          <w:p w:rsidR="00185D41" w:rsidRPr="006234AA" w:rsidRDefault="00185D41" w:rsidP="003C0546">
            <w:pPr>
              <w:spacing w:after="120"/>
              <w:ind w:firstLine="0"/>
              <w:rPr>
                <w:lang w:val="nl-NL"/>
              </w:rPr>
            </w:pPr>
            <w:r w:rsidRPr="006234AA">
              <w:rPr>
                <w:lang w:val="nl-NL"/>
              </w:rPr>
              <w:t>Tên ngân hàng và mã tài khoản</w:t>
            </w:r>
          </w:p>
        </w:tc>
      </w:tr>
      <w:tr w:rsidR="00185D41" w:rsidRPr="006234AA" w:rsidTr="00A15B69">
        <w:trPr>
          <w:gridAfter w:val="1"/>
          <w:wAfter w:w="360" w:type="dxa"/>
        </w:trPr>
        <w:tc>
          <w:tcPr>
            <w:tcW w:w="4426" w:type="dxa"/>
            <w:gridSpan w:val="3"/>
          </w:tcPr>
          <w:p w:rsidR="00185D41" w:rsidRPr="006234AA" w:rsidRDefault="00185D41" w:rsidP="003C0546">
            <w:pPr>
              <w:spacing w:after="120"/>
              <w:ind w:firstLine="0"/>
              <w:rPr>
                <w:lang w:val="nl-NL"/>
              </w:rPr>
            </w:pPr>
            <w:r w:rsidRPr="006234AA">
              <w:rPr>
                <w:lang w:val="nl-NL"/>
              </w:rPr>
              <w:t>Tài sản tự doanh</w:t>
            </w:r>
          </w:p>
        </w:tc>
        <w:tc>
          <w:tcPr>
            <w:tcW w:w="2268" w:type="dxa"/>
            <w:gridSpan w:val="2"/>
          </w:tcPr>
          <w:p w:rsidR="00185D41" w:rsidRPr="006234AA" w:rsidRDefault="00185D41" w:rsidP="003C0546">
            <w:pPr>
              <w:spacing w:after="120"/>
              <w:ind w:firstLine="0"/>
              <w:rPr>
                <w:lang w:val="nl-NL"/>
              </w:rPr>
            </w:pPr>
          </w:p>
        </w:tc>
        <w:tc>
          <w:tcPr>
            <w:tcW w:w="2233" w:type="dxa"/>
          </w:tcPr>
          <w:p w:rsidR="00185D41" w:rsidRPr="006234AA" w:rsidRDefault="00185D41" w:rsidP="003C0546">
            <w:pPr>
              <w:spacing w:after="120"/>
              <w:ind w:firstLine="0"/>
              <w:rPr>
                <w:lang w:val="nl-NL"/>
              </w:rPr>
            </w:pPr>
          </w:p>
        </w:tc>
      </w:tr>
      <w:tr w:rsidR="00185D41" w:rsidRPr="006234AA" w:rsidTr="00A15B69">
        <w:trPr>
          <w:gridAfter w:val="1"/>
          <w:wAfter w:w="360" w:type="dxa"/>
        </w:trPr>
        <w:tc>
          <w:tcPr>
            <w:tcW w:w="2059" w:type="dxa"/>
            <w:vMerge w:val="restart"/>
          </w:tcPr>
          <w:p w:rsidR="00185D41" w:rsidRPr="006234AA" w:rsidRDefault="00185D41" w:rsidP="003C0546">
            <w:pPr>
              <w:spacing w:after="120"/>
              <w:ind w:firstLine="0"/>
              <w:rPr>
                <w:lang w:val="nl-NL"/>
              </w:rPr>
            </w:pPr>
            <w:r w:rsidRPr="006234AA">
              <w:rPr>
                <w:lang w:val="nl-NL"/>
              </w:rPr>
              <w:t>Tài sản ủy thác</w:t>
            </w:r>
          </w:p>
        </w:tc>
        <w:tc>
          <w:tcPr>
            <w:tcW w:w="2367" w:type="dxa"/>
            <w:gridSpan w:val="2"/>
          </w:tcPr>
          <w:p w:rsidR="00185D41" w:rsidRPr="006234AA" w:rsidRDefault="00185D41" w:rsidP="003C0546">
            <w:pPr>
              <w:spacing w:after="120"/>
              <w:ind w:firstLine="0"/>
              <w:rPr>
                <w:lang w:val="nl-NL"/>
              </w:rPr>
            </w:pPr>
            <w:r w:rsidRPr="006234AA">
              <w:rPr>
                <w:lang w:val="nl-NL"/>
              </w:rPr>
              <w:t>Thành viên bù trừ</w:t>
            </w:r>
          </w:p>
        </w:tc>
        <w:tc>
          <w:tcPr>
            <w:tcW w:w="2268" w:type="dxa"/>
            <w:gridSpan w:val="2"/>
          </w:tcPr>
          <w:p w:rsidR="00185D41" w:rsidRPr="006234AA" w:rsidRDefault="00185D41" w:rsidP="003C0546">
            <w:pPr>
              <w:spacing w:after="120"/>
              <w:ind w:firstLine="0"/>
              <w:rPr>
                <w:lang w:val="nl-NL"/>
              </w:rPr>
            </w:pPr>
          </w:p>
        </w:tc>
        <w:tc>
          <w:tcPr>
            <w:tcW w:w="2233" w:type="dxa"/>
          </w:tcPr>
          <w:p w:rsidR="00185D41" w:rsidRPr="006234AA" w:rsidRDefault="00185D41" w:rsidP="003C0546">
            <w:pPr>
              <w:spacing w:after="120"/>
              <w:ind w:firstLine="0"/>
              <w:rPr>
                <w:lang w:val="nl-NL"/>
              </w:rPr>
            </w:pPr>
          </w:p>
        </w:tc>
      </w:tr>
      <w:tr w:rsidR="00185D41" w:rsidRPr="006234AA" w:rsidTr="00A15B69">
        <w:trPr>
          <w:gridAfter w:val="1"/>
          <w:wAfter w:w="360" w:type="dxa"/>
        </w:trPr>
        <w:tc>
          <w:tcPr>
            <w:tcW w:w="2059" w:type="dxa"/>
            <w:vMerge/>
          </w:tcPr>
          <w:p w:rsidR="00185D41" w:rsidRPr="006234AA" w:rsidRDefault="00185D41" w:rsidP="003C0546">
            <w:pPr>
              <w:spacing w:after="120"/>
              <w:ind w:firstLine="0"/>
              <w:rPr>
                <w:lang w:val="nl-NL"/>
              </w:rPr>
            </w:pPr>
          </w:p>
        </w:tc>
        <w:tc>
          <w:tcPr>
            <w:tcW w:w="586" w:type="dxa"/>
          </w:tcPr>
          <w:p w:rsidR="00185D41" w:rsidRPr="006234AA" w:rsidRDefault="007965E6" w:rsidP="003C0546">
            <w:pPr>
              <w:spacing w:after="120"/>
              <w:ind w:firstLine="0"/>
              <w:jc w:val="center"/>
              <w:rPr>
                <w:lang w:val="nl-NL"/>
              </w:rPr>
            </w:pPr>
            <w:r w:rsidRPr="006234AA">
              <w:rPr>
                <w:sz w:val="20"/>
                <w:szCs w:val="20"/>
                <w:lang w:val="nl-NL"/>
              </w:rPr>
              <w:fldChar w:fldCharType="begin">
                <w:ffData>
                  <w:name w:val="Check1"/>
                  <w:enabled/>
                  <w:calcOnExit w:val="0"/>
                  <w:checkBox>
                    <w:sizeAuto/>
                    <w:default w:val="0"/>
                  </w:checkBox>
                </w:ffData>
              </w:fldChar>
            </w:r>
            <w:r w:rsidR="00185D41"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p>
        </w:tc>
        <w:tc>
          <w:tcPr>
            <w:tcW w:w="1781" w:type="dxa"/>
          </w:tcPr>
          <w:p w:rsidR="00185D41" w:rsidRPr="006234AA" w:rsidRDefault="00185D41" w:rsidP="003C0546">
            <w:pPr>
              <w:spacing w:after="120"/>
              <w:ind w:firstLine="0"/>
              <w:rPr>
                <w:lang w:val="nl-NL"/>
              </w:rPr>
            </w:pPr>
            <w:r w:rsidRPr="006234AA">
              <w:rPr>
                <w:lang w:val="nl-NL"/>
              </w:rPr>
              <w:t>Tự doanh</w:t>
            </w:r>
          </w:p>
        </w:tc>
        <w:tc>
          <w:tcPr>
            <w:tcW w:w="2268" w:type="dxa"/>
            <w:gridSpan w:val="2"/>
          </w:tcPr>
          <w:p w:rsidR="00185D41" w:rsidRPr="006234AA" w:rsidRDefault="00185D41" w:rsidP="003C0546">
            <w:pPr>
              <w:spacing w:after="120"/>
              <w:ind w:firstLine="0"/>
              <w:rPr>
                <w:lang w:val="nl-NL"/>
              </w:rPr>
            </w:pPr>
          </w:p>
        </w:tc>
        <w:tc>
          <w:tcPr>
            <w:tcW w:w="2233" w:type="dxa"/>
          </w:tcPr>
          <w:p w:rsidR="00185D41" w:rsidRPr="006234AA" w:rsidRDefault="00185D41" w:rsidP="003C0546">
            <w:pPr>
              <w:spacing w:after="120"/>
              <w:ind w:firstLine="0"/>
              <w:rPr>
                <w:lang w:val="nl-NL"/>
              </w:rPr>
            </w:pPr>
          </w:p>
        </w:tc>
      </w:tr>
      <w:tr w:rsidR="00185D41" w:rsidRPr="006234AA" w:rsidTr="00A15B69">
        <w:trPr>
          <w:gridAfter w:val="1"/>
          <w:wAfter w:w="360" w:type="dxa"/>
        </w:trPr>
        <w:tc>
          <w:tcPr>
            <w:tcW w:w="2059" w:type="dxa"/>
            <w:vMerge/>
          </w:tcPr>
          <w:p w:rsidR="00185D41" w:rsidRPr="006234AA" w:rsidRDefault="00185D41" w:rsidP="003C0546">
            <w:pPr>
              <w:spacing w:after="120"/>
              <w:ind w:firstLine="0"/>
              <w:rPr>
                <w:lang w:val="nl-NL"/>
              </w:rPr>
            </w:pPr>
          </w:p>
        </w:tc>
        <w:tc>
          <w:tcPr>
            <w:tcW w:w="586" w:type="dxa"/>
          </w:tcPr>
          <w:p w:rsidR="00185D41" w:rsidRPr="006234AA" w:rsidRDefault="007965E6" w:rsidP="003C0546">
            <w:pPr>
              <w:spacing w:after="120"/>
              <w:ind w:firstLine="0"/>
              <w:jc w:val="center"/>
              <w:rPr>
                <w:lang w:val="nl-NL"/>
              </w:rPr>
            </w:pPr>
            <w:r w:rsidRPr="006234AA">
              <w:rPr>
                <w:sz w:val="20"/>
                <w:szCs w:val="20"/>
                <w:lang w:val="nl-NL"/>
              </w:rPr>
              <w:fldChar w:fldCharType="begin">
                <w:ffData>
                  <w:name w:val="Check1"/>
                  <w:enabled/>
                  <w:calcOnExit w:val="0"/>
                  <w:checkBox>
                    <w:sizeAuto/>
                    <w:default w:val="0"/>
                  </w:checkBox>
                </w:ffData>
              </w:fldChar>
            </w:r>
            <w:r w:rsidR="00185D41"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p>
        </w:tc>
        <w:tc>
          <w:tcPr>
            <w:tcW w:w="1781" w:type="dxa"/>
          </w:tcPr>
          <w:p w:rsidR="00185D41" w:rsidRPr="006234AA" w:rsidRDefault="00185D41" w:rsidP="003C0546">
            <w:pPr>
              <w:spacing w:after="120"/>
              <w:ind w:firstLine="0"/>
              <w:rPr>
                <w:lang w:val="nl-NL"/>
              </w:rPr>
            </w:pPr>
            <w:r w:rsidRPr="006234AA">
              <w:rPr>
                <w:lang w:val="nl-NL"/>
              </w:rPr>
              <w:t>Ủy thác</w:t>
            </w:r>
          </w:p>
        </w:tc>
        <w:tc>
          <w:tcPr>
            <w:tcW w:w="2268" w:type="dxa"/>
            <w:gridSpan w:val="2"/>
          </w:tcPr>
          <w:p w:rsidR="00185D41" w:rsidRPr="006234AA" w:rsidRDefault="00185D41" w:rsidP="003C0546">
            <w:pPr>
              <w:spacing w:after="120"/>
              <w:ind w:firstLine="0"/>
              <w:rPr>
                <w:lang w:val="nl-NL"/>
              </w:rPr>
            </w:pPr>
          </w:p>
        </w:tc>
        <w:tc>
          <w:tcPr>
            <w:tcW w:w="2233" w:type="dxa"/>
          </w:tcPr>
          <w:p w:rsidR="00185D41" w:rsidRPr="006234AA" w:rsidRDefault="00185D41" w:rsidP="003C0546">
            <w:pPr>
              <w:spacing w:after="120"/>
              <w:ind w:firstLine="0"/>
              <w:rPr>
                <w:lang w:val="nl-NL"/>
              </w:rPr>
            </w:pPr>
          </w:p>
        </w:tc>
      </w:tr>
      <w:tr w:rsidR="00185D41" w:rsidRPr="006234AA" w:rsidTr="00A15B69">
        <w:trPr>
          <w:gridAfter w:val="1"/>
          <w:wAfter w:w="360" w:type="dxa"/>
        </w:trPr>
        <w:tc>
          <w:tcPr>
            <w:tcW w:w="2059" w:type="dxa"/>
            <w:vMerge/>
          </w:tcPr>
          <w:p w:rsidR="00185D41" w:rsidRPr="006234AA" w:rsidRDefault="00185D41" w:rsidP="003C0546">
            <w:pPr>
              <w:spacing w:after="120"/>
              <w:ind w:firstLine="0"/>
              <w:rPr>
                <w:lang w:val="nl-NL"/>
              </w:rPr>
            </w:pPr>
          </w:p>
        </w:tc>
        <w:tc>
          <w:tcPr>
            <w:tcW w:w="586" w:type="dxa"/>
          </w:tcPr>
          <w:p w:rsidR="00185D41" w:rsidRPr="006234AA" w:rsidRDefault="007965E6" w:rsidP="003C0546">
            <w:pPr>
              <w:spacing w:after="120"/>
              <w:ind w:firstLine="0"/>
              <w:jc w:val="center"/>
              <w:rPr>
                <w:lang w:val="nl-NL"/>
              </w:rPr>
            </w:pPr>
            <w:r w:rsidRPr="006234AA">
              <w:rPr>
                <w:sz w:val="20"/>
                <w:szCs w:val="20"/>
                <w:lang w:val="nl-NL"/>
              </w:rPr>
              <w:fldChar w:fldCharType="begin">
                <w:ffData>
                  <w:name w:val="Check1"/>
                  <w:enabled/>
                  <w:calcOnExit w:val="0"/>
                  <w:checkBox>
                    <w:sizeAuto/>
                    <w:default w:val="0"/>
                  </w:checkBox>
                </w:ffData>
              </w:fldChar>
            </w:r>
            <w:r w:rsidR="00185D41"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p>
        </w:tc>
        <w:tc>
          <w:tcPr>
            <w:tcW w:w="1781" w:type="dxa"/>
          </w:tcPr>
          <w:p w:rsidR="00185D41" w:rsidRPr="006234AA" w:rsidRDefault="00185D41" w:rsidP="003C0546">
            <w:pPr>
              <w:spacing w:after="120"/>
              <w:ind w:firstLine="0"/>
              <w:rPr>
                <w:lang w:val="nl-NL"/>
              </w:rPr>
            </w:pPr>
            <w:r w:rsidRPr="006234AA">
              <w:rPr>
                <w:lang w:val="nl-NL"/>
              </w:rPr>
              <w:t>Tự doanh</w:t>
            </w:r>
          </w:p>
        </w:tc>
        <w:tc>
          <w:tcPr>
            <w:tcW w:w="2268" w:type="dxa"/>
            <w:gridSpan w:val="2"/>
          </w:tcPr>
          <w:p w:rsidR="00185D41" w:rsidRPr="006234AA" w:rsidRDefault="00185D41" w:rsidP="003C0546">
            <w:pPr>
              <w:spacing w:after="120"/>
              <w:ind w:firstLine="0"/>
              <w:rPr>
                <w:lang w:val="nl-NL"/>
              </w:rPr>
            </w:pPr>
          </w:p>
        </w:tc>
        <w:tc>
          <w:tcPr>
            <w:tcW w:w="2233" w:type="dxa"/>
          </w:tcPr>
          <w:p w:rsidR="00185D41" w:rsidRPr="006234AA" w:rsidRDefault="00185D41" w:rsidP="003C0546">
            <w:pPr>
              <w:spacing w:after="120"/>
              <w:ind w:firstLine="0"/>
              <w:rPr>
                <w:lang w:val="nl-NL"/>
              </w:rPr>
            </w:pPr>
          </w:p>
        </w:tc>
      </w:tr>
      <w:tr w:rsidR="00185D41" w:rsidRPr="006234AA" w:rsidTr="00A15B69">
        <w:trPr>
          <w:gridAfter w:val="1"/>
          <w:wAfter w:w="360" w:type="dxa"/>
        </w:trPr>
        <w:tc>
          <w:tcPr>
            <w:tcW w:w="2059" w:type="dxa"/>
            <w:vMerge/>
          </w:tcPr>
          <w:p w:rsidR="00185D41" w:rsidRPr="006234AA" w:rsidRDefault="00185D41" w:rsidP="003C0546">
            <w:pPr>
              <w:spacing w:after="120"/>
              <w:ind w:firstLine="0"/>
              <w:rPr>
                <w:lang w:val="nl-NL"/>
              </w:rPr>
            </w:pPr>
          </w:p>
        </w:tc>
        <w:tc>
          <w:tcPr>
            <w:tcW w:w="586" w:type="dxa"/>
          </w:tcPr>
          <w:p w:rsidR="00185D41" w:rsidRPr="006234AA" w:rsidRDefault="007965E6" w:rsidP="003C0546">
            <w:pPr>
              <w:spacing w:after="120"/>
              <w:ind w:firstLine="0"/>
              <w:jc w:val="center"/>
              <w:rPr>
                <w:lang w:val="nl-NL"/>
              </w:rPr>
            </w:pPr>
            <w:r w:rsidRPr="006234AA">
              <w:rPr>
                <w:sz w:val="20"/>
                <w:szCs w:val="20"/>
                <w:lang w:val="nl-NL"/>
              </w:rPr>
              <w:fldChar w:fldCharType="begin">
                <w:ffData>
                  <w:name w:val="Check1"/>
                  <w:enabled/>
                  <w:calcOnExit w:val="0"/>
                  <w:checkBox>
                    <w:sizeAuto/>
                    <w:default w:val="0"/>
                  </w:checkBox>
                </w:ffData>
              </w:fldChar>
            </w:r>
            <w:r w:rsidR="00185D41"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p>
        </w:tc>
        <w:tc>
          <w:tcPr>
            <w:tcW w:w="1781" w:type="dxa"/>
          </w:tcPr>
          <w:p w:rsidR="00185D41" w:rsidRPr="006234AA" w:rsidRDefault="00185D41" w:rsidP="003C0546">
            <w:pPr>
              <w:spacing w:after="120"/>
              <w:ind w:firstLine="0"/>
              <w:rPr>
                <w:lang w:val="nl-NL"/>
              </w:rPr>
            </w:pPr>
            <w:r w:rsidRPr="006234AA">
              <w:rPr>
                <w:lang w:val="nl-NL"/>
              </w:rPr>
              <w:t>Ủy thác</w:t>
            </w:r>
          </w:p>
        </w:tc>
        <w:tc>
          <w:tcPr>
            <w:tcW w:w="2268" w:type="dxa"/>
            <w:gridSpan w:val="2"/>
          </w:tcPr>
          <w:p w:rsidR="00185D41" w:rsidRPr="006234AA" w:rsidRDefault="00185D41" w:rsidP="003C0546">
            <w:pPr>
              <w:spacing w:after="120"/>
              <w:ind w:firstLine="0"/>
              <w:rPr>
                <w:lang w:val="nl-NL"/>
              </w:rPr>
            </w:pPr>
          </w:p>
        </w:tc>
        <w:tc>
          <w:tcPr>
            <w:tcW w:w="2233" w:type="dxa"/>
          </w:tcPr>
          <w:p w:rsidR="00185D41" w:rsidRPr="006234AA" w:rsidRDefault="00185D41" w:rsidP="003C0546">
            <w:pPr>
              <w:spacing w:after="120"/>
              <w:ind w:firstLine="0"/>
              <w:rPr>
                <w:lang w:val="nl-NL"/>
              </w:rPr>
            </w:pPr>
          </w:p>
        </w:tc>
      </w:tr>
      <w:tr w:rsidR="00185D41" w:rsidRPr="006234AA" w:rsidTr="00A15B69">
        <w:trPr>
          <w:gridAfter w:val="1"/>
          <w:wAfter w:w="360" w:type="dxa"/>
        </w:trPr>
        <w:tc>
          <w:tcPr>
            <w:tcW w:w="2059" w:type="dxa"/>
            <w:vMerge/>
          </w:tcPr>
          <w:p w:rsidR="00185D41" w:rsidRPr="006234AA" w:rsidRDefault="00185D41" w:rsidP="003C0546">
            <w:pPr>
              <w:spacing w:after="120"/>
              <w:ind w:firstLine="0"/>
              <w:rPr>
                <w:lang w:val="nl-NL"/>
              </w:rPr>
            </w:pPr>
          </w:p>
        </w:tc>
        <w:tc>
          <w:tcPr>
            <w:tcW w:w="2367" w:type="dxa"/>
            <w:gridSpan w:val="2"/>
          </w:tcPr>
          <w:p w:rsidR="00185D41" w:rsidRPr="006234AA" w:rsidRDefault="00185D41" w:rsidP="003C0546">
            <w:pPr>
              <w:spacing w:after="120"/>
              <w:ind w:firstLine="0"/>
              <w:rPr>
                <w:lang w:val="nl-NL"/>
              </w:rPr>
            </w:pPr>
            <w:r w:rsidRPr="006234AA">
              <w:rPr>
                <w:lang w:val="nl-NL"/>
              </w:rPr>
              <w:t xml:space="preserve">Tổng </w:t>
            </w:r>
          </w:p>
        </w:tc>
        <w:tc>
          <w:tcPr>
            <w:tcW w:w="2268" w:type="dxa"/>
            <w:gridSpan w:val="2"/>
          </w:tcPr>
          <w:p w:rsidR="00185D41" w:rsidRPr="006234AA" w:rsidRDefault="00185D41" w:rsidP="003C0546">
            <w:pPr>
              <w:spacing w:after="120"/>
              <w:ind w:firstLine="0"/>
              <w:rPr>
                <w:lang w:val="nl-NL"/>
              </w:rPr>
            </w:pPr>
          </w:p>
        </w:tc>
        <w:tc>
          <w:tcPr>
            <w:tcW w:w="2233" w:type="dxa"/>
          </w:tcPr>
          <w:p w:rsidR="00185D41" w:rsidRPr="006234AA" w:rsidRDefault="00185D41" w:rsidP="003C0546">
            <w:pPr>
              <w:spacing w:after="120"/>
              <w:ind w:firstLine="0"/>
              <w:rPr>
                <w:lang w:val="nl-NL"/>
              </w:rPr>
            </w:pPr>
          </w:p>
        </w:tc>
      </w:tr>
      <w:tr w:rsidR="00185D41" w:rsidRPr="006234AA" w:rsidTr="00A15B69">
        <w:trPr>
          <w:gridAfter w:val="1"/>
          <w:wAfter w:w="360" w:type="dxa"/>
        </w:trPr>
        <w:tc>
          <w:tcPr>
            <w:tcW w:w="4426" w:type="dxa"/>
            <w:gridSpan w:val="3"/>
          </w:tcPr>
          <w:p w:rsidR="00185D41" w:rsidRPr="006234AA" w:rsidRDefault="00185D41" w:rsidP="003C0546">
            <w:pPr>
              <w:spacing w:after="120"/>
              <w:ind w:firstLine="0"/>
              <w:rPr>
                <w:lang w:val="nl-NL"/>
              </w:rPr>
            </w:pPr>
            <w:r w:rsidRPr="006234AA">
              <w:rPr>
                <w:lang w:val="nl-NL"/>
              </w:rPr>
              <w:t>Tổng cộng</w:t>
            </w:r>
          </w:p>
        </w:tc>
        <w:tc>
          <w:tcPr>
            <w:tcW w:w="2268" w:type="dxa"/>
            <w:gridSpan w:val="2"/>
          </w:tcPr>
          <w:p w:rsidR="00185D41" w:rsidRPr="006234AA" w:rsidRDefault="00185D41" w:rsidP="003C0546">
            <w:pPr>
              <w:spacing w:after="120"/>
              <w:ind w:firstLine="0"/>
              <w:rPr>
                <w:lang w:val="nl-NL"/>
              </w:rPr>
            </w:pPr>
          </w:p>
        </w:tc>
        <w:tc>
          <w:tcPr>
            <w:tcW w:w="2233" w:type="dxa"/>
          </w:tcPr>
          <w:p w:rsidR="00185D41" w:rsidRPr="006234AA" w:rsidRDefault="00185D41" w:rsidP="003C0546">
            <w:pPr>
              <w:spacing w:after="120"/>
              <w:ind w:firstLine="0"/>
              <w:rPr>
                <w:lang w:val="nl-NL"/>
              </w:rPr>
            </w:pPr>
          </w:p>
        </w:tc>
      </w:tr>
      <w:tr w:rsidR="00185D41" w:rsidRPr="006234AA" w:rsidTr="00A15B69">
        <w:tc>
          <w:tcPr>
            <w:tcW w:w="4643" w:type="dxa"/>
            <w:gridSpan w:val="4"/>
            <w:tcBorders>
              <w:top w:val="nil"/>
              <w:left w:val="nil"/>
              <w:bottom w:val="nil"/>
              <w:right w:val="nil"/>
            </w:tcBorders>
          </w:tcPr>
          <w:p w:rsidR="000F73F5" w:rsidRPr="006234AA" w:rsidRDefault="000F73F5" w:rsidP="003C0546">
            <w:pPr>
              <w:spacing w:after="120"/>
              <w:rPr>
                <w:lang w:val="nl-NL"/>
              </w:rPr>
            </w:pPr>
            <w:r w:rsidRPr="006234AA">
              <w:rPr>
                <w:lang w:val="nl-NL"/>
              </w:rPr>
              <w:t xml:space="preserve">Ghi chú: </w:t>
            </w:r>
          </w:p>
          <w:p w:rsidR="000F73F5" w:rsidRPr="006234AA" w:rsidRDefault="000F73F5" w:rsidP="003C0546">
            <w:pPr>
              <w:spacing w:after="120"/>
              <w:rPr>
                <w:lang w:val="nl-NL"/>
              </w:rPr>
            </w:pPr>
            <w:r w:rsidRPr="006234AA">
              <w:rPr>
                <w:lang w:val="nl-NL"/>
              </w:rPr>
              <w:t xml:space="preserve">1. *: Để trống. </w:t>
            </w:r>
          </w:p>
          <w:p w:rsidR="000F73F5" w:rsidRPr="006234AA" w:rsidRDefault="000F73F5" w:rsidP="003C0546">
            <w:pPr>
              <w:spacing w:after="120"/>
              <w:rPr>
                <w:lang w:val="nl-NL"/>
              </w:rPr>
            </w:pPr>
            <w:r w:rsidRPr="006234AA">
              <w:rPr>
                <w:lang w:val="nl-NL"/>
              </w:rPr>
              <w:t xml:space="preserve">2. (đóng dấu): Sử dụng con dấu mà các thành viên đã đăng ký chính </w:t>
            </w:r>
            <w:r w:rsidRPr="006234AA">
              <w:rPr>
                <w:lang w:val="nl-NL"/>
              </w:rPr>
              <w:lastRenderedPageBreak/>
              <w:t xml:space="preserve">thức với Sở giao dịch chứng khoán. </w:t>
            </w:r>
          </w:p>
          <w:p w:rsidR="000F73F5" w:rsidRPr="006234AA" w:rsidRDefault="000F73F5" w:rsidP="003C0546">
            <w:pPr>
              <w:spacing w:after="120"/>
              <w:rPr>
                <w:lang w:val="nl-NL"/>
              </w:rPr>
            </w:pPr>
            <w:r w:rsidRPr="006234AA">
              <w:rPr>
                <w:lang w:val="nl-NL"/>
              </w:rPr>
              <w:t xml:space="preserve">3. Mã tài khoản: Trong trường hợp thông báo nộp tiền phải ghi rõ mã tài khoản ngân hàng dưới tên Sở giao dịch chứng khoán; trong trường hợp yêu cầu rút phải ghi rõ mã tài khoản ngân hàng dưới tên thành viên. </w:t>
            </w:r>
          </w:p>
          <w:p w:rsidR="00185D41" w:rsidRPr="006234AA" w:rsidRDefault="000F73F5" w:rsidP="003C0546">
            <w:pPr>
              <w:spacing w:after="120"/>
              <w:ind w:firstLine="0"/>
              <w:jc w:val="left"/>
              <w:rPr>
                <w:lang w:val="nl-NL"/>
              </w:rPr>
            </w:pPr>
            <w:r w:rsidRPr="006234AA">
              <w:rPr>
                <w:lang w:val="nl-NL"/>
              </w:rPr>
              <w:t>4. Tài sản ủy thác: (Ghi tên của thành viên không bù trừ trong ngoặc đơn).</w:t>
            </w:r>
          </w:p>
        </w:tc>
        <w:tc>
          <w:tcPr>
            <w:tcW w:w="4644" w:type="dxa"/>
            <w:gridSpan w:val="3"/>
            <w:tcBorders>
              <w:top w:val="nil"/>
              <w:left w:val="nil"/>
              <w:bottom w:val="nil"/>
              <w:right w:val="nil"/>
            </w:tcBorders>
          </w:tcPr>
          <w:p w:rsidR="00185D41" w:rsidRPr="006234AA" w:rsidRDefault="00185D41" w:rsidP="003C0546">
            <w:pPr>
              <w:spacing w:after="120"/>
              <w:ind w:firstLine="33"/>
              <w:jc w:val="right"/>
              <w:rPr>
                <w:i/>
                <w:lang w:val="nl-NL"/>
              </w:rPr>
            </w:pPr>
            <w:r w:rsidRPr="006234AA">
              <w:rPr>
                <w:i/>
                <w:lang w:val="nl-NL"/>
              </w:rPr>
              <w:lastRenderedPageBreak/>
              <w:t>..., ngày ... tháng ... năm ...</w:t>
            </w:r>
          </w:p>
          <w:p w:rsidR="00185D41" w:rsidRPr="006234AA" w:rsidRDefault="00185D41" w:rsidP="003C0546">
            <w:pPr>
              <w:spacing w:after="120"/>
              <w:ind w:firstLine="33"/>
              <w:jc w:val="center"/>
              <w:rPr>
                <w:b/>
                <w:lang w:val="nl-NL"/>
              </w:rPr>
            </w:pPr>
            <w:r w:rsidRPr="006234AA">
              <w:rPr>
                <w:b/>
                <w:lang w:val="nl-NL"/>
              </w:rPr>
              <w:t>Đại diện có thẩm quyền</w:t>
            </w:r>
          </w:p>
          <w:p w:rsidR="00185D41" w:rsidRPr="006234AA" w:rsidRDefault="00185D41" w:rsidP="003C0546">
            <w:pPr>
              <w:spacing w:after="120"/>
              <w:ind w:firstLine="33"/>
              <w:jc w:val="center"/>
              <w:rPr>
                <w:lang w:val="nl-NL"/>
              </w:rPr>
            </w:pPr>
            <w:r w:rsidRPr="006234AA">
              <w:rPr>
                <w:i/>
                <w:lang w:val="nl-NL"/>
              </w:rPr>
              <w:t>(ký, ghi rõ họ tên, đóng dấu)</w:t>
            </w:r>
          </w:p>
          <w:p w:rsidR="00185D41" w:rsidRPr="006234AA" w:rsidRDefault="00185D41" w:rsidP="003C0546">
            <w:pPr>
              <w:spacing w:after="120"/>
              <w:ind w:firstLine="33"/>
              <w:jc w:val="center"/>
              <w:rPr>
                <w:b/>
                <w:lang w:val="nl-NL"/>
              </w:rPr>
            </w:pPr>
            <w:r w:rsidRPr="006234AA">
              <w:rPr>
                <w:b/>
                <w:lang w:val="nl-NL"/>
              </w:rPr>
              <w:t>Tên công ty</w:t>
            </w:r>
          </w:p>
          <w:p w:rsidR="00185D41" w:rsidRPr="006234AA" w:rsidRDefault="00185D41" w:rsidP="003C0546">
            <w:pPr>
              <w:spacing w:after="120"/>
              <w:ind w:firstLine="33"/>
              <w:rPr>
                <w:lang w:val="nl-NL"/>
              </w:rPr>
            </w:pPr>
            <w:r w:rsidRPr="006234AA">
              <w:rPr>
                <w:lang w:val="nl-NL"/>
              </w:rPr>
              <w:lastRenderedPageBreak/>
              <w:t>(Nhân viên phụ trách: ... Số liên hệ: ...)</w:t>
            </w:r>
          </w:p>
        </w:tc>
      </w:tr>
    </w:tbl>
    <w:p w:rsidR="00D9612D" w:rsidRPr="006234AA" w:rsidRDefault="00D9612D" w:rsidP="003C0546">
      <w:pPr>
        <w:spacing w:after="120"/>
        <w:ind w:firstLine="0"/>
        <w:jc w:val="left"/>
        <w:rPr>
          <w:lang w:val="nl-NL"/>
        </w:rPr>
      </w:pPr>
      <w:r w:rsidRPr="006234AA">
        <w:rPr>
          <w:lang w:val="nl-NL"/>
        </w:rPr>
        <w:lastRenderedPageBreak/>
        <w:br w:type="page"/>
      </w:r>
    </w:p>
    <w:p w:rsidR="00D9612D" w:rsidRPr="006234AA" w:rsidRDefault="00D9612D" w:rsidP="003C0546">
      <w:pPr>
        <w:pStyle w:val="Heading5"/>
        <w:spacing w:after="120"/>
        <w:ind w:left="3261" w:hanging="2912"/>
      </w:pPr>
      <w:bookmarkStart w:id="267" w:name="_Toc388876130"/>
      <w:bookmarkStart w:id="268" w:name="_Toc422672036"/>
      <w:r w:rsidRPr="006234AA">
        <w:lastRenderedPageBreak/>
        <w:t xml:space="preserve">Thông báo nộp/yêu cầu rút chứng khoán ký quỹ </w:t>
      </w:r>
      <w:r w:rsidR="00666F37" w:rsidRPr="006234AA">
        <w:t>bù trừ, thanh toán</w:t>
      </w:r>
      <w:bookmarkEnd w:id="267"/>
      <w:bookmarkEnd w:id="268"/>
      <w:r w:rsidRPr="006234AA">
        <w:t xml:space="preserve"> </w:t>
      </w:r>
    </w:p>
    <w:p w:rsidR="00F41600" w:rsidRPr="006234AA" w:rsidRDefault="00F41600" w:rsidP="003C0546">
      <w:pPr>
        <w:spacing w:after="120"/>
        <w:rPr>
          <w:lang w:val="nl-NL"/>
        </w:rPr>
      </w:pPr>
    </w:p>
    <w:p w:rsidR="00F41600" w:rsidRPr="006234AA" w:rsidRDefault="00F41600"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F41600" w:rsidRPr="006234AA" w:rsidRDefault="00F41600" w:rsidP="003C0546">
      <w:pPr>
        <w:spacing w:after="120"/>
        <w:ind w:firstLine="0"/>
        <w:jc w:val="center"/>
        <w:rPr>
          <w:b/>
          <w:bCs/>
          <w:i/>
          <w:iCs/>
          <w:lang w:val="nl-NL"/>
        </w:rPr>
      </w:pPr>
    </w:p>
    <w:tbl>
      <w:tblPr>
        <w:tblStyle w:val="TableGrid"/>
        <w:tblW w:w="0" w:type="auto"/>
        <w:tblLook w:val="04A0"/>
      </w:tblPr>
      <w:tblGrid>
        <w:gridCol w:w="1668"/>
        <w:gridCol w:w="1701"/>
        <w:gridCol w:w="2202"/>
        <w:gridCol w:w="1200"/>
        <w:gridCol w:w="2516"/>
      </w:tblGrid>
      <w:tr w:rsidR="00F41600" w:rsidRPr="006234AA" w:rsidTr="00A15B69">
        <w:tc>
          <w:tcPr>
            <w:tcW w:w="1668" w:type="dxa"/>
          </w:tcPr>
          <w:p w:rsidR="00F41600" w:rsidRPr="006234AA" w:rsidRDefault="00F41600" w:rsidP="003C0546">
            <w:pPr>
              <w:spacing w:after="120"/>
              <w:ind w:firstLine="0"/>
              <w:jc w:val="center"/>
              <w:rPr>
                <w:lang w:val="nl-NL"/>
              </w:rPr>
            </w:pPr>
            <w:r w:rsidRPr="006234AA">
              <w:rPr>
                <w:lang w:val="nl-NL"/>
              </w:rPr>
              <w:t>Người nhận</w:t>
            </w:r>
          </w:p>
        </w:tc>
        <w:tc>
          <w:tcPr>
            <w:tcW w:w="1701" w:type="dxa"/>
          </w:tcPr>
          <w:p w:rsidR="00F41600" w:rsidRPr="006234AA" w:rsidRDefault="00F41600" w:rsidP="003C0546">
            <w:pPr>
              <w:spacing w:after="120"/>
              <w:ind w:firstLine="0"/>
              <w:jc w:val="center"/>
              <w:rPr>
                <w:lang w:val="nl-NL"/>
              </w:rPr>
            </w:pPr>
            <w:r w:rsidRPr="006234AA">
              <w:rPr>
                <w:lang w:val="nl-NL"/>
              </w:rPr>
              <w:t>Người nhập</w:t>
            </w:r>
          </w:p>
        </w:tc>
        <w:tc>
          <w:tcPr>
            <w:tcW w:w="2202" w:type="dxa"/>
            <w:tcBorders>
              <w:right w:val="single" w:sz="4" w:space="0" w:color="auto"/>
            </w:tcBorders>
          </w:tcPr>
          <w:p w:rsidR="00F41600" w:rsidRPr="006234AA" w:rsidRDefault="00F41600" w:rsidP="003C0546">
            <w:pPr>
              <w:spacing w:after="120"/>
              <w:ind w:firstLine="0"/>
              <w:jc w:val="center"/>
              <w:rPr>
                <w:lang w:val="nl-NL"/>
              </w:rPr>
            </w:pPr>
            <w:r w:rsidRPr="006234AA">
              <w:rPr>
                <w:lang w:val="nl-NL"/>
              </w:rPr>
              <w:t>Người xác nhận</w:t>
            </w:r>
          </w:p>
        </w:tc>
        <w:tc>
          <w:tcPr>
            <w:tcW w:w="1200" w:type="dxa"/>
            <w:tcBorders>
              <w:top w:val="nil"/>
              <w:left w:val="single" w:sz="4" w:space="0" w:color="auto"/>
              <w:bottom w:val="nil"/>
              <w:right w:val="single" w:sz="4" w:space="0" w:color="auto"/>
            </w:tcBorders>
          </w:tcPr>
          <w:p w:rsidR="00F41600" w:rsidRPr="006234AA" w:rsidRDefault="00F41600" w:rsidP="003C0546">
            <w:pPr>
              <w:spacing w:after="120"/>
              <w:ind w:firstLine="0"/>
              <w:jc w:val="center"/>
              <w:rPr>
                <w:lang w:val="nl-NL"/>
              </w:rPr>
            </w:pPr>
          </w:p>
        </w:tc>
        <w:tc>
          <w:tcPr>
            <w:tcW w:w="2516" w:type="dxa"/>
            <w:tcBorders>
              <w:left w:val="single" w:sz="4" w:space="0" w:color="auto"/>
            </w:tcBorders>
          </w:tcPr>
          <w:p w:rsidR="00F41600" w:rsidRPr="006234AA" w:rsidRDefault="00F41600" w:rsidP="003C0546">
            <w:pPr>
              <w:spacing w:after="120"/>
              <w:ind w:firstLine="0"/>
              <w:jc w:val="center"/>
              <w:rPr>
                <w:lang w:val="nl-NL"/>
              </w:rPr>
            </w:pPr>
            <w:r w:rsidRPr="006234AA">
              <w:rPr>
                <w:lang w:val="nl-NL"/>
              </w:rPr>
              <w:t>Xác nhận nộp/rút</w:t>
            </w:r>
          </w:p>
        </w:tc>
      </w:tr>
      <w:tr w:rsidR="00F41600" w:rsidRPr="006234AA" w:rsidTr="00A15B69">
        <w:tc>
          <w:tcPr>
            <w:tcW w:w="1668" w:type="dxa"/>
          </w:tcPr>
          <w:p w:rsidR="00F41600" w:rsidRPr="006234AA" w:rsidRDefault="00F41600" w:rsidP="003C0546">
            <w:pPr>
              <w:spacing w:after="120"/>
              <w:ind w:firstLine="0"/>
              <w:jc w:val="center"/>
              <w:rPr>
                <w:lang w:val="nl-NL"/>
              </w:rPr>
            </w:pPr>
            <w:r w:rsidRPr="006234AA">
              <w:rPr>
                <w:lang w:val="nl-NL"/>
              </w:rPr>
              <w:t>*</w:t>
            </w:r>
          </w:p>
        </w:tc>
        <w:tc>
          <w:tcPr>
            <w:tcW w:w="1701" w:type="dxa"/>
          </w:tcPr>
          <w:p w:rsidR="00F41600" w:rsidRPr="006234AA" w:rsidRDefault="00F41600" w:rsidP="003C0546">
            <w:pPr>
              <w:spacing w:after="120"/>
              <w:ind w:firstLine="0"/>
              <w:jc w:val="center"/>
              <w:rPr>
                <w:lang w:val="nl-NL"/>
              </w:rPr>
            </w:pPr>
            <w:r w:rsidRPr="006234AA">
              <w:rPr>
                <w:lang w:val="nl-NL"/>
              </w:rPr>
              <w:t>*</w:t>
            </w:r>
          </w:p>
        </w:tc>
        <w:tc>
          <w:tcPr>
            <w:tcW w:w="2202" w:type="dxa"/>
            <w:tcBorders>
              <w:right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200" w:type="dxa"/>
            <w:tcBorders>
              <w:top w:val="nil"/>
              <w:left w:val="single" w:sz="4" w:space="0" w:color="auto"/>
              <w:bottom w:val="nil"/>
              <w:right w:val="single" w:sz="4" w:space="0" w:color="auto"/>
            </w:tcBorders>
          </w:tcPr>
          <w:p w:rsidR="00F41600" w:rsidRPr="006234AA" w:rsidRDefault="00F41600" w:rsidP="003C0546">
            <w:pPr>
              <w:spacing w:after="120"/>
              <w:ind w:firstLine="0"/>
              <w:jc w:val="center"/>
              <w:rPr>
                <w:lang w:val="nl-NL"/>
              </w:rPr>
            </w:pPr>
          </w:p>
        </w:tc>
        <w:tc>
          <w:tcPr>
            <w:tcW w:w="2516" w:type="dxa"/>
            <w:tcBorders>
              <w:left w:val="single" w:sz="4" w:space="0" w:color="auto"/>
            </w:tcBorders>
          </w:tcPr>
          <w:p w:rsidR="00F41600" w:rsidRPr="006234AA" w:rsidRDefault="00F41600" w:rsidP="003C0546">
            <w:pPr>
              <w:spacing w:after="120"/>
              <w:ind w:firstLine="0"/>
              <w:jc w:val="center"/>
              <w:rPr>
                <w:lang w:val="nl-NL"/>
              </w:rPr>
            </w:pPr>
            <w:r w:rsidRPr="006234AA">
              <w:rPr>
                <w:lang w:val="nl-NL"/>
              </w:rPr>
              <w:t>*</w:t>
            </w:r>
          </w:p>
        </w:tc>
      </w:tr>
    </w:tbl>
    <w:p w:rsidR="00F41600" w:rsidRPr="006234AA" w:rsidRDefault="00F41600" w:rsidP="003C0546">
      <w:pPr>
        <w:spacing w:after="120"/>
        <w:rPr>
          <w:lang w:val="nl-NL"/>
        </w:rPr>
      </w:pPr>
    </w:p>
    <w:p w:rsidR="00F41600" w:rsidRPr="006234AA" w:rsidRDefault="00F41600" w:rsidP="003C0546">
      <w:pPr>
        <w:spacing w:after="120"/>
        <w:jc w:val="center"/>
        <w:rPr>
          <w:b/>
          <w:lang w:val="nl-NL"/>
        </w:rPr>
      </w:pPr>
      <w:r w:rsidRPr="006234AA">
        <w:rPr>
          <w:b/>
          <w:lang w:val="nl-NL"/>
        </w:rPr>
        <w:t>THÔNG BÁO NỘP/YÊU CẦU RÚT CHỨNG KHOÁN KÝ QUỸ THANH TOÁN BÙ TRỪ</w:t>
      </w:r>
    </w:p>
    <w:p w:rsidR="00F41600" w:rsidRPr="006234AA" w:rsidRDefault="00F41600" w:rsidP="003C0546">
      <w:pPr>
        <w:spacing w:after="120"/>
        <w:rPr>
          <w:lang w:val="nl-NL"/>
        </w:rPr>
      </w:pPr>
    </w:p>
    <w:p w:rsidR="00F41600" w:rsidRPr="006234AA" w:rsidRDefault="00F41600" w:rsidP="003C0546">
      <w:pPr>
        <w:spacing w:after="120"/>
        <w:rPr>
          <w:lang w:val="nl-NL"/>
        </w:rPr>
      </w:pPr>
      <w:r w:rsidRPr="006234AA">
        <w:rPr>
          <w:lang w:val="nl-NL"/>
        </w:rPr>
        <w:t>Kính gửi: Sở giao dịch chứng khoán</w:t>
      </w:r>
    </w:p>
    <w:p w:rsidR="00F41600" w:rsidRPr="006234AA" w:rsidRDefault="00F41600" w:rsidP="003C0546">
      <w:pPr>
        <w:spacing w:after="120"/>
        <w:rPr>
          <w:lang w:val="nl-NL"/>
        </w:rPr>
      </w:pPr>
    </w:p>
    <w:p w:rsidR="00F41600" w:rsidRPr="006234AA" w:rsidRDefault="00F41600" w:rsidP="003C0546">
      <w:pPr>
        <w:spacing w:after="120"/>
        <w:rPr>
          <w:lang w:val="nl-NL"/>
        </w:rPr>
      </w:pPr>
      <w:r w:rsidRPr="006234AA">
        <w:rPr>
          <w:lang w:val="nl-NL"/>
        </w:rPr>
        <w:t xml:space="preserve">Căn cứ Điều ... Thông tư ... ngày ... tháng ... năm 2014 của Bộ trưởng Bộ Tài chính, chúng tôi đề nghị được nộp (rút) các chứng khoán ký quỹ sau đây: </w:t>
      </w:r>
    </w:p>
    <w:p w:rsidR="00F41600" w:rsidRPr="006234AA" w:rsidRDefault="00F41600" w:rsidP="003C0546">
      <w:pPr>
        <w:spacing w:after="120"/>
        <w:rPr>
          <w:lang w:val="nl-NL"/>
        </w:rPr>
      </w:pPr>
    </w:p>
    <w:tbl>
      <w:tblPr>
        <w:tblStyle w:val="TableGrid"/>
        <w:tblW w:w="0" w:type="auto"/>
        <w:tblLook w:val="04A0"/>
      </w:tblPr>
      <w:tblGrid>
        <w:gridCol w:w="1101"/>
        <w:gridCol w:w="2268"/>
        <w:gridCol w:w="2268"/>
        <w:gridCol w:w="992"/>
        <w:gridCol w:w="1559"/>
        <w:gridCol w:w="1099"/>
      </w:tblGrid>
      <w:tr w:rsidR="00F41600" w:rsidRPr="006234AA" w:rsidTr="00A15B69">
        <w:tc>
          <w:tcPr>
            <w:tcW w:w="3369" w:type="dxa"/>
            <w:gridSpan w:val="2"/>
            <w:tcBorders>
              <w:top w:val="single" w:sz="4" w:space="0" w:color="auto"/>
              <w:bottom w:val="single" w:sz="4" w:space="0" w:color="auto"/>
            </w:tcBorders>
          </w:tcPr>
          <w:p w:rsidR="00F41600" w:rsidRPr="006234AA" w:rsidRDefault="00F41600" w:rsidP="003C0546">
            <w:pPr>
              <w:spacing w:after="120"/>
              <w:ind w:firstLine="0"/>
              <w:jc w:val="left"/>
              <w:rPr>
                <w:lang w:val="nl-NL"/>
              </w:rPr>
            </w:pPr>
            <w:r w:rsidRPr="006234AA">
              <w:rPr>
                <w:lang w:val="nl-NL"/>
              </w:rPr>
              <w:t>Tên (issue name)</w:t>
            </w:r>
          </w:p>
        </w:tc>
        <w:tc>
          <w:tcPr>
            <w:tcW w:w="2268" w:type="dxa"/>
            <w:tcBorders>
              <w:top w:val="single" w:sz="4" w:space="0" w:color="auto"/>
              <w:bottom w:val="single" w:sz="4" w:space="0" w:color="auto"/>
            </w:tcBorders>
          </w:tcPr>
          <w:p w:rsidR="00F41600" w:rsidRPr="006234AA" w:rsidRDefault="00F41600" w:rsidP="003C0546">
            <w:pPr>
              <w:spacing w:after="120"/>
              <w:ind w:firstLine="0"/>
              <w:jc w:val="left"/>
              <w:rPr>
                <w:lang w:val="nl-NL"/>
              </w:rPr>
            </w:pPr>
            <w:r w:rsidRPr="006234AA">
              <w:rPr>
                <w:lang w:val="nl-NL"/>
              </w:rPr>
              <w:t>Mã số</w:t>
            </w:r>
          </w:p>
        </w:tc>
        <w:tc>
          <w:tcPr>
            <w:tcW w:w="992" w:type="dxa"/>
            <w:tcBorders>
              <w:top w:val="single" w:sz="4" w:space="0" w:color="auto"/>
              <w:bottom w:val="single" w:sz="4" w:space="0" w:color="auto"/>
            </w:tcBorders>
          </w:tcPr>
          <w:p w:rsidR="00F41600" w:rsidRPr="006234AA" w:rsidRDefault="00F41600" w:rsidP="003C0546">
            <w:pPr>
              <w:spacing w:after="120"/>
              <w:ind w:firstLine="0"/>
              <w:jc w:val="left"/>
              <w:rPr>
                <w:lang w:val="nl-NL"/>
              </w:rPr>
            </w:pPr>
            <w:r w:rsidRPr="006234AA">
              <w:rPr>
                <w:lang w:val="nl-NL"/>
              </w:rPr>
              <w:t>Số lượng</w:t>
            </w:r>
          </w:p>
        </w:tc>
        <w:tc>
          <w:tcPr>
            <w:tcW w:w="1559" w:type="dxa"/>
            <w:tcBorders>
              <w:top w:val="single" w:sz="4" w:space="0" w:color="auto"/>
              <w:bottom w:val="single" w:sz="4" w:space="0" w:color="auto"/>
            </w:tcBorders>
          </w:tcPr>
          <w:p w:rsidR="00F41600" w:rsidRPr="006234AA" w:rsidRDefault="00F41600" w:rsidP="003C0546">
            <w:pPr>
              <w:spacing w:after="120"/>
              <w:ind w:firstLine="0"/>
              <w:jc w:val="left"/>
              <w:rPr>
                <w:lang w:val="nl-NL"/>
              </w:rPr>
            </w:pPr>
            <w:r w:rsidRPr="006234AA">
              <w:rPr>
                <w:lang w:val="nl-NL"/>
              </w:rPr>
              <w:t>Giá thay thế (VND)</w:t>
            </w:r>
          </w:p>
        </w:tc>
        <w:tc>
          <w:tcPr>
            <w:tcW w:w="1099" w:type="dxa"/>
            <w:tcBorders>
              <w:top w:val="single" w:sz="4" w:space="0" w:color="auto"/>
              <w:bottom w:val="single" w:sz="4" w:space="0" w:color="auto"/>
            </w:tcBorders>
          </w:tcPr>
          <w:p w:rsidR="00F41600" w:rsidRPr="006234AA" w:rsidRDefault="00F41600" w:rsidP="003C0546">
            <w:pPr>
              <w:spacing w:after="120"/>
              <w:ind w:firstLine="0"/>
              <w:jc w:val="left"/>
              <w:rPr>
                <w:lang w:val="nl-NL"/>
              </w:rPr>
            </w:pPr>
            <w:r w:rsidRPr="006234AA">
              <w:rPr>
                <w:lang w:val="nl-NL"/>
              </w:rPr>
              <w:t>Giá trị (VND)</w:t>
            </w:r>
          </w:p>
        </w:tc>
      </w:tr>
      <w:tr w:rsidR="00F41600" w:rsidRPr="006234AA" w:rsidTr="00A15B69">
        <w:tc>
          <w:tcPr>
            <w:tcW w:w="3369" w:type="dxa"/>
            <w:gridSpan w:val="2"/>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Tài sản tự doanh</w:t>
            </w:r>
          </w:p>
        </w:tc>
        <w:tc>
          <w:tcPr>
            <w:tcW w:w="2268"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992"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r>
      <w:tr w:rsidR="00F41600" w:rsidRPr="006234AA" w:rsidTr="00A15B69">
        <w:tc>
          <w:tcPr>
            <w:tcW w:w="1101" w:type="dxa"/>
            <w:vMerge w:val="restart"/>
            <w:tcBorders>
              <w:top w:val="single" w:sz="4" w:space="0" w:color="auto"/>
            </w:tcBorders>
          </w:tcPr>
          <w:p w:rsidR="00F41600" w:rsidRPr="006234AA" w:rsidRDefault="00F41600" w:rsidP="003C0546">
            <w:pPr>
              <w:spacing w:after="120"/>
              <w:ind w:firstLine="0"/>
              <w:rPr>
                <w:lang w:val="nl-NL"/>
              </w:rPr>
            </w:pPr>
            <w:r w:rsidRPr="006234AA">
              <w:rPr>
                <w:lang w:val="nl-NL"/>
              </w:rPr>
              <w:t>Tài sản ủy thác</w:t>
            </w:r>
          </w:p>
        </w:tc>
        <w:tc>
          <w:tcPr>
            <w:tcW w:w="2268" w:type="dxa"/>
            <w:tcBorders>
              <w:top w:val="single" w:sz="4" w:space="0" w:color="auto"/>
              <w:bottom w:val="single" w:sz="4" w:space="0" w:color="auto"/>
            </w:tcBorders>
          </w:tcPr>
          <w:p w:rsidR="00F41600" w:rsidRPr="006234AA" w:rsidRDefault="00F41600" w:rsidP="003C0546">
            <w:pPr>
              <w:spacing w:after="120"/>
              <w:ind w:firstLine="0"/>
              <w:jc w:val="left"/>
              <w:rPr>
                <w:lang w:val="nl-NL"/>
              </w:rPr>
            </w:pPr>
            <w:r w:rsidRPr="006234AA">
              <w:rPr>
                <w:lang w:val="nl-NL"/>
              </w:rPr>
              <w:t>Thành viên bù trừ</w:t>
            </w:r>
          </w:p>
        </w:tc>
        <w:tc>
          <w:tcPr>
            <w:tcW w:w="2268"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992"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r>
      <w:tr w:rsidR="00F41600" w:rsidRPr="006234AA" w:rsidTr="00A15B69">
        <w:tc>
          <w:tcPr>
            <w:tcW w:w="1101" w:type="dxa"/>
            <w:vMerge/>
          </w:tcPr>
          <w:p w:rsidR="00F41600" w:rsidRPr="006234AA" w:rsidRDefault="00F41600" w:rsidP="003C0546">
            <w:pPr>
              <w:spacing w:after="120"/>
              <w:ind w:firstLine="0"/>
              <w:rPr>
                <w:lang w:val="nl-NL"/>
              </w:rPr>
            </w:pPr>
          </w:p>
        </w:tc>
        <w:tc>
          <w:tcPr>
            <w:tcW w:w="2268" w:type="dxa"/>
            <w:tcBorders>
              <w:top w:val="single" w:sz="4" w:space="0" w:color="auto"/>
              <w:bottom w:val="single" w:sz="4" w:space="0" w:color="auto"/>
            </w:tcBorders>
          </w:tcPr>
          <w:p w:rsidR="00F41600"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F41600"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F41600" w:rsidRPr="006234AA">
              <w:rPr>
                <w:lang w:val="nl-NL"/>
              </w:rPr>
              <w:t xml:space="preserve"> Tự doanh</w:t>
            </w: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1101" w:type="dxa"/>
            <w:vMerge/>
          </w:tcPr>
          <w:p w:rsidR="00F41600" w:rsidRPr="006234AA" w:rsidRDefault="00F41600" w:rsidP="003C0546">
            <w:pPr>
              <w:spacing w:after="120"/>
              <w:ind w:firstLine="0"/>
              <w:rPr>
                <w:lang w:val="nl-NL"/>
              </w:rPr>
            </w:pPr>
          </w:p>
        </w:tc>
        <w:tc>
          <w:tcPr>
            <w:tcW w:w="2268" w:type="dxa"/>
            <w:tcBorders>
              <w:top w:val="single" w:sz="4" w:space="0" w:color="auto"/>
              <w:bottom w:val="single" w:sz="4" w:space="0" w:color="auto"/>
            </w:tcBorders>
          </w:tcPr>
          <w:p w:rsidR="00F41600"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F41600"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F41600" w:rsidRPr="006234AA">
              <w:rPr>
                <w:lang w:val="nl-NL"/>
              </w:rPr>
              <w:t xml:space="preserve"> Ủy thác</w:t>
            </w: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1101" w:type="dxa"/>
            <w:vMerge/>
          </w:tcPr>
          <w:p w:rsidR="00F41600" w:rsidRPr="006234AA" w:rsidRDefault="00F41600" w:rsidP="003C0546">
            <w:pPr>
              <w:spacing w:after="120"/>
              <w:ind w:firstLine="0"/>
              <w:rPr>
                <w:lang w:val="nl-NL"/>
              </w:rPr>
            </w:pPr>
          </w:p>
        </w:tc>
        <w:tc>
          <w:tcPr>
            <w:tcW w:w="2268" w:type="dxa"/>
            <w:tcBorders>
              <w:top w:val="single" w:sz="4" w:space="0" w:color="auto"/>
            </w:tcBorders>
          </w:tcPr>
          <w:p w:rsidR="00F41600" w:rsidRPr="006234AA" w:rsidRDefault="00F41600" w:rsidP="003C0546">
            <w:pPr>
              <w:spacing w:after="120"/>
              <w:ind w:firstLine="0"/>
              <w:jc w:val="left"/>
              <w:rPr>
                <w:lang w:val="nl-NL"/>
              </w:rPr>
            </w:pPr>
            <w:r w:rsidRPr="006234AA">
              <w:rPr>
                <w:lang w:val="nl-NL"/>
              </w:rPr>
              <w:t>Tổng cộng</w:t>
            </w:r>
          </w:p>
        </w:tc>
        <w:tc>
          <w:tcPr>
            <w:tcW w:w="2268" w:type="dxa"/>
            <w:tcBorders>
              <w:top w:val="single" w:sz="4" w:space="0" w:color="auto"/>
            </w:tcBorders>
          </w:tcPr>
          <w:p w:rsidR="00F41600" w:rsidRPr="006234AA" w:rsidRDefault="00F41600" w:rsidP="003C0546">
            <w:pPr>
              <w:spacing w:after="120"/>
              <w:ind w:firstLine="0"/>
              <w:rPr>
                <w:lang w:val="nl-NL"/>
              </w:rPr>
            </w:pPr>
          </w:p>
        </w:tc>
        <w:tc>
          <w:tcPr>
            <w:tcW w:w="992" w:type="dxa"/>
            <w:tcBorders>
              <w:top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tcBorders>
          </w:tcPr>
          <w:p w:rsidR="00F41600" w:rsidRPr="006234AA" w:rsidRDefault="00F41600" w:rsidP="003C0546">
            <w:pPr>
              <w:spacing w:after="120"/>
              <w:ind w:firstLine="0"/>
              <w:rPr>
                <w:lang w:val="nl-NL"/>
              </w:rPr>
            </w:pPr>
          </w:p>
        </w:tc>
        <w:tc>
          <w:tcPr>
            <w:tcW w:w="1099" w:type="dxa"/>
            <w:tcBorders>
              <w:top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vMerge w:val="restart"/>
            <w:tcBorders>
              <w:top w:val="single" w:sz="4" w:space="0" w:color="auto"/>
            </w:tcBorders>
          </w:tcPr>
          <w:p w:rsidR="00F41600" w:rsidRPr="006234AA" w:rsidRDefault="00F41600" w:rsidP="003C0546">
            <w:pPr>
              <w:spacing w:after="120"/>
              <w:ind w:firstLine="0"/>
              <w:rPr>
                <w:lang w:val="nl-NL"/>
              </w:rPr>
            </w:pPr>
            <w:r w:rsidRPr="006234AA">
              <w:rPr>
                <w:lang w:val="nl-NL"/>
              </w:rPr>
              <w:t>Cổ phiếu niêm yết trên HOSE (Tổng cộng)</w:t>
            </w: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Tài sản tự doanh</w:t>
            </w: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vMerge/>
            <w:tcBorders>
              <w:bottom w:val="single" w:sz="4" w:space="0" w:color="auto"/>
            </w:tcBorders>
          </w:tcPr>
          <w:p w:rsidR="00F41600" w:rsidRPr="006234AA" w:rsidRDefault="00F41600" w:rsidP="003C0546">
            <w:pPr>
              <w:spacing w:after="120"/>
              <w:ind w:firstLine="0"/>
              <w:rPr>
                <w:lang w:val="nl-NL"/>
              </w:rPr>
            </w:pP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Tài sản ủy thác</w:t>
            </w: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vMerge w:val="restart"/>
            <w:tcBorders>
              <w:top w:val="single" w:sz="4" w:space="0" w:color="auto"/>
            </w:tcBorders>
          </w:tcPr>
          <w:p w:rsidR="00F41600" w:rsidRPr="006234AA" w:rsidRDefault="00F41600" w:rsidP="003C0546">
            <w:pPr>
              <w:spacing w:after="120"/>
              <w:ind w:firstLine="0"/>
              <w:rPr>
                <w:lang w:val="nl-NL"/>
              </w:rPr>
            </w:pPr>
            <w:r w:rsidRPr="006234AA">
              <w:rPr>
                <w:lang w:val="nl-NL"/>
              </w:rPr>
              <w:t>Cổ phiếu niêm yết trên HNX (Tổng cộng)</w:t>
            </w: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Tài sản tự doanh</w:t>
            </w: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vMerge/>
            <w:tcBorders>
              <w:bottom w:val="single" w:sz="4" w:space="0" w:color="auto"/>
            </w:tcBorders>
          </w:tcPr>
          <w:p w:rsidR="00F41600" w:rsidRPr="006234AA" w:rsidRDefault="00F41600" w:rsidP="003C0546">
            <w:pPr>
              <w:spacing w:after="120"/>
              <w:ind w:firstLine="0"/>
              <w:rPr>
                <w:lang w:val="nl-NL"/>
              </w:rPr>
            </w:pP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Tài sản ủy thác</w:t>
            </w: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vMerge w:val="restart"/>
            <w:tcBorders>
              <w:top w:val="single" w:sz="4" w:space="0" w:color="auto"/>
            </w:tcBorders>
          </w:tcPr>
          <w:p w:rsidR="00F41600" w:rsidRPr="006234AA" w:rsidRDefault="00F41600" w:rsidP="003C0546">
            <w:pPr>
              <w:spacing w:after="120"/>
              <w:ind w:firstLine="0"/>
              <w:rPr>
                <w:lang w:val="nl-NL"/>
              </w:rPr>
            </w:pPr>
            <w:r w:rsidRPr="006234AA">
              <w:rPr>
                <w:lang w:val="nl-NL"/>
              </w:rPr>
              <w:t xml:space="preserve">Trái phiếu niêm yết trên </w:t>
            </w:r>
            <w:r w:rsidRPr="006234AA">
              <w:rPr>
                <w:lang w:val="nl-NL"/>
              </w:rPr>
              <w:lastRenderedPageBreak/>
              <w:t>HNX (Tổng cộng)</w:t>
            </w: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lastRenderedPageBreak/>
              <w:t>Tài sản tự doanh</w:t>
            </w: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vMerge/>
            <w:tcBorders>
              <w:bottom w:val="single" w:sz="4" w:space="0" w:color="auto"/>
            </w:tcBorders>
          </w:tcPr>
          <w:p w:rsidR="00F41600" w:rsidRPr="006234AA" w:rsidRDefault="00F41600" w:rsidP="003C0546">
            <w:pPr>
              <w:spacing w:after="120"/>
              <w:ind w:firstLine="0"/>
              <w:rPr>
                <w:lang w:val="nl-NL"/>
              </w:rPr>
            </w:pP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Tài sản ủy thác</w:t>
            </w: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vMerge w:val="restart"/>
            <w:tcBorders>
              <w:top w:val="single" w:sz="4" w:space="0" w:color="auto"/>
            </w:tcBorders>
          </w:tcPr>
          <w:p w:rsidR="00F41600" w:rsidRPr="006234AA" w:rsidRDefault="00F41600" w:rsidP="003C0546">
            <w:pPr>
              <w:spacing w:after="120"/>
              <w:ind w:firstLine="0"/>
              <w:rPr>
                <w:lang w:val="nl-NL"/>
              </w:rPr>
            </w:pPr>
            <w:r w:rsidRPr="006234AA">
              <w:rPr>
                <w:lang w:val="nl-NL"/>
              </w:rPr>
              <w:lastRenderedPageBreak/>
              <w:t>Chứng khoán khác (Tổng cộng)</w:t>
            </w: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Tài sản tự doanh</w:t>
            </w: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vMerge/>
            <w:tcBorders>
              <w:bottom w:val="single" w:sz="4" w:space="0" w:color="auto"/>
            </w:tcBorders>
          </w:tcPr>
          <w:p w:rsidR="00F41600" w:rsidRPr="006234AA" w:rsidRDefault="00F41600" w:rsidP="003C0546">
            <w:pPr>
              <w:spacing w:after="120"/>
              <w:ind w:firstLine="0"/>
              <w:rPr>
                <w:lang w:val="nl-NL"/>
              </w:rPr>
            </w:pP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Tài sản ủy thác</w:t>
            </w: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vMerge w:val="restart"/>
            <w:tcBorders>
              <w:top w:val="single" w:sz="4" w:space="0" w:color="auto"/>
            </w:tcBorders>
          </w:tcPr>
          <w:p w:rsidR="00F41600" w:rsidRPr="006234AA" w:rsidRDefault="00F41600" w:rsidP="003C0546">
            <w:pPr>
              <w:spacing w:after="120"/>
              <w:ind w:firstLine="0"/>
              <w:rPr>
                <w:lang w:val="nl-NL"/>
              </w:rPr>
            </w:pPr>
            <w:r w:rsidRPr="006234AA">
              <w:rPr>
                <w:lang w:val="nl-NL"/>
              </w:rPr>
              <w:t>...</w:t>
            </w: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Tài sản tự doanh</w:t>
            </w: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vMerge/>
            <w:tcBorders>
              <w:bottom w:val="single" w:sz="4" w:space="0" w:color="auto"/>
            </w:tcBorders>
          </w:tcPr>
          <w:p w:rsidR="00F41600" w:rsidRPr="006234AA" w:rsidRDefault="00F41600" w:rsidP="003C0546">
            <w:pPr>
              <w:spacing w:after="120"/>
              <w:ind w:firstLine="0"/>
              <w:rPr>
                <w:lang w:val="nl-NL"/>
              </w:rPr>
            </w:pPr>
          </w:p>
        </w:tc>
        <w:tc>
          <w:tcPr>
            <w:tcW w:w="2268" w:type="dxa"/>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Tài sản ủy thác</w:t>
            </w:r>
          </w:p>
        </w:tc>
        <w:tc>
          <w:tcPr>
            <w:tcW w:w="992" w:type="dxa"/>
            <w:tcBorders>
              <w:top w:val="single" w:sz="4" w:space="0" w:color="auto"/>
              <w:bottom w:val="single" w:sz="4" w:space="0" w:color="auto"/>
            </w:tcBorders>
          </w:tcPr>
          <w:p w:rsidR="00F41600" w:rsidRPr="006234AA" w:rsidRDefault="00F41600" w:rsidP="003C0546">
            <w:pPr>
              <w:spacing w:after="120"/>
              <w:ind w:firstLine="0"/>
              <w:rPr>
                <w:lang w:val="nl-NL"/>
              </w:rPr>
            </w:pP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tcBorders>
              <w:top w:val="single" w:sz="4" w:space="0" w:color="auto"/>
              <w:bottom w:val="single" w:sz="4" w:space="0" w:color="auto"/>
            </w:tcBorders>
          </w:tcPr>
          <w:p w:rsidR="00F41600" w:rsidRPr="006234AA" w:rsidRDefault="00F41600" w:rsidP="003C0546">
            <w:pPr>
              <w:spacing w:after="120"/>
              <w:ind w:firstLine="0"/>
              <w:rPr>
                <w:lang w:val="nl-NL"/>
              </w:rPr>
            </w:pPr>
            <w:r w:rsidRPr="006234AA">
              <w:rPr>
                <w:lang w:val="nl-NL"/>
              </w:rPr>
              <w:t>Tổng cộng</w:t>
            </w:r>
          </w:p>
        </w:tc>
        <w:tc>
          <w:tcPr>
            <w:tcW w:w="2268"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992"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559" w:type="dxa"/>
            <w:tcBorders>
              <w:top w:val="single" w:sz="4" w:space="0" w:color="auto"/>
              <w:bottom w:val="single" w:sz="4" w:space="0" w:color="auto"/>
            </w:tcBorders>
          </w:tcPr>
          <w:p w:rsidR="00F41600" w:rsidRPr="006234AA" w:rsidRDefault="00F41600" w:rsidP="003C0546">
            <w:pPr>
              <w:spacing w:after="120"/>
              <w:ind w:firstLine="0"/>
              <w:jc w:val="center"/>
              <w:rPr>
                <w:lang w:val="nl-NL"/>
              </w:rPr>
            </w:pPr>
            <w:r w:rsidRPr="006234AA">
              <w:rPr>
                <w:lang w:val="nl-NL"/>
              </w:rPr>
              <w:t>-</w:t>
            </w:r>
          </w:p>
        </w:tc>
        <w:tc>
          <w:tcPr>
            <w:tcW w:w="1099" w:type="dxa"/>
            <w:tcBorders>
              <w:top w:val="single" w:sz="4" w:space="0" w:color="auto"/>
              <w:bottom w:val="single" w:sz="4" w:space="0" w:color="auto"/>
            </w:tcBorders>
          </w:tcPr>
          <w:p w:rsidR="00F41600" w:rsidRPr="006234AA" w:rsidRDefault="00F41600" w:rsidP="003C0546">
            <w:pPr>
              <w:spacing w:after="120"/>
              <w:ind w:firstLine="0"/>
              <w:rPr>
                <w:lang w:val="nl-NL"/>
              </w:rPr>
            </w:pPr>
          </w:p>
        </w:tc>
      </w:tr>
      <w:tr w:rsidR="00F41600" w:rsidRPr="006234AA" w:rsidTr="00A15B69">
        <w:tc>
          <w:tcPr>
            <w:tcW w:w="3369" w:type="dxa"/>
            <w:gridSpan w:val="2"/>
            <w:tcBorders>
              <w:top w:val="nil"/>
              <w:left w:val="nil"/>
              <w:bottom w:val="nil"/>
              <w:right w:val="nil"/>
            </w:tcBorders>
          </w:tcPr>
          <w:p w:rsidR="00F41600" w:rsidRPr="006234AA" w:rsidRDefault="00F41600" w:rsidP="003C0546">
            <w:pPr>
              <w:spacing w:after="120"/>
              <w:ind w:firstLine="0"/>
              <w:jc w:val="left"/>
              <w:rPr>
                <w:lang w:val="nl-NL"/>
              </w:rPr>
            </w:pPr>
          </w:p>
        </w:tc>
        <w:tc>
          <w:tcPr>
            <w:tcW w:w="5918" w:type="dxa"/>
            <w:gridSpan w:val="4"/>
            <w:tcBorders>
              <w:top w:val="nil"/>
              <w:left w:val="nil"/>
              <w:bottom w:val="nil"/>
              <w:right w:val="nil"/>
            </w:tcBorders>
          </w:tcPr>
          <w:p w:rsidR="00F41600" w:rsidRPr="006234AA" w:rsidRDefault="00F41600" w:rsidP="003C0546">
            <w:pPr>
              <w:spacing w:after="120"/>
              <w:ind w:firstLine="33"/>
              <w:jc w:val="right"/>
              <w:rPr>
                <w:i/>
                <w:lang w:val="nl-NL"/>
              </w:rPr>
            </w:pPr>
            <w:r w:rsidRPr="006234AA">
              <w:rPr>
                <w:i/>
                <w:lang w:val="nl-NL"/>
              </w:rPr>
              <w:t>..., ngày ... tháng ... năm ...</w:t>
            </w:r>
          </w:p>
          <w:p w:rsidR="00F41600" w:rsidRPr="006234AA" w:rsidRDefault="00F41600" w:rsidP="003C0546">
            <w:pPr>
              <w:spacing w:after="120"/>
              <w:ind w:firstLine="33"/>
              <w:jc w:val="center"/>
              <w:rPr>
                <w:b/>
                <w:lang w:val="nl-NL"/>
              </w:rPr>
            </w:pPr>
            <w:r w:rsidRPr="006234AA">
              <w:rPr>
                <w:b/>
                <w:lang w:val="nl-NL"/>
              </w:rPr>
              <w:t>Đại diện có thẩm quyền</w:t>
            </w:r>
          </w:p>
          <w:p w:rsidR="00F41600" w:rsidRPr="006234AA" w:rsidRDefault="00F41600" w:rsidP="003C0546">
            <w:pPr>
              <w:spacing w:after="120"/>
              <w:ind w:firstLine="33"/>
              <w:jc w:val="center"/>
              <w:rPr>
                <w:lang w:val="nl-NL"/>
              </w:rPr>
            </w:pPr>
            <w:r w:rsidRPr="006234AA">
              <w:rPr>
                <w:i/>
                <w:lang w:val="nl-NL"/>
              </w:rPr>
              <w:t>(ký, ghi rõ họ tên, đóng dấu)</w:t>
            </w:r>
          </w:p>
          <w:p w:rsidR="00F41600" w:rsidRPr="006234AA" w:rsidRDefault="00F41600" w:rsidP="003C0546">
            <w:pPr>
              <w:spacing w:after="120"/>
              <w:ind w:firstLine="33"/>
              <w:jc w:val="center"/>
              <w:rPr>
                <w:b/>
                <w:lang w:val="nl-NL"/>
              </w:rPr>
            </w:pPr>
            <w:r w:rsidRPr="006234AA">
              <w:rPr>
                <w:b/>
                <w:lang w:val="nl-NL"/>
              </w:rPr>
              <w:t>Tên công ty</w:t>
            </w:r>
          </w:p>
          <w:p w:rsidR="00F41600" w:rsidRPr="006234AA" w:rsidRDefault="00F41600" w:rsidP="003C0546">
            <w:pPr>
              <w:spacing w:after="120"/>
              <w:ind w:firstLine="33"/>
              <w:rPr>
                <w:lang w:val="nl-NL"/>
              </w:rPr>
            </w:pPr>
            <w:r w:rsidRPr="006234AA">
              <w:rPr>
                <w:lang w:val="nl-NL"/>
              </w:rPr>
              <w:t>(Nhân viên phụ trách: ... Số liên hệ: ...)</w:t>
            </w:r>
          </w:p>
        </w:tc>
      </w:tr>
    </w:tbl>
    <w:p w:rsidR="00F41600" w:rsidRPr="006234AA" w:rsidRDefault="00F41600" w:rsidP="003C0546">
      <w:pPr>
        <w:spacing w:after="120"/>
        <w:rPr>
          <w:lang w:val="nl-NL"/>
        </w:rPr>
      </w:pPr>
    </w:p>
    <w:p w:rsidR="00F41600" w:rsidRPr="006234AA" w:rsidRDefault="00F41600" w:rsidP="003C0546">
      <w:pPr>
        <w:spacing w:after="120"/>
        <w:rPr>
          <w:lang w:val="nl-NL"/>
        </w:rPr>
      </w:pPr>
      <w:r w:rsidRPr="006234AA">
        <w:rPr>
          <w:lang w:val="nl-NL"/>
        </w:rPr>
        <w:t xml:space="preserve">Ghi chú: </w:t>
      </w:r>
    </w:p>
    <w:p w:rsidR="00F41600" w:rsidRPr="006234AA" w:rsidRDefault="00F41600" w:rsidP="003C0546">
      <w:pPr>
        <w:spacing w:after="120"/>
        <w:rPr>
          <w:lang w:val="nl-NL"/>
        </w:rPr>
      </w:pPr>
      <w:r w:rsidRPr="006234AA">
        <w:rPr>
          <w:lang w:val="nl-NL"/>
        </w:rPr>
        <w:t xml:space="preserve">1. *: Để trống. </w:t>
      </w:r>
    </w:p>
    <w:p w:rsidR="00F41600" w:rsidRPr="006234AA" w:rsidRDefault="00F41600" w:rsidP="003C0546">
      <w:pPr>
        <w:spacing w:after="120"/>
        <w:rPr>
          <w:lang w:val="nl-NL"/>
        </w:rPr>
      </w:pPr>
      <w:r w:rsidRPr="006234AA">
        <w:rPr>
          <w:lang w:val="nl-NL"/>
        </w:rPr>
        <w:t xml:space="preserve">2. (đóng dấu): Sử dụng con dấu mà các thành viên đã đăng ký chính thức với Sở giao dịch chứng khoán. </w:t>
      </w:r>
    </w:p>
    <w:p w:rsidR="00F41600" w:rsidRPr="006234AA" w:rsidRDefault="00F41600" w:rsidP="003C0546">
      <w:pPr>
        <w:spacing w:after="120"/>
        <w:rPr>
          <w:lang w:val="nl-NL"/>
        </w:rPr>
      </w:pPr>
      <w:r w:rsidRPr="006234AA">
        <w:rPr>
          <w:lang w:val="nl-NL"/>
        </w:rPr>
        <w:t>3. Tên (issue name): Sau khi phân loại chứng khoán thay thế thành tài sản tự doanh và tài sản ủy thác, liệt kê theo trình tự các cổ phiếu, trái phiếu niêm yết trên thị trường HOSE, HNX, và theo trình tự của các mã tài khoản do Sở giao dịch chứng khoán ban hành.</w:t>
      </w:r>
    </w:p>
    <w:p w:rsidR="00F41600" w:rsidRPr="006234AA" w:rsidRDefault="00F41600" w:rsidP="003C0546">
      <w:pPr>
        <w:spacing w:after="120"/>
        <w:rPr>
          <w:lang w:val="nl-NL"/>
        </w:rPr>
      </w:pPr>
      <w:r w:rsidRPr="006234AA">
        <w:rPr>
          <w:lang w:val="nl-NL"/>
        </w:rPr>
        <w:t>4. Tài sản ủy thác: (Ghi tên của thành viên không bù trừ trong ngoặc đơn).</w:t>
      </w:r>
    </w:p>
    <w:p w:rsidR="00F41600" w:rsidRPr="006234AA" w:rsidRDefault="00F41600" w:rsidP="003C0546">
      <w:pPr>
        <w:spacing w:after="120"/>
        <w:rPr>
          <w:lang w:val="nl-NL"/>
        </w:rPr>
      </w:pPr>
      <w:r w:rsidRPr="006234AA">
        <w:rPr>
          <w:lang w:val="nl-NL"/>
        </w:rPr>
        <w:t xml:space="preserve">5. Tài sản của nhà đầu tư hoặc công ty môi giới không phải là thành viên phải được ghi vào tài sản ủy thác. </w:t>
      </w:r>
    </w:p>
    <w:p w:rsidR="00F41600" w:rsidRPr="006234AA" w:rsidRDefault="00F41600" w:rsidP="003C0546">
      <w:pPr>
        <w:spacing w:after="120"/>
        <w:rPr>
          <w:lang w:val="nl-NL"/>
        </w:rPr>
      </w:pPr>
      <w:r w:rsidRPr="006234AA">
        <w:rPr>
          <w:lang w:val="nl-NL"/>
        </w:rPr>
        <w:t xml:space="preserve">6. Giá thay thế là giá thay thế tại ngày nộp (rút) chứng khoán. </w:t>
      </w:r>
    </w:p>
    <w:p w:rsidR="00F41600" w:rsidRPr="006234AA" w:rsidRDefault="00F41600" w:rsidP="003C0546">
      <w:pPr>
        <w:spacing w:after="120"/>
        <w:rPr>
          <w:lang w:val="nl-NL"/>
        </w:rPr>
      </w:pPr>
      <w:r w:rsidRPr="006234AA">
        <w:rPr>
          <w:lang w:val="nl-NL"/>
        </w:rPr>
        <w:t>7. Đơn vị số lượng là số cổ phiếu/chứng chỉ quỹ đối với cổ phiếu/chứng chỉ quỹ; 100.000 VND đối với trái phiếu...</w:t>
      </w:r>
    </w:p>
    <w:p w:rsidR="00F41600" w:rsidRPr="006234AA" w:rsidRDefault="00F41600" w:rsidP="003C0546">
      <w:pPr>
        <w:spacing w:after="120"/>
        <w:rPr>
          <w:lang w:val="nl-NL"/>
        </w:rPr>
      </w:pPr>
    </w:p>
    <w:p w:rsidR="00F41600" w:rsidRPr="006234AA" w:rsidRDefault="00F41600" w:rsidP="003C0546">
      <w:pPr>
        <w:spacing w:after="120"/>
        <w:rPr>
          <w:lang w:val="nl-NL"/>
        </w:rPr>
      </w:pPr>
    </w:p>
    <w:p w:rsidR="003D51A4" w:rsidRPr="006234AA" w:rsidRDefault="003D51A4" w:rsidP="003C0546">
      <w:pPr>
        <w:spacing w:after="120"/>
        <w:rPr>
          <w:lang w:val="nl-NL"/>
        </w:rPr>
      </w:pPr>
    </w:p>
    <w:p w:rsidR="003D51A4" w:rsidRPr="006234AA" w:rsidRDefault="003D51A4" w:rsidP="003C0546">
      <w:pPr>
        <w:spacing w:after="120"/>
        <w:rPr>
          <w:lang w:val="nl-NL"/>
        </w:rPr>
      </w:pPr>
    </w:p>
    <w:p w:rsidR="003D51A4" w:rsidRPr="006234AA" w:rsidRDefault="003D51A4" w:rsidP="003C0546">
      <w:pPr>
        <w:spacing w:after="120"/>
        <w:rPr>
          <w:lang w:val="nl-NL"/>
        </w:rPr>
      </w:pPr>
    </w:p>
    <w:p w:rsidR="003D51A4" w:rsidRPr="006234AA" w:rsidRDefault="003D51A4" w:rsidP="003C0546">
      <w:pPr>
        <w:spacing w:after="120"/>
        <w:rPr>
          <w:lang w:val="nl-NL"/>
        </w:rPr>
      </w:pPr>
    </w:p>
    <w:p w:rsidR="003D51A4" w:rsidRPr="006234AA" w:rsidRDefault="003D51A4" w:rsidP="003C0546">
      <w:pPr>
        <w:spacing w:after="120"/>
        <w:rPr>
          <w:lang w:val="nl-NL"/>
        </w:rPr>
      </w:pPr>
    </w:p>
    <w:p w:rsidR="003D51A4" w:rsidRPr="006234AA" w:rsidRDefault="003D51A4" w:rsidP="003C0546">
      <w:pPr>
        <w:spacing w:after="120"/>
        <w:rPr>
          <w:lang w:val="nl-NL"/>
        </w:rPr>
      </w:pPr>
    </w:p>
    <w:p w:rsidR="003D51A4" w:rsidRPr="006234AA" w:rsidRDefault="003D51A4" w:rsidP="003C0546">
      <w:pPr>
        <w:spacing w:after="120"/>
        <w:rPr>
          <w:lang w:val="nl-NL"/>
        </w:rPr>
      </w:pPr>
    </w:p>
    <w:p w:rsidR="00D9612D" w:rsidRPr="006234AA" w:rsidRDefault="00D9612D" w:rsidP="003C0546">
      <w:pPr>
        <w:pStyle w:val="Heading5"/>
        <w:spacing w:after="120"/>
        <w:ind w:hanging="2912"/>
      </w:pPr>
      <w:bookmarkStart w:id="269" w:name="_Toc388876131"/>
      <w:bookmarkStart w:id="270" w:name="_Toc422672037"/>
      <w:r w:rsidRPr="006234AA">
        <w:t>Giới hạn giá và giới hạn lệnh</w:t>
      </w:r>
      <w:bookmarkEnd w:id="269"/>
      <w:bookmarkEnd w:id="270"/>
      <w:r w:rsidRPr="006234AA">
        <w:t xml:space="preserve"> </w:t>
      </w:r>
    </w:p>
    <w:p w:rsidR="00D9612D" w:rsidRPr="006234AA" w:rsidRDefault="00D9612D"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3D51A4" w:rsidRPr="006234AA" w:rsidRDefault="003D51A4" w:rsidP="003C0546">
      <w:pPr>
        <w:spacing w:after="120"/>
        <w:rPr>
          <w:lang w:val="nl-NL"/>
        </w:rPr>
      </w:pPr>
      <w:r w:rsidRPr="006234AA">
        <w:rPr>
          <w:lang w:val="nl-NL"/>
        </w:rPr>
        <w:t>1. Tỷ lệ giới hạn giá của hợp đồng tương lai</w:t>
      </w:r>
    </w:p>
    <w:tbl>
      <w:tblPr>
        <w:tblStyle w:val="TableGrid"/>
        <w:tblW w:w="0" w:type="auto"/>
        <w:tblLook w:val="04A0"/>
      </w:tblPr>
      <w:tblGrid>
        <w:gridCol w:w="6487"/>
        <w:gridCol w:w="2800"/>
      </w:tblGrid>
      <w:tr w:rsidR="003D51A4" w:rsidRPr="006234AA" w:rsidTr="00A15B69">
        <w:tc>
          <w:tcPr>
            <w:tcW w:w="6487" w:type="dxa"/>
          </w:tcPr>
          <w:p w:rsidR="003D51A4" w:rsidRPr="006234AA" w:rsidRDefault="003D51A4" w:rsidP="003C0546">
            <w:pPr>
              <w:spacing w:after="120"/>
              <w:ind w:firstLine="0"/>
              <w:rPr>
                <w:b/>
                <w:lang w:val="nl-NL"/>
              </w:rPr>
            </w:pPr>
            <w:r w:rsidRPr="006234AA">
              <w:rPr>
                <w:b/>
                <w:lang w:val="nl-NL"/>
              </w:rPr>
              <w:t>Loại giao dịch</w:t>
            </w:r>
          </w:p>
        </w:tc>
        <w:tc>
          <w:tcPr>
            <w:tcW w:w="2800" w:type="dxa"/>
          </w:tcPr>
          <w:p w:rsidR="003D51A4" w:rsidRPr="006234AA" w:rsidRDefault="003D51A4" w:rsidP="003C0546">
            <w:pPr>
              <w:spacing w:after="120"/>
              <w:ind w:firstLine="0"/>
              <w:rPr>
                <w:b/>
                <w:lang w:val="nl-NL"/>
              </w:rPr>
            </w:pPr>
            <w:r w:rsidRPr="006234AA">
              <w:rPr>
                <w:b/>
                <w:lang w:val="nl-NL"/>
              </w:rPr>
              <w:t xml:space="preserve">Tỷ lệ </w:t>
            </w:r>
          </w:p>
        </w:tc>
      </w:tr>
      <w:tr w:rsidR="003D51A4" w:rsidRPr="006234AA" w:rsidTr="00A15B69">
        <w:tc>
          <w:tcPr>
            <w:tcW w:w="6487" w:type="dxa"/>
          </w:tcPr>
          <w:p w:rsidR="003D51A4" w:rsidRPr="006234AA" w:rsidRDefault="003D51A4" w:rsidP="003C0546">
            <w:pPr>
              <w:spacing w:after="120"/>
              <w:ind w:firstLine="0"/>
              <w:rPr>
                <w:lang w:val="nl-NL"/>
              </w:rPr>
            </w:pPr>
            <w:r w:rsidRPr="006234AA">
              <w:rPr>
                <w:lang w:val="nl-NL"/>
              </w:rPr>
              <w:t>Hợp đồng tương lai chỉ số</w:t>
            </w:r>
          </w:p>
        </w:tc>
        <w:tc>
          <w:tcPr>
            <w:tcW w:w="2800" w:type="dxa"/>
          </w:tcPr>
          <w:p w:rsidR="003D51A4" w:rsidRPr="006234AA" w:rsidRDefault="003D51A4" w:rsidP="003C0546">
            <w:pPr>
              <w:spacing w:after="120"/>
              <w:ind w:firstLine="0"/>
              <w:rPr>
                <w:lang w:val="nl-NL"/>
              </w:rPr>
            </w:pPr>
            <w:r w:rsidRPr="006234AA">
              <w:rPr>
                <w:lang w:val="nl-NL"/>
              </w:rPr>
              <w:t>10%</w:t>
            </w:r>
          </w:p>
        </w:tc>
      </w:tr>
      <w:tr w:rsidR="003D51A4" w:rsidRPr="006234AA" w:rsidTr="00A15B69">
        <w:tc>
          <w:tcPr>
            <w:tcW w:w="6487" w:type="dxa"/>
          </w:tcPr>
          <w:p w:rsidR="003D51A4" w:rsidRPr="006234AA" w:rsidRDefault="003D51A4" w:rsidP="003C0546">
            <w:pPr>
              <w:spacing w:after="120"/>
              <w:ind w:firstLine="0"/>
              <w:rPr>
                <w:lang w:val="nl-NL"/>
              </w:rPr>
            </w:pPr>
            <w:r w:rsidRPr="006234AA">
              <w:rPr>
                <w:lang w:val="nl-NL"/>
              </w:rPr>
              <w:t>Hợp đồng tương lai trái phiếu chính phủ 2 năm</w:t>
            </w:r>
          </w:p>
        </w:tc>
        <w:tc>
          <w:tcPr>
            <w:tcW w:w="2800" w:type="dxa"/>
          </w:tcPr>
          <w:p w:rsidR="003D51A4" w:rsidRPr="006234AA" w:rsidRDefault="003D51A4" w:rsidP="003C0546">
            <w:pPr>
              <w:spacing w:after="120"/>
              <w:ind w:firstLine="0"/>
              <w:rPr>
                <w:lang w:val="nl-NL"/>
              </w:rPr>
            </w:pPr>
            <w:r w:rsidRPr="006234AA">
              <w:rPr>
                <w:lang w:val="nl-NL"/>
              </w:rPr>
              <w:t>1,5%</w:t>
            </w:r>
          </w:p>
        </w:tc>
      </w:tr>
      <w:tr w:rsidR="003D51A4" w:rsidRPr="006234AA" w:rsidTr="00A15B69">
        <w:tc>
          <w:tcPr>
            <w:tcW w:w="6487" w:type="dxa"/>
          </w:tcPr>
          <w:p w:rsidR="003D51A4" w:rsidRPr="006234AA" w:rsidRDefault="003D51A4" w:rsidP="003C0546">
            <w:pPr>
              <w:spacing w:after="120"/>
              <w:ind w:firstLine="0"/>
              <w:rPr>
                <w:lang w:val="nl-NL"/>
              </w:rPr>
            </w:pPr>
            <w:r w:rsidRPr="006234AA">
              <w:rPr>
                <w:lang w:val="nl-NL"/>
              </w:rPr>
              <w:t>Hợp đồng tương lai trái phiếu chính phủ 3 năm</w:t>
            </w:r>
          </w:p>
        </w:tc>
        <w:tc>
          <w:tcPr>
            <w:tcW w:w="2800" w:type="dxa"/>
          </w:tcPr>
          <w:p w:rsidR="003D51A4" w:rsidRPr="006234AA" w:rsidRDefault="003D51A4" w:rsidP="003C0546">
            <w:pPr>
              <w:spacing w:after="120"/>
              <w:ind w:firstLine="0"/>
              <w:rPr>
                <w:lang w:val="nl-NL"/>
              </w:rPr>
            </w:pPr>
            <w:r w:rsidRPr="006234AA">
              <w:rPr>
                <w:lang w:val="nl-NL"/>
              </w:rPr>
              <w:t>1,8%</w:t>
            </w:r>
          </w:p>
        </w:tc>
      </w:tr>
      <w:tr w:rsidR="003D51A4" w:rsidRPr="006234AA" w:rsidTr="00A15B69">
        <w:tc>
          <w:tcPr>
            <w:tcW w:w="6487" w:type="dxa"/>
          </w:tcPr>
          <w:p w:rsidR="003D51A4" w:rsidRPr="006234AA" w:rsidRDefault="003D51A4" w:rsidP="003C0546">
            <w:pPr>
              <w:spacing w:after="120"/>
              <w:ind w:firstLine="0"/>
              <w:rPr>
                <w:lang w:val="nl-NL"/>
              </w:rPr>
            </w:pPr>
            <w:r w:rsidRPr="006234AA">
              <w:rPr>
                <w:lang w:val="nl-NL"/>
              </w:rPr>
              <w:t>Hợp đồng tương lai trái phiếu chính phủ 5 năm</w:t>
            </w:r>
          </w:p>
        </w:tc>
        <w:tc>
          <w:tcPr>
            <w:tcW w:w="2800" w:type="dxa"/>
          </w:tcPr>
          <w:p w:rsidR="003D51A4" w:rsidRPr="006234AA" w:rsidRDefault="003D51A4" w:rsidP="003C0546">
            <w:pPr>
              <w:spacing w:after="120"/>
              <w:ind w:firstLine="0"/>
              <w:rPr>
                <w:lang w:val="nl-NL"/>
              </w:rPr>
            </w:pPr>
            <w:r w:rsidRPr="006234AA">
              <w:rPr>
                <w:lang w:val="nl-NL"/>
              </w:rPr>
              <w:t>2,0%</w:t>
            </w:r>
          </w:p>
        </w:tc>
      </w:tr>
      <w:tr w:rsidR="003D51A4" w:rsidRPr="006234AA" w:rsidTr="00A15B69">
        <w:tc>
          <w:tcPr>
            <w:tcW w:w="6487" w:type="dxa"/>
          </w:tcPr>
          <w:p w:rsidR="003D51A4" w:rsidRPr="006234AA" w:rsidRDefault="003D51A4" w:rsidP="003C0546">
            <w:pPr>
              <w:spacing w:after="120"/>
              <w:ind w:firstLine="0"/>
              <w:rPr>
                <w:lang w:val="nl-NL"/>
              </w:rPr>
            </w:pPr>
            <w:r w:rsidRPr="006234AA">
              <w:rPr>
                <w:lang w:val="nl-NL"/>
              </w:rPr>
              <w:t>Hợp đồng tương lai trái phiếu chính phủ 10 năm</w:t>
            </w:r>
          </w:p>
        </w:tc>
        <w:tc>
          <w:tcPr>
            <w:tcW w:w="2800" w:type="dxa"/>
          </w:tcPr>
          <w:p w:rsidR="003D51A4" w:rsidRPr="006234AA" w:rsidRDefault="003D51A4" w:rsidP="003C0546">
            <w:pPr>
              <w:spacing w:after="120"/>
              <w:ind w:firstLine="0"/>
              <w:rPr>
                <w:lang w:val="nl-NL"/>
              </w:rPr>
            </w:pPr>
            <w:r w:rsidRPr="006234AA">
              <w:rPr>
                <w:lang w:val="nl-NL"/>
              </w:rPr>
              <w:t>2,7%</w:t>
            </w:r>
          </w:p>
        </w:tc>
      </w:tr>
      <w:tr w:rsidR="003D51A4" w:rsidRPr="006234AA" w:rsidTr="00A15B69">
        <w:tc>
          <w:tcPr>
            <w:tcW w:w="6487" w:type="dxa"/>
          </w:tcPr>
          <w:p w:rsidR="003D51A4" w:rsidRPr="006234AA" w:rsidRDefault="003D51A4" w:rsidP="003C0546">
            <w:pPr>
              <w:spacing w:after="120"/>
              <w:ind w:firstLine="0"/>
              <w:rPr>
                <w:lang w:val="nl-NL"/>
              </w:rPr>
            </w:pPr>
            <w:r w:rsidRPr="006234AA">
              <w:rPr>
                <w:lang w:val="nl-NL"/>
              </w:rPr>
              <w:t>...</w:t>
            </w:r>
          </w:p>
        </w:tc>
        <w:tc>
          <w:tcPr>
            <w:tcW w:w="2800" w:type="dxa"/>
          </w:tcPr>
          <w:p w:rsidR="003D51A4" w:rsidRPr="006234AA" w:rsidRDefault="003D51A4" w:rsidP="003C0546">
            <w:pPr>
              <w:spacing w:after="120"/>
              <w:ind w:firstLine="0"/>
              <w:rPr>
                <w:lang w:val="nl-NL"/>
              </w:rPr>
            </w:pPr>
          </w:p>
        </w:tc>
      </w:tr>
    </w:tbl>
    <w:p w:rsidR="003D51A4" w:rsidRPr="006234AA" w:rsidRDefault="003D51A4" w:rsidP="003C0546">
      <w:pPr>
        <w:spacing w:after="120"/>
        <w:rPr>
          <w:lang w:val="nl-NL"/>
        </w:rPr>
      </w:pPr>
    </w:p>
    <w:p w:rsidR="003D51A4" w:rsidRPr="006234AA" w:rsidRDefault="003D51A4" w:rsidP="003C0546">
      <w:pPr>
        <w:spacing w:after="120"/>
        <w:rPr>
          <w:lang w:val="nl-NL"/>
        </w:rPr>
      </w:pPr>
      <w:r w:rsidRPr="006234AA">
        <w:rPr>
          <w:lang w:val="nl-NL"/>
        </w:rPr>
        <w:t>2. Giới hạn lệnh</w:t>
      </w:r>
    </w:p>
    <w:tbl>
      <w:tblPr>
        <w:tblStyle w:val="TableGrid"/>
        <w:tblW w:w="0" w:type="auto"/>
        <w:tblLook w:val="04A0"/>
      </w:tblPr>
      <w:tblGrid>
        <w:gridCol w:w="3936"/>
        <w:gridCol w:w="5351"/>
      </w:tblGrid>
      <w:tr w:rsidR="003D51A4" w:rsidRPr="006234AA" w:rsidTr="00A15B69">
        <w:tc>
          <w:tcPr>
            <w:tcW w:w="3936" w:type="dxa"/>
          </w:tcPr>
          <w:p w:rsidR="003D51A4" w:rsidRPr="006234AA" w:rsidRDefault="003D51A4" w:rsidP="003C0546">
            <w:pPr>
              <w:spacing w:after="120"/>
              <w:ind w:firstLine="0"/>
              <w:rPr>
                <w:b/>
                <w:lang w:val="nl-NL"/>
              </w:rPr>
            </w:pPr>
            <w:r w:rsidRPr="006234AA">
              <w:rPr>
                <w:b/>
                <w:lang w:val="nl-NL"/>
              </w:rPr>
              <w:t>Sản phẩm</w:t>
            </w:r>
          </w:p>
        </w:tc>
        <w:tc>
          <w:tcPr>
            <w:tcW w:w="5351" w:type="dxa"/>
          </w:tcPr>
          <w:p w:rsidR="003D51A4" w:rsidRPr="006234AA" w:rsidRDefault="003D51A4" w:rsidP="003C0546">
            <w:pPr>
              <w:spacing w:after="120"/>
              <w:ind w:firstLine="0"/>
              <w:rPr>
                <w:b/>
                <w:lang w:val="nl-NL"/>
              </w:rPr>
            </w:pPr>
            <w:r w:rsidRPr="006234AA">
              <w:rPr>
                <w:b/>
                <w:lang w:val="nl-NL"/>
              </w:rPr>
              <w:t>Giới hạn lệnh</w:t>
            </w:r>
          </w:p>
        </w:tc>
      </w:tr>
      <w:tr w:rsidR="003D51A4" w:rsidRPr="006234AA" w:rsidTr="00A15B69">
        <w:tc>
          <w:tcPr>
            <w:tcW w:w="3936" w:type="dxa"/>
          </w:tcPr>
          <w:p w:rsidR="003D51A4" w:rsidRPr="006234AA" w:rsidRDefault="003D51A4" w:rsidP="003C0546">
            <w:pPr>
              <w:spacing w:after="120"/>
              <w:ind w:firstLine="0"/>
              <w:rPr>
                <w:lang w:val="nl-NL"/>
              </w:rPr>
            </w:pPr>
            <w:r w:rsidRPr="006234AA">
              <w:rPr>
                <w:lang w:val="nl-NL"/>
              </w:rPr>
              <w:t>Hợp đồng tương lai chỉ số</w:t>
            </w:r>
          </w:p>
        </w:tc>
        <w:tc>
          <w:tcPr>
            <w:tcW w:w="5351" w:type="dxa"/>
          </w:tcPr>
          <w:p w:rsidR="003D51A4" w:rsidRPr="006234AA" w:rsidRDefault="003D51A4" w:rsidP="003C0546">
            <w:pPr>
              <w:spacing w:after="120"/>
              <w:ind w:firstLine="0"/>
              <w:rPr>
                <w:lang w:val="nl-NL"/>
              </w:rPr>
            </w:pPr>
            <w:r w:rsidRPr="006234AA">
              <w:rPr>
                <w:lang w:val="nl-NL"/>
              </w:rPr>
              <w:t>1.000 hợp đồng (hoặc 100 hợp đồng đối với các sản phẩm có tính thanh khoản thấp)</w:t>
            </w:r>
          </w:p>
        </w:tc>
      </w:tr>
      <w:tr w:rsidR="003D51A4" w:rsidRPr="006234AA" w:rsidTr="00A15B69">
        <w:tc>
          <w:tcPr>
            <w:tcW w:w="3936" w:type="dxa"/>
          </w:tcPr>
          <w:p w:rsidR="003D51A4" w:rsidRPr="006234AA" w:rsidRDefault="003D51A4" w:rsidP="003C0546">
            <w:pPr>
              <w:spacing w:after="120"/>
              <w:ind w:firstLine="0"/>
              <w:rPr>
                <w:lang w:val="nl-NL"/>
              </w:rPr>
            </w:pPr>
            <w:r w:rsidRPr="006234AA">
              <w:rPr>
                <w:lang w:val="nl-NL"/>
              </w:rPr>
              <w:t>Hợp đồng tương lai trái phiếu chính phủ 2 năm</w:t>
            </w:r>
          </w:p>
        </w:tc>
        <w:tc>
          <w:tcPr>
            <w:tcW w:w="5351" w:type="dxa"/>
          </w:tcPr>
          <w:p w:rsidR="003D51A4" w:rsidRPr="006234AA" w:rsidRDefault="003D51A4" w:rsidP="003C0546">
            <w:pPr>
              <w:spacing w:after="120"/>
              <w:ind w:firstLine="0"/>
            </w:pPr>
            <w:r w:rsidRPr="006234AA">
              <w:rPr>
                <w:lang w:val="nl-NL"/>
              </w:rPr>
              <w:t>1.000 hợp đồng</w:t>
            </w:r>
          </w:p>
        </w:tc>
      </w:tr>
      <w:tr w:rsidR="003D51A4" w:rsidRPr="006234AA" w:rsidTr="00A15B69">
        <w:tc>
          <w:tcPr>
            <w:tcW w:w="3936" w:type="dxa"/>
          </w:tcPr>
          <w:p w:rsidR="003D51A4" w:rsidRPr="006234AA" w:rsidRDefault="003D51A4" w:rsidP="003C0546">
            <w:pPr>
              <w:spacing w:after="120"/>
              <w:ind w:firstLine="0"/>
              <w:rPr>
                <w:lang w:val="nl-NL"/>
              </w:rPr>
            </w:pPr>
            <w:r w:rsidRPr="006234AA">
              <w:rPr>
                <w:lang w:val="nl-NL"/>
              </w:rPr>
              <w:t>Hợp đồng tương lai trái phiếu chính phủ 3 năm</w:t>
            </w:r>
          </w:p>
        </w:tc>
        <w:tc>
          <w:tcPr>
            <w:tcW w:w="5351" w:type="dxa"/>
          </w:tcPr>
          <w:p w:rsidR="003D51A4" w:rsidRPr="006234AA" w:rsidRDefault="003D51A4" w:rsidP="003C0546">
            <w:pPr>
              <w:spacing w:after="120"/>
              <w:ind w:firstLine="0"/>
            </w:pPr>
            <w:r w:rsidRPr="006234AA">
              <w:rPr>
                <w:lang w:val="nl-NL"/>
              </w:rPr>
              <w:t>1.000 hợp đồng</w:t>
            </w:r>
          </w:p>
        </w:tc>
      </w:tr>
      <w:tr w:rsidR="003D51A4" w:rsidRPr="006234AA" w:rsidTr="00A15B69">
        <w:tc>
          <w:tcPr>
            <w:tcW w:w="3936" w:type="dxa"/>
          </w:tcPr>
          <w:p w:rsidR="003D51A4" w:rsidRPr="006234AA" w:rsidRDefault="003D51A4" w:rsidP="003C0546">
            <w:pPr>
              <w:spacing w:after="120"/>
              <w:ind w:firstLine="0"/>
              <w:rPr>
                <w:lang w:val="nl-NL"/>
              </w:rPr>
            </w:pPr>
            <w:r w:rsidRPr="006234AA">
              <w:rPr>
                <w:lang w:val="nl-NL"/>
              </w:rPr>
              <w:t>Hợp đồng tương lai trái phiếu chính phủ 5 năm</w:t>
            </w:r>
          </w:p>
        </w:tc>
        <w:tc>
          <w:tcPr>
            <w:tcW w:w="5351" w:type="dxa"/>
          </w:tcPr>
          <w:p w:rsidR="003D51A4" w:rsidRPr="006234AA" w:rsidRDefault="003D51A4" w:rsidP="003C0546">
            <w:pPr>
              <w:spacing w:after="120"/>
              <w:ind w:firstLine="0"/>
            </w:pPr>
            <w:r w:rsidRPr="006234AA">
              <w:rPr>
                <w:lang w:val="nl-NL"/>
              </w:rPr>
              <w:t>1.000 hợp đồng</w:t>
            </w:r>
          </w:p>
        </w:tc>
      </w:tr>
      <w:tr w:rsidR="003D51A4" w:rsidRPr="006234AA" w:rsidTr="00A15B69">
        <w:tc>
          <w:tcPr>
            <w:tcW w:w="3936" w:type="dxa"/>
          </w:tcPr>
          <w:p w:rsidR="003D51A4" w:rsidRPr="006234AA" w:rsidRDefault="003D51A4" w:rsidP="003C0546">
            <w:pPr>
              <w:spacing w:after="120"/>
              <w:ind w:firstLine="0"/>
              <w:rPr>
                <w:lang w:val="nl-NL"/>
              </w:rPr>
            </w:pPr>
            <w:r w:rsidRPr="006234AA">
              <w:rPr>
                <w:lang w:val="nl-NL"/>
              </w:rPr>
              <w:t>Hợp đồng tương lai trái phiếu chính phủ 10 năm</w:t>
            </w:r>
          </w:p>
        </w:tc>
        <w:tc>
          <w:tcPr>
            <w:tcW w:w="5351" w:type="dxa"/>
          </w:tcPr>
          <w:p w:rsidR="003D51A4" w:rsidRPr="006234AA" w:rsidRDefault="003D51A4" w:rsidP="003C0546">
            <w:pPr>
              <w:spacing w:after="120"/>
              <w:ind w:firstLine="0"/>
            </w:pPr>
            <w:r w:rsidRPr="006234AA">
              <w:rPr>
                <w:lang w:val="nl-NL"/>
              </w:rPr>
              <w:t>1.000 hợp đồng</w:t>
            </w:r>
          </w:p>
        </w:tc>
      </w:tr>
      <w:tr w:rsidR="003D51A4" w:rsidRPr="006234AA" w:rsidTr="00A15B69">
        <w:tc>
          <w:tcPr>
            <w:tcW w:w="3936" w:type="dxa"/>
          </w:tcPr>
          <w:p w:rsidR="003D51A4" w:rsidRPr="006234AA" w:rsidRDefault="003D51A4" w:rsidP="003C0546">
            <w:pPr>
              <w:spacing w:after="120"/>
              <w:ind w:firstLine="0"/>
              <w:rPr>
                <w:lang w:val="nl-NL"/>
              </w:rPr>
            </w:pPr>
            <w:r w:rsidRPr="006234AA">
              <w:rPr>
                <w:lang w:val="nl-NL"/>
              </w:rPr>
              <w:t>...</w:t>
            </w:r>
          </w:p>
        </w:tc>
        <w:tc>
          <w:tcPr>
            <w:tcW w:w="5351" w:type="dxa"/>
          </w:tcPr>
          <w:p w:rsidR="003D51A4" w:rsidRPr="006234AA" w:rsidRDefault="003D51A4" w:rsidP="003C0546">
            <w:pPr>
              <w:spacing w:after="120"/>
              <w:ind w:firstLine="0"/>
              <w:rPr>
                <w:lang w:val="nl-NL"/>
              </w:rPr>
            </w:pPr>
          </w:p>
        </w:tc>
      </w:tr>
    </w:tbl>
    <w:p w:rsidR="003D51A4" w:rsidRPr="006234AA" w:rsidRDefault="003D51A4" w:rsidP="003C0546">
      <w:pPr>
        <w:spacing w:after="120"/>
        <w:rPr>
          <w:lang w:val="nl-NL"/>
        </w:rPr>
      </w:pPr>
    </w:p>
    <w:p w:rsidR="003D51A4" w:rsidRPr="006234AA" w:rsidRDefault="003D51A4" w:rsidP="003C0546">
      <w:pPr>
        <w:spacing w:after="120"/>
        <w:rPr>
          <w:lang w:val="nl-NL"/>
        </w:rPr>
      </w:pPr>
      <w:r w:rsidRPr="006234AA">
        <w:rPr>
          <w:lang w:val="nl-NL"/>
        </w:rPr>
        <w:t>3. Giới hạn lệnh lũy kế</w:t>
      </w:r>
    </w:p>
    <w:p w:rsidR="003D51A4" w:rsidRPr="006234AA" w:rsidRDefault="003D51A4" w:rsidP="003C0546">
      <w:pPr>
        <w:spacing w:after="120"/>
        <w:rPr>
          <w:lang w:val="nl-NL"/>
        </w:rPr>
      </w:pPr>
      <w:r w:rsidRPr="006234AA">
        <w:rPr>
          <w:lang w:val="nl-NL"/>
        </w:rPr>
        <w:t>a) Giới hạn lệnh lũy kế</w:t>
      </w:r>
    </w:p>
    <w:tbl>
      <w:tblPr>
        <w:tblStyle w:val="TableGrid"/>
        <w:tblW w:w="0" w:type="auto"/>
        <w:tblLook w:val="04A0"/>
      </w:tblPr>
      <w:tblGrid>
        <w:gridCol w:w="3936"/>
        <w:gridCol w:w="5351"/>
      </w:tblGrid>
      <w:tr w:rsidR="003D51A4" w:rsidRPr="006234AA" w:rsidTr="00A15B69">
        <w:tc>
          <w:tcPr>
            <w:tcW w:w="3936" w:type="dxa"/>
          </w:tcPr>
          <w:p w:rsidR="003D51A4" w:rsidRPr="006234AA" w:rsidRDefault="003D51A4" w:rsidP="003C0546">
            <w:pPr>
              <w:spacing w:after="120"/>
              <w:ind w:firstLine="0"/>
              <w:rPr>
                <w:b/>
                <w:lang w:val="nl-NL"/>
              </w:rPr>
            </w:pPr>
            <w:r w:rsidRPr="006234AA">
              <w:rPr>
                <w:b/>
                <w:lang w:val="nl-NL"/>
              </w:rPr>
              <w:t>Loại tài khoản</w:t>
            </w:r>
          </w:p>
        </w:tc>
        <w:tc>
          <w:tcPr>
            <w:tcW w:w="5351" w:type="dxa"/>
          </w:tcPr>
          <w:p w:rsidR="003D51A4" w:rsidRPr="006234AA" w:rsidRDefault="003D51A4" w:rsidP="003C0546">
            <w:pPr>
              <w:spacing w:after="120"/>
              <w:ind w:firstLine="0"/>
              <w:rPr>
                <w:b/>
                <w:lang w:val="nl-NL"/>
              </w:rPr>
            </w:pPr>
            <w:r w:rsidRPr="006234AA">
              <w:rPr>
                <w:b/>
                <w:lang w:val="nl-NL"/>
              </w:rPr>
              <w:t>Giới hạn lệnh lũy kế</w:t>
            </w:r>
          </w:p>
        </w:tc>
      </w:tr>
      <w:tr w:rsidR="003D51A4" w:rsidRPr="006234AA" w:rsidTr="00A15B69">
        <w:tc>
          <w:tcPr>
            <w:tcW w:w="3936" w:type="dxa"/>
          </w:tcPr>
          <w:p w:rsidR="003D51A4" w:rsidRPr="006234AA" w:rsidRDefault="003D51A4" w:rsidP="003C0546">
            <w:pPr>
              <w:spacing w:after="120"/>
              <w:ind w:firstLine="0"/>
              <w:rPr>
                <w:lang w:val="nl-NL"/>
              </w:rPr>
            </w:pPr>
            <w:r w:rsidRPr="006234AA">
              <w:rPr>
                <w:lang w:val="nl-NL"/>
              </w:rPr>
              <w:t>Tài khoản tự doanh, tài khoản ủy thác</w:t>
            </w:r>
          </w:p>
        </w:tc>
        <w:tc>
          <w:tcPr>
            <w:tcW w:w="5351" w:type="dxa"/>
          </w:tcPr>
          <w:p w:rsidR="003D51A4" w:rsidRPr="006234AA" w:rsidRDefault="003D51A4" w:rsidP="003C0546">
            <w:pPr>
              <w:spacing w:after="120"/>
              <w:ind w:firstLine="0"/>
              <w:rPr>
                <w:lang w:val="nl-NL"/>
              </w:rPr>
            </w:pPr>
            <w:r w:rsidRPr="006234AA">
              <w:rPr>
                <w:lang w:val="nl-NL"/>
              </w:rPr>
              <w:t>15.000 hợp đồng chiều mua (upward direction) hoặc chiều bán (downward)</w:t>
            </w:r>
          </w:p>
        </w:tc>
      </w:tr>
    </w:tbl>
    <w:p w:rsidR="003D51A4" w:rsidRPr="006234AA" w:rsidRDefault="003D51A4" w:rsidP="003C0546">
      <w:pPr>
        <w:spacing w:after="120"/>
        <w:rPr>
          <w:lang w:val="nl-NL"/>
        </w:rPr>
      </w:pPr>
    </w:p>
    <w:p w:rsidR="003D51A4" w:rsidRPr="006234AA" w:rsidRDefault="003D51A4" w:rsidP="003C0546">
      <w:pPr>
        <w:spacing w:after="120"/>
        <w:rPr>
          <w:lang w:val="nl-NL"/>
        </w:rPr>
      </w:pPr>
      <w:r w:rsidRPr="006234AA">
        <w:rPr>
          <w:lang w:val="nl-NL"/>
        </w:rPr>
        <w:t>b) Phương pháp tính giới hạn lệnh lũy kế</w:t>
      </w:r>
    </w:p>
    <w:tbl>
      <w:tblPr>
        <w:tblStyle w:val="TableGrid"/>
        <w:tblW w:w="0" w:type="auto"/>
        <w:tblLook w:val="04A0"/>
      </w:tblPr>
      <w:tblGrid>
        <w:gridCol w:w="1101"/>
        <w:gridCol w:w="8186"/>
      </w:tblGrid>
      <w:tr w:rsidR="003D51A4" w:rsidRPr="006234AA" w:rsidTr="00A15B69">
        <w:tc>
          <w:tcPr>
            <w:tcW w:w="1101" w:type="dxa"/>
          </w:tcPr>
          <w:p w:rsidR="003D51A4" w:rsidRPr="006234AA" w:rsidRDefault="003D51A4" w:rsidP="003C0546">
            <w:pPr>
              <w:spacing w:after="120"/>
              <w:ind w:firstLine="0"/>
              <w:rPr>
                <w:lang w:val="nl-NL"/>
              </w:rPr>
            </w:pPr>
          </w:p>
        </w:tc>
        <w:tc>
          <w:tcPr>
            <w:tcW w:w="8186" w:type="dxa"/>
          </w:tcPr>
          <w:p w:rsidR="003D51A4" w:rsidRPr="006234AA" w:rsidRDefault="003D51A4" w:rsidP="003C0546">
            <w:pPr>
              <w:spacing w:after="120"/>
              <w:ind w:firstLine="0"/>
              <w:rPr>
                <w:lang w:val="nl-NL"/>
              </w:rPr>
            </w:pPr>
            <w:r w:rsidRPr="006234AA">
              <w:rPr>
                <w:lang w:val="nl-NL"/>
              </w:rPr>
              <w:t>Phương pháp tính</w:t>
            </w:r>
          </w:p>
        </w:tc>
      </w:tr>
      <w:tr w:rsidR="003D51A4" w:rsidRPr="006234AA" w:rsidTr="00A15B69">
        <w:tc>
          <w:tcPr>
            <w:tcW w:w="1101" w:type="dxa"/>
          </w:tcPr>
          <w:p w:rsidR="003D51A4" w:rsidRPr="006234AA" w:rsidRDefault="003D51A4" w:rsidP="003C0546">
            <w:pPr>
              <w:spacing w:after="120"/>
              <w:ind w:firstLine="0"/>
              <w:rPr>
                <w:lang w:val="nl-NL"/>
              </w:rPr>
            </w:pPr>
            <w:r w:rsidRPr="006234AA">
              <w:rPr>
                <w:lang w:val="nl-NL"/>
              </w:rPr>
              <w:t>Chiều mua</w:t>
            </w:r>
          </w:p>
        </w:tc>
        <w:tc>
          <w:tcPr>
            <w:tcW w:w="8186" w:type="dxa"/>
          </w:tcPr>
          <w:p w:rsidR="003D51A4" w:rsidRPr="006234AA" w:rsidRDefault="003D51A4" w:rsidP="003C0546">
            <w:pPr>
              <w:spacing w:after="120"/>
              <w:ind w:firstLine="0"/>
              <w:rPr>
                <w:lang w:val="nl-NL"/>
              </w:rPr>
            </w:pPr>
            <w:r w:rsidRPr="006234AA">
              <w:rPr>
                <w:lang w:val="nl-NL"/>
              </w:rPr>
              <w:t>∑ (Số lượng hợp đồng mua trong lệnh chưa nhập vào hệ thống + Số lượng hợp đồng mua trong lệnh đã nhập vào hệ thống)</w:t>
            </w:r>
          </w:p>
        </w:tc>
      </w:tr>
      <w:tr w:rsidR="003D51A4" w:rsidRPr="006234AA" w:rsidTr="00A15B69">
        <w:tc>
          <w:tcPr>
            <w:tcW w:w="1101" w:type="dxa"/>
          </w:tcPr>
          <w:p w:rsidR="003D51A4" w:rsidRPr="006234AA" w:rsidRDefault="003D51A4" w:rsidP="003C0546">
            <w:pPr>
              <w:spacing w:after="120"/>
              <w:ind w:firstLine="0"/>
              <w:rPr>
                <w:lang w:val="nl-NL"/>
              </w:rPr>
            </w:pPr>
            <w:r w:rsidRPr="006234AA">
              <w:rPr>
                <w:lang w:val="nl-NL"/>
              </w:rPr>
              <w:t>Chiều bán</w:t>
            </w:r>
          </w:p>
        </w:tc>
        <w:tc>
          <w:tcPr>
            <w:tcW w:w="8186" w:type="dxa"/>
          </w:tcPr>
          <w:p w:rsidR="003D51A4" w:rsidRPr="006234AA" w:rsidRDefault="003D51A4" w:rsidP="003C0546">
            <w:pPr>
              <w:spacing w:after="120"/>
              <w:ind w:firstLine="0"/>
              <w:rPr>
                <w:lang w:val="nl-NL"/>
              </w:rPr>
            </w:pPr>
            <w:r w:rsidRPr="006234AA">
              <w:rPr>
                <w:lang w:val="nl-NL"/>
              </w:rPr>
              <w:t>∑ (Số lượng hợp đồng bán trong lệnh chưa nhập vào hệ thống + Số lượng hợp đồng bán trong lệnh đã nhập vào hệ thống)</w:t>
            </w:r>
          </w:p>
        </w:tc>
      </w:tr>
    </w:tbl>
    <w:p w:rsidR="003D51A4" w:rsidRPr="006234AA" w:rsidRDefault="003D51A4" w:rsidP="003C0546">
      <w:pPr>
        <w:spacing w:after="120"/>
        <w:rPr>
          <w:lang w:val="nl-NL"/>
        </w:rPr>
      </w:pPr>
    </w:p>
    <w:p w:rsidR="003D51A4" w:rsidRPr="006234AA" w:rsidRDefault="003D51A4" w:rsidP="003C0546">
      <w:pPr>
        <w:spacing w:after="120"/>
        <w:rPr>
          <w:lang w:val="nl-NL"/>
        </w:rPr>
      </w:pPr>
      <w:r w:rsidRPr="006234AA">
        <w:rPr>
          <w:lang w:val="nl-NL"/>
        </w:rPr>
        <w:t>Ghi chú:</w:t>
      </w:r>
    </w:p>
    <w:p w:rsidR="003D51A4" w:rsidRPr="006234AA" w:rsidRDefault="003D51A4" w:rsidP="003C0546">
      <w:pPr>
        <w:spacing w:after="120"/>
        <w:rPr>
          <w:lang w:val="nl-NL"/>
        </w:rPr>
      </w:pPr>
      <w:r w:rsidRPr="006234AA">
        <w:rPr>
          <w:lang w:val="nl-NL"/>
        </w:rPr>
        <w:t>- Hợp đồng trong lệnh đã nhập vào hệ thống là các hợp đồng trong các lệnh giao dịch đã nhập vào hệ thống của Sở giao dịch chứng khoán nhưng chưa được khớp.</w:t>
      </w:r>
    </w:p>
    <w:p w:rsidR="00D9612D" w:rsidRPr="006234AA" w:rsidRDefault="00D9612D"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663AE0" w:rsidRPr="006234AA" w:rsidRDefault="00663AE0" w:rsidP="003C0546">
      <w:pPr>
        <w:spacing w:after="120"/>
        <w:ind w:firstLine="0"/>
        <w:jc w:val="center"/>
        <w:rPr>
          <w:b/>
          <w:bCs/>
          <w:i/>
          <w:iCs/>
          <w:lang w:val="nl-NL"/>
        </w:rPr>
      </w:pPr>
    </w:p>
    <w:p w:rsidR="00D9612D" w:rsidRPr="006234AA" w:rsidRDefault="00D9612D" w:rsidP="003C0546">
      <w:pPr>
        <w:spacing w:after="120"/>
        <w:rPr>
          <w:lang w:val="nl-NL"/>
        </w:rPr>
      </w:pPr>
    </w:p>
    <w:p w:rsidR="00775B1A" w:rsidRPr="006234AA" w:rsidRDefault="00775B1A" w:rsidP="003C0546">
      <w:pPr>
        <w:pStyle w:val="Heading5"/>
        <w:spacing w:after="120"/>
        <w:ind w:hanging="2912"/>
        <w:jc w:val="both"/>
      </w:pPr>
      <w:bookmarkStart w:id="271" w:name="_Toc422672038"/>
      <w:r w:rsidRPr="006234AA">
        <w:t xml:space="preserve">Tỷ lệ khấu trừ rủi ro thị trường đối với </w:t>
      </w:r>
      <w:r w:rsidR="00596D76" w:rsidRPr="006234AA">
        <w:t>c</w:t>
      </w:r>
      <w:r w:rsidR="00B84486" w:rsidRPr="006234AA">
        <w:t xml:space="preserve">hứng khoán </w:t>
      </w:r>
      <w:r w:rsidR="0020601F" w:rsidRPr="006234AA">
        <w:t>được chấp nhận ký quỹ</w:t>
      </w:r>
      <w:bookmarkEnd w:id="271"/>
      <w:r w:rsidRPr="006234AA">
        <w:t xml:space="preserve"> </w:t>
      </w:r>
    </w:p>
    <w:p w:rsidR="00775B1A" w:rsidRPr="006234AA" w:rsidRDefault="00775B1A"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663AE0" w:rsidRPr="006234AA" w:rsidRDefault="00663AE0" w:rsidP="003C0546">
      <w:pPr>
        <w:spacing w:after="120"/>
        <w:ind w:firstLine="0"/>
        <w:jc w:val="center"/>
        <w:rPr>
          <w:b/>
          <w:bCs/>
          <w:i/>
          <w:iCs/>
          <w:lang w:val="nl-NL"/>
        </w:rPr>
      </w:pPr>
    </w:p>
    <w:tbl>
      <w:tblPr>
        <w:tblStyle w:val="TableGrid"/>
        <w:tblW w:w="0" w:type="auto"/>
        <w:tblLook w:val="04A0"/>
      </w:tblPr>
      <w:tblGrid>
        <w:gridCol w:w="714"/>
        <w:gridCol w:w="4484"/>
        <w:gridCol w:w="1271"/>
        <w:gridCol w:w="2818"/>
      </w:tblGrid>
      <w:tr w:rsidR="00663AE0" w:rsidRPr="006234AA" w:rsidTr="00A15B69">
        <w:tc>
          <w:tcPr>
            <w:tcW w:w="714" w:type="dxa"/>
          </w:tcPr>
          <w:p w:rsidR="00663AE0" w:rsidRPr="006234AA" w:rsidRDefault="00663AE0" w:rsidP="003C0546">
            <w:pPr>
              <w:spacing w:after="120"/>
              <w:ind w:firstLine="0"/>
              <w:jc w:val="left"/>
              <w:rPr>
                <w:lang w:val="nl-NL"/>
              </w:rPr>
            </w:pPr>
            <w:r w:rsidRPr="006234AA">
              <w:rPr>
                <w:lang w:val="nl-NL"/>
              </w:rPr>
              <w:t>Số</w:t>
            </w:r>
          </w:p>
          <w:p w:rsidR="00663AE0" w:rsidRPr="006234AA" w:rsidRDefault="00663AE0" w:rsidP="003C0546">
            <w:pPr>
              <w:spacing w:after="120"/>
              <w:ind w:firstLine="0"/>
              <w:jc w:val="left"/>
              <w:rPr>
                <w:lang w:val="nl-NL"/>
              </w:rPr>
            </w:pPr>
            <w:r w:rsidRPr="006234AA">
              <w:rPr>
                <w:lang w:val="nl-NL"/>
              </w:rPr>
              <w:t>TT</w:t>
            </w:r>
          </w:p>
        </w:tc>
        <w:tc>
          <w:tcPr>
            <w:tcW w:w="4484" w:type="dxa"/>
          </w:tcPr>
          <w:p w:rsidR="00663AE0" w:rsidRPr="006234AA" w:rsidRDefault="00663AE0" w:rsidP="003C0546">
            <w:pPr>
              <w:spacing w:after="120"/>
              <w:ind w:firstLine="0"/>
              <w:jc w:val="left"/>
              <w:rPr>
                <w:lang w:val="nl-NL"/>
              </w:rPr>
            </w:pPr>
            <w:r w:rsidRPr="006234AA">
              <w:rPr>
                <w:lang w:val="nl-NL"/>
              </w:rPr>
              <w:t>Loại tài sản ký quỹ</w:t>
            </w:r>
          </w:p>
        </w:tc>
        <w:tc>
          <w:tcPr>
            <w:tcW w:w="1271" w:type="dxa"/>
          </w:tcPr>
          <w:p w:rsidR="00663AE0" w:rsidRPr="006234AA" w:rsidRDefault="00663AE0" w:rsidP="003C0546">
            <w:pPr>
              <w:spacing w:after="120"/>
              <w:ind w:firstLine="0"/>
              <w:jc w:val="left"/>
              <w:rPr>
                <w:lang w:val="nl-NL"/>
              </w:rPr>
            </w:pPr>
            <w:r w:rsidRPr="006234AA">
              <w:rPr>
                <w:lang w:val="nl-NL"/>
              </w:rPr>
              <w:t>Tỷ lệ khấu trừ</w:t>
            </w:r>
          </w:p>
        </w:tc>
        <w:tc>
          <w:tcPr>
            <w:tcW w:w="2818" w:type="dxa"/>
          </w:tcPr>
          <w:p w:rsidR="00663AE0" w:rsidRPr="006234AA" w:rsidRDefault="00663AE0" w:rsidP="003C0546">
            <w:pPr>
              <w:spacing w:after="120"/>
              <w:ind w:firstLine="0"/>
              <w:jc w:val="left"/>
              <w:rPr>
                <w:lang w:val="nl-NL"/>
              </w:rPr>
            </w:pPr>
            <w:r w:rsidRPr="006234AA">
              <w:rPr>
                <w:lang w:val="nl-NL"/>
              </w:rPr>
              <w:t>Ghi chú</w:t>
            </w:r>
          </w:p>
        </w:tc>
      </w:tr>
      <w:tr w:rsidR="00663AE0" w:rsidRPr="006234AA" w:rsidTr="00A15B69">
        <w:tc>
          <w:tcPr>
            <w:tcW w:w="714" w:type="dxa"/>
          </w:tcPr>
          <w:p w:rsidR="00663AE0" w:rsidRPr="006234AA" w:rsidRDefault="00663AE0" w:rsidP="003C0546">
            <w:pPr>
              <w:spacing w:after="120"/>
              <w:ind w:firstLine="0"/>
              <w:rPr>
                <w:lang w:val="nl-NL"/>
              </w:rPr>
            </w:pPr>
            <w:r w:rsidRPr="006234AA">
              <w:rPr>
                <w:lang w:val="nl-NL"/>
              </w:rPr>
              <w:t>1</w:t>
            </w:r>
          </w:p>
        </w:tc>
        <w:tc>
          <w:tcPr>
            <w:tcW w:w="4484" w:type="dxa"/>
          </w:tcPr>
          <w:p w:rsidR="00663AE0" w:rsidRPr="006234AA" w:rsidRDefault="00663AE0" w:rsidP="003C0546">
            <w:pPr>
              <w:spacing w:after="120"/>
              <w:ind w:firstLine="0"/>
              <w:rPr>
                <w:lang w:val="nl-NL"/>
              </w:rPr>
            </w:pPr>
            <w:r w:rsidRPr="006234AA">
              <w:rPr>
                <w:lang w:val="nl-NL"/>
              </w:rPr>
              <w:t>Tín phiếu kho bạc niêm yết giao dịch tại Sở giao dịch chứng khoán</w:t>
            </w:r>
          </w:p>
        </w:tc>
        <w:tc>
          <w:tcPr>
            <w:tcW w:w="1271" w:type="dxa"/>
          </w:tcPr>
          <w:p w:rsidR="00663AE0" w:rsidRPr="006234AA" w:rsidRDefault="00663AE0" w:rsidP="003C0546">
            <w:pPr>
              <w:spacing w:after="120"/>
              <w:ind w:firstLine="0"/>
              <w:rPr>
                <w:lang w:val="nl-NL"/>
              </w:rPr>
            </w:pPr>
            <w:r w:rsidRPr="006234AA">
              <w:rPr>
                <w:lang w:val="nl-NL"/>
              </w:rPr>
              <w:t>3%</w:t>
            </w:r>
          </w:p>
        </w:tc>
        <w:tc>
          <w:tcPr>
            <w:tcW w:w="2818" w:type="dxa"/>
          </w:tcPr>
          <w:p w:rsidR="00663AE0" w:rsidRPr="006234AA" w:rsidRDefault="00663AE0" w:rsidP="003C0546">
            <w:pPr>
              <w:spacing w:after="120"/>
              <w:ind w:firstLine="0"/>
              <w:rPr>
                <w:lang w:val="nl-NL"/>
              </w:rPr>
            </w:pPr>
          </w:p>
        </w:tc>
      </w:tr>
      <w:tr w:rsidR="00663AE0" w:rsidRPr="006234AA" w:rsidTr="00A15B69">
        <w:tc>
          <w:tcPr>
            <w:tcW w:w="714" w:type="dxa"/>
          </w:tcPr>
          <w:p w:rsidR="00663AE0" w:rsidRPr="006234AA" w:rsidRDefault="00663AE0" w:rsidP="003C0546">
            <w:pPr>
              <w:spacing w:after="120"/>
              <w:ind w:firstLine="0"/>
              <w:rPr>
                <w:lang w:val="nl-NL"/>
              </w:rPr>
            </w:pPr>
            <w:r w:rsidRPr="006234AA">
              <w:rPr>
                <w:lang w:val="nl-NL"/>
              </w:rPr>
              <w:t>2</w:t>
            </w:r>
          </w:p>
        </w:tc>
        <w:tc>
          <w:tcPr>
            <w:tcW w:w="4484" w:type="dxa"/>
          </w:tcPr>
          <w:p w:rsidR="00663AE0" w:rsidRPr="006234AA" w:rsidRDefault="00663AE0" w:rsidP="003C0546">
            <w:pPr>
              <w:spacing w:after="120"/>
              <w:ind w:firstLine="0"/>
              <w:rPr>
                <w:lang w:val="nl-NL"/>
              </w:rPr>
            </w:pPr>
            <w:r w:rsidRPr="006234AA">
              <w:rPr>
                <w:lang w:val="nl-NL"/>
              </w:rPr>
              <w:t>Trái phiếu Chính phủ đáp ứng tiêu chuẩn trái phiếu có thể chuyển giao tại các hợp đồng phái sinh trái phiếu Chính phủ kỳ hạn 2 năm</w:t>
            </w:r>
          </w:p>
        </w:tc>
        <w:tc>
          <w:tcPr>
            <w:tcW w:w="1271" w:type="dxa"/>
          </w:tcPr>
          <w:p w:rsidR="00663AE0" w:rsidRPr="006234AA" w:rsidRDefault="00663AE0" w:rsidP="003C0546">
            <w:pPr>
              <w:spacing w:after="120"/>
              <w:ind w:firstLine="0"/>
              <w:rPr>
                <w:lang w:val="nl-NL"/>
              </w:rPr>
            </w:pPr>
            <w:r w:rsidRPr="006234AA">
              <w:rPr>
                <w:lang w:val="nl-NL"/>
              </w:rPr>
              <w:t>5%</w:t>
            </w:r>
          </w:p>
        </w:tc>
        <w:tc>
          <w:tcPr>
            <w:tcW w:w="2818" w:type="dxa"/>
          </w:tcPr>
          <w:p w:rsidR="00663AE0" w:rsidRPr="006234AA" w:rsidRDefault="00663AE0" w:rsidP="003C0546">
            <w:pPr>
              <w:spacing w:after="120"/>
              <w:ind w:firstLine="0"/>
              <w:rPr>
                <w:lang w:val="nl-NL"/>
              </w:rPr>
            </w:pPr>
          </w:p>
        </w:tc>
      </w:tr>
      <w:tr w:rsidR="00663AE0" w:rsidRPr="006234AA" w:rsidTr="00A15B69">
        <w:tc>
          <w:tcPr>
            <w:tcW w:w="714" w:type="dxa"/>
          </w:tcPr>
          <w:p w:rsidR="00663AE0" w:rsidRPr="006234AA" w:rsidRDefault="00663AE0" w:rsidP="003C0546">
            <w:pPr>
              <w:spacing w:after="120"/>
              <w:ind w:firstLine="0"/>
              <w:rPr>
                <w:lang w:val="nl-NL"/>
              </w:rPr>
            </w:pPr>
            <w:r w:rsidRPr="006234AA">
              <w:rPr>
                <w:lang w:val="nl-NL"/>
              </w:rPr>
              <w:t>3</w:t>
            </w:r>
          </w:p>
        </w:tc>
        <w:tc>
          <w:tcPr>
            <w:tcW w:w="4484" w:type="dxa"/>
          </w:tcPr>
          <w:p w:rsidR="00663AE0" w:rsidRPr="006234AA" w:rsidRDefault="00663AE0" w:rsidP="003C0546">
            <w:pPr>
              <w:spacing w:after="120"/>
              <w:ind w:firstLine="0"/>
              <w:rPr>
                <w:lang w:val="nl-NL"/>
              </w:rPr>
            </w:pPr>
            <w:r w:rsidRPr="006234AA">
              <w:rPr>
                <w:lang w:val="nl-NL"/>
              </w:rPr>
              <w:t>Trái phiếu Chính phủ đáp ứng tiêu chuẩn trái phiếu có thể chuyển giao tại các hợp đồng phái sinh trái phiếu Chính phủ kỳ hạn 3 năm</w:t>
            </w:r>
          </w:p>
        </w:tc>
        <w:tc>
          <w:tcPr>
            <w:tcW w:w="1271" w:type="dxa"/>
          </w:tcPr>
          <w:p w:rsidR="00663AE0" w:rsidRPr="006234AA" w:rsidRDefault="00663AE0" w:rsidP="003C0546">
            <w:pPr>
              <w:spacing w:after="120"/>
              <w:ind w:firstLine="0"/>
              <w:rPr>
                <w:lang w:val="nl-NL"/>
              </w:rPr>
            </w:pPr>
            <w:r w:rsidRPr="006234AA">
              <w:rPr>
                <w:lang w:val="nl-NL"/>
              </w:rPr>
              <w:t>6%</w:t>
            </w:r>
          </w:p>
        </w:tc>
        <w:tc>
          <w:tcPr>
            <w:tcW w:w="2818" w:type="dxa"/>
          </w:tcPr>
          <w:p w:rsidR="00663AE0" w:rsidRPr="006234AA" w:rsidRDefault="00663AE0" w:rsidP="003C0546">
            <w:pPr>
              <w:spacing w:after="120"/>
              <w:ind w:firstLine="0"/>
              <w:rPr>
                <w:lang w:val="nl-NL"/>
              </w:rPr>
            </w:pPr>
          </w:p>
        </w:tc>
      </w:tr>
      <w:tr w:rsidR="00663AE0" w:rsidRPr="006234AA" w:rsidTr="00A15B69">
        <w:tc>
          <w:tcPr>
            <w:tcW w:w="714" w:type="dxa"/>
          </w:tcPr>
          <w:p w:rsidR="00663AE0" w:rsidRPr="006234AA" w:rsidRDefault="00663AE0" w:rsidP="003C0546">
            <w:pPr>
              <w:spacing w:after="120"/>
              <w:ind w:firstLine="0"/>
              <w:rPr>
                <w:lang w:val="nl-NL"/>
              </w:rPr>
            </w:pPr>
            <w:r w:rsidRPr="006234AA">
              <w:rPr>
                <w:lang w:val="nl-NL"/>
              </w:rPr>
              <w:t>4</w:t>
            </w:r>
          </w:p>
        </w:tc>
        <w:tc>
          <w:tcPr>
            <w:tcW w:w="4484" w:type="dxa"/>
          </w:tcPr>
          <w:p w:rsidR="00663AE0" w:rsidRPr="006234AA" w:rsidRDefault="00663AE0" w:rsidP="003C0546">
            <w:pPr>
              <w:spacing w:after="120"/>
              <w:ind w:firstLine="0"/>
              <w:rPr>
                <w:lang w:val="nl-NL"/>
              </w:rPr>
            </w:pPr>
            <w:r w:rsidRPr="006234AA">
              <w:rPr>
                <w:lang w:val="nl-NL"/>
              </w:rPr>
              <w:t>Trái phiếu Chính phủ đáp ứng tiêu chuẩn trái phiếu có thể chuyển giao tại các hợp đồng phái sinh trái phiếu Chính phủ kỳ hạn 5 năm</w:t>
            </w:r>
          </w:p>
        </w:tc>
        <w:tc>
          <w:tcPr>
            <w:tcW w:w="1271" w:type="dxa"/>
          </w:tcPr>
          <w:p w:rsidR="00663AE0" w:rsidRPr="006234AA" w:rsidRDefault="00663AE0" w:rsidP="003C0546">
            <w:pPr>
              <w:spacing w:after="120"/>
              <w:ind w:firstLine="0"/>
              <w:rPr>
                <w:lang w:val="nl-NL"/>
              </w:rPr>
            </w:pPr>
            <w:r w:rsidRPr="006234AA">
              <w:rPr>
                <w:lang w:val="nl-NL"/>
              </w:rPr>
              <w:t>8%</w:t>
            </w:r>
          </w:p>
        </w:tc>
        <w:tc>
          <w:tcPr>
            <w:tcW w:w="2818" w:type="dxa"/>
          </w:tcPr>
          <w:p w:rsidR="00663AE0" w:rsidRPr="006234AA" w:rsidRDefault="00663AE0" w:rsidP="003C0546">
            <w:pPr>
              <w:spacing w:after="120"/>
              <w:ind w:firstLine="0"/>
              <w:rPr>
                <w:lang w:val="nl-NL"/>
              </w:rPr>
            </w:pPr>
          </w:p>
        </w:tc>
      </w:tr>
      <w:tr w:rsidR="00663AE0" w:rsidRPr="006234AA" w:rsidTr="00A15B69">
        <w:tc>
          <w:tcPr>
            <w:tcW w:w="714" w:type="dxa"/>
          </w:tcPr>
          <w:p w:rsidR="00663AE0" w:rsidRPr="006234AA" w:rsidRDefault="00663AE0" w:rsidP="003C0546">
            <w:pPr>
              <w:spacing w:after="120"/>
              <w:ind w:firstLine="0"/>
              <w:rPr>
                <w:lang w:val="nl-NL"/>
              </w:rPr>
            </w:pPr>
            <w:r w:rsidRPr="006234AA">
              <w:rPr>
                <w:lang w:val="nl-NL"/>
              </w:rPr>
              <w:t>5</w:t>
            </w:r>
          </w:p>
        </w:tc>
        <w:tc>
          <w:tcPr>
            <w:tcW w:w="4484" w:type="dxa"/>
          </w:tcPr>
          <w:p w:rsidR="00663AE0" w:rsidRPr="006234AA" w:rsidRDefault="00663AE0" w:rsidP="003C0546">
            <w:pPr>
              <w:spacing w:after="120"/>
              <w:ind w:firstLine="0"/>
              <w:rPr>
                <w:lang w:val="nl-NL"/>
              </w:rPr>
            </w:pPr>
            <w:r w:rsidRPr="006234AA">
              <w:rPr>
                <w:lang w:val="nl-NL"/>
              </w:rPr>
              <w:t>Trái phiếu Chính phủ đáp ứng tiêu chuẩn trái phiếu có thể chuyển giao tại các hợp đồng phái sinh trái phiếu Chính phủ kỳ hạn 10 năm</w:t>
            </w:r>
          </w:p>
        </w:tc>
        <w:tc>
          <w:tcPr>
            <w:tcW w:w="1271" w:type="dxa"/>
          </w:tcPr>
          <w:p w:rsidR="00663AE0" w:rsidRPr="006234AA" w:rsidRDefault="00663AE0" w:rsidP="003C0546">
            <w:pPr>
              <w:spacing w:after="120"/>
              <w:ind w:firstLine="0"/>
              <w:rPr>
                <w:lang w:val="nl-NL"/>
              </w:rPr>
            </w:pPr>
            <w:r w:rsidRPr="006234AA">
              <w:rPr>
                <w:lang w:val="nl-NL"/>
              </w:rPr>
              <w:t>10%</w:t>
            </w:r>
          </w:p>
        </w:tc>
        <w:tc>
          <w:tcPr>
            <w:tcW w:w="2818" w:type="dxa"/>
          </w:tcPr>
          <w:p w:rsidR="00663AE0" w:rsidRPr="006234AA" w:rsidRDefault="00663AE0" w:rsidP="003C0546">
            <w:pPr>
              <w:spacing w:after="120"/>
              <w:ind w:firstLine="0"/>
              <w:rPr>
                <w:lang w:val="nl-NL"/>
              </w:rPr>
            </w:pPr>
          </w:p>
        </w:tc>
      </w:tr>
      <w:tr w:rsidR="00663AE0" w:rsidRPr="006234AA" w:rsidTr="00A15B69">
        <w:tc>
          <w:tcPr>
            <w:tcW w:w="714" w:type="dxa"/>
          </w:tcPr>
          <w:p w:rsidR="00663AE0" w:rsidRPr="006234AA" w:rsidRDefault="00663AE0" w:rsidP="003C0546">
            <w:pPr>
              <w:spacing w:after="120"/>
              <w:ind w:firstLine="0"/>
              <w:rPr>
                <w:lang w:val="nl-NL"/>
              </w:rPr>
            </w:pPr>
            <w:r w:rsidRPr="006234AA">
              <w:rPr>
                <w:lang w:val="nl-NL"/>
              </w:rPr>
              <w:t>6</w:t>
            </w:r>
          </w:p>
        </w:tc>
        <w:tc>
          <w:tcPr>
            <w:tcW w:w="4484" w:type="dxa"/>
          </w:tcPr>
          <w:p w:rsidR="00663AE0" w:rsidRPr="006234AA" w:rsidRDefault="00663AE0" w:rsidP="003C0546">
            <w:pPr>
              <w:spacing w:after="120"/>
              <w:ind w:firstLine="0"/>
              <w:rPr>
                <w:lang w:val="nl-NL"/>
              </w:rPr>
            </w:pPr>
            <w:r w:rsidRPr="006234AA">
              <w:rPr>
                <w:lang w:val="nl-NL"/>
              </w:rPr>
              <w:t xml:space="preserve">Cố phiếu, chứng chỉ quỹ niêm yết giao dịch tại Sở giao dịch chứng </w:t>
            </w:r>
            <w:r w:rsidRPr="006234AA">
              <w:rPr>
                <w:lang w:val="nl-NL"/>
              </w:rPr>
              <w:lastRenderedPageBreak/>
              <w:t>khoán</w:t>
            </w:r>
          </w:p>
        </w:tc>
        <w:tc>
          <w:tcPr>
            <w:tcW w:w="1271" w:type="dxa"/>
          </w:tcPr>
          <w:p w:rsidR="00663AE0" w:rsidRPr="006234AA" w:rsidRDefault="00663AE0" w:rsidP="003C0546">
            <w:pPr>
              <w:spacing w:after="120"/>
              <w:ind w:firstLine="0"/>
              <w:rPr>
                <w:lang w:val="nl-NL"/>
              </w:rPr>
            </w:pPr>
            <w:r w:rsidRPr="006234AA">
              <w:rPr>
                <w:lang w:val="nl-NL"/>
              </w:rPr>
              <w:lastRenderedPageBreak/>
              <w:t>30%</w:t>
            </w:r>
          </w:p>
        </w:tc>
        <w:tc>
          <w:tcPr>
            <w:tcW w:w="2818" w:type="dxa"/>
          </w:tcPr>
          <w:p w:rsidR="00663AE0" w:rsidRPr="006234AA" w:rsidRDefault="00663AE0" w:rsidP="003C0546">
            <w:pPr>
              <w:spacing w:after="120"/>
              <w:ind w:firstLine="0"/>
              <w:rPr>
                <w:lang w:val="nl-NL"/>
              </w:rPr>
            </w:pPr>
          </w:p>
        </w:tc>
      </w:tr>
    </w:tbl>
    <w:p w:rsidR="00663AE0" w:rsidRPr="006234AA" w:rsidRDefault="00663AE0" w:rsidP="003C0546">
      <w:pPr>
        <w:spacing w:after="120"/>
        <w:rPr>
          <w:u w:val="single"/>
          <w:lang w:val="nl-NL"/>
        </w:rPr>
      </w:pPr>
      <w:r w:rsidRPr="006234AA">
        <w:rPr>
          <w:u w:val="single"/>
          <w:lang w:val="nl-NL"/>
        </w:rPr>
        <w:lastRenderedPageBreak/>
        <w:t xml:space="preserve">Ghi chú: </w:t>
      </w:r>
    </w:p>
    <w:p w:rsidR="00663AE0" w:rsidRPr="006234AA" w:rsidRDefault="00663AE0" w:rsidP="003C0546">
      <w:pPr>
        <w:spacing w:after="120"/>
        <w:rPr>
          <w:lang w:val="nl-NL"/>
        </w:rPr>
      </w:pPr>
      <w:r w:rsidRPr="006234AA">
        <w:rPr>
          <w:lang w:val="nl-NL"/>
        </w:rPr>
        <w:t>Giá trị ký quỹ của tài sản được tính như sau:</w:t>
      </w:r>
    </w:p>
    <w:p w:rsidR="00663AE0" w:rsidRPr="006234AA" w:rsidRDefault="00663AE0" w:rsidP="003C0546">
      <w:pPr>
        <w:spacing w:after="120"/>
        <w:rPr>
          <w:lang w:val="nl-NL"/>
        </w:rPr>
      </w:pPr>
      <w:r w:rsidRPr="006234AA">
        <w:rPr>
          <w:lang w:val="nl-NL"/>
        </w:rPr>
        <w:t xml:space="preserve">Giá trị ký quỹ của tài sản = </w:t>
      </w:r>
    </w:p>
    <w:p w:rsidR="00A1273C" w:rsidRPr="006234AA" w:rsidRDefault="00663AE0" w:rsidP="003C0546">
      <w:pPr>
        <w:spacing w:after="120"/>
        <w:ind w:firstLine="0"/>
        <w:jc w:val="left"/>
        <w:rPr>
          <w:lang w:val="nl-NL"/>
        </w:rPr>
      </w:pPr>
      <w:r w:rsidRPr="006234AA">
        <w:rPr>
          <w:lang w:val="nl-NL"/>
        </w:rPr>
        <w:t xml:space="preserve">Giá thị trường của tài sản tại thời điểm tính toán × (1 </w:t>
      </w:r>
      <w:r w:rsidRPr="006234AA">
        <w:rPr>
          <w:lang w:val="nl-NL"/>
        </w:rPr>
        <w:sym w:font="Symbol" w:char="F02D"/>
      </w:r>
      <w:r w:rsidRPr="006234AA">
        <w:rPr>
          <w:lang w:val="nl-NL"/>
        </w:rPr>
        <w:t xml:space="preserve"> Tỷ lệ khấu trừ)</w:t>
      </w:r>
      <w:r w:rsidR="00A1273C" w:rsidRPr="006234AA">
        <w:rPr>
          <w:lang w:val="nl-NL"/>
        </w:rPr>
        <w:br w:type="page"/>
      </w:r>
    </w:p>
    <w:p w:rsidR="00A1273C" w:rsidRPr="006234AA" w:rsidRDefault="009718D4" w:rsidP="003C0546">
      <w:pPr>
        <w:pStyle w:val="Heading5"/>
        <w:spacing w:after="120"/>
        <w:ind w:left="2694" w:hanging="2912"/>
      </w:pPr>
      <w:bookmarkStart w:id="272" w:name="_Toc422672039"/>
      <w:r w:rsidRPr="006234AA">
        <w:lastRenderedPageBreak/>
        <w:t xml:space="preserve">Báo cáo vị thế </w:t>
      </w:r>
      <w:r w:rsidR="00776BCA" w:rsidRPr="006234AA">
        <w:t>nắm giữ cho mục đích phòng vệ rủi ro (hedging) hoặc chênh lệch giá (arbitraging)</w:t>
      </w:r>
      <w:bookmarkEnd w:id="272"/>
    </w:p>
    <w:p w:rsidR="00A1273C" w:rsidRPr="006234AA" w:rsidRDefault="00A1273C"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A1273C" w:rsidRPr="006234AA" w:rsidRDefault="00A1273C" w:rsidP="003C0546">
      <w:pPr>
        <w:spacing w:after="120"/>
        <w:ind w:firstLine="0"/>
        <w:jc w:val="center"/>
        <w:rPr>
          <w:b/>
          <w:bCs/>
          <w:i/>
          <w:iCs/>
          <w:lang w:val="nl-NL"/>
        </w:rPr>
      </w:pPr>
    </w:p>
    <w:p w:rsidR="009B2A45" w:rsidRPr="006234AA" w:rsidRDefault="009B2A45" w:rsidP="003C0546">
      <w:pPr>
        <w:spacing w:after="120"/>
        <w:rPr>
          <w:lang w:val="nl-NL"/>
        </w:rPr>
      </w:pPr>
      <w:r w:rsidRPr="006234AA">
        <w:rPr>
          <w:lang w:val="nl-NL"/>
        </w:rPr>
        <w:t xml:space="preserve">Kính gửi: Sở giao dịch chứng khoán </w:t>
      </w:r>
    </w:p>
    <w:p w:rsidR="009B2A45" w:rsidRPr="006234AA" w:rsidRDefault="009B2A45" w:rsidP="003C0546">
      <w:pPr>
        <w:spacing w:after="120"/>
        <w:rPr>
          <w:lang w:val="nl-NL"/>
        </w:rPr>
      </w:pPr>
      <w:r w:rsidRPr="006234AA">
        <w:rPr>
          <w:lang w:val="nl-NL"/>
        </w:rPr>
        <w:t>Chúng tôi là Công ty ... xin báo cáo chi tiết số lượng vị thế mở nắm giữ cho mục đích phòng ngừa rủi ro hoặc hạn chế chênh lệch giá như sau:</w:t>
      </w:r>
    </w:p>
    <w:p w:rsidR="009B2A45" w:rsidRPr="006234AA" w:rsidRDefault="009B2A45" w:rsidP="003C0546">
      <w:pPr>
        <w:spacing w:after="120"/>
        <w:rPr>
          <w:lang w:val="nl-NL"/>
        </w:rPr>
      </w:pPr>
    </w:p>
    <w:tbl>
      <w:tblPr>
        <w:tblStyle w:val="TableGrid"/>
        <w:tblW w:w="0" w:type="auto"/>
        <w:tblLook w:val="04A0"/>
      </w:tblPr>
      <w:tblGrid>
        <w:gridCol w:w="1526"/>
        <w:gridCol w:w="321"/>
        <w:gridCol w:w="1096"/>
        <w:gridCol w:w="426"/>
        <w:gridCol w:w="326"/>
        <w:gridCol w:w="524"/>
        <w:gridCol w:w="992"/>
        <w:gridCol w:w="332"/>
        <w:gridCol w:w="1369"/>
        <w:gridCol w:w="142"/>
        <w:gridCol w:w="334"/>
        <w:gridCol w:w="658"/>
        <w:gridCol w:w="993"/>
        <w:gridCol w:w="248"/>
      </w:tblGrid>
      <w:tr w:rsidR="009B2A45" w:rsidRPr="006234AA" w:rsidTr="00A15B69">
        <w:tc>
          <w:tcPr>
            <w:tcW w:w="1526" w:type="dxa"/>
          </w:tcPr>
          <w:p w:rsidR="009B2A45" w:rsidRPr="006234AA" w:rsidRDefault="009B2A45" w:rsidP="003C0546">
            <w:pPr>
              <w:spacing w:after="120"/>
              <w:ind w:firstLine="0"/>
              <w:rPr>
                <w:lang w:val="nl-NL"/>
              </w:rPr>
            </w:pPr>
            <w:r w:rsidRPr="006234AA">
              <w:rPr>
                <w:lang w:val="nl-NL"/>
              </w:rPr>
              <w:t>Tên thành viên</w:t>
            </w:r>
          </w:p>
        </w:tc>
        <w:tc>
          <w:tcPr>
            <w:tcW w:w="321" w:type="dxa"/>
          </w:tcPr>
          <w:p w:rsidR="009B2A45" w:rsidRPr="006234AA" w:rsidRDefault="009B2A45" w:rsidP="003C0546">
            <w:pPr>
              <w:spacing w:after="120"/>
              <w:ind w:firstLine="0"/>
              <w:rPr>
                <w:lang w:val="nl-NL"/>
              </w:rPr>
            </w:pPr>
          </w:p>
        </w:tc>
        <w:tc>
          <w:tcPr>
            <w:tcW w:w="1522" w:type="dxa"/>
            <w:gridSpan w:val="2"/>
          </w:tcPr>
          <w:p w:rsidR="009B2A45" w:rsidRPr="006234AA" w:rsidRDefault="009B2A45" w:rsidP="003C0546">
            <w:pPr>
              <w:spacing w:after="120"/>
              <w:ind w:firstLine="0"/>
              <w:rPr>
                <w:lang w:val="nl-NL"/>
              </w:rPr>
            </w:pPr>
            <w:r w:rsidRPr="006234AA">
              <w:rPr>
                <w:lang w:val="nl-NL"/>
              </w:rPr>
              <w:t>Mã tài khoản</w:t>
            </w:r>
          </w:p>
        </w:tc>
        <w:tc>
          <w:tcPr>
            <w:tcW w:w="326" w:type="dxa"/>
          </w:tcPr>
          <w:p w:rsidR="009B2A45" w:rsidRPr="006234AA" w:rsidRDefault="009B2A45" w:rsidP="003C0546">
            <w:pPr>
              <w:spacing w:after="120"/>
              <w:ind w:firstLine="0"/>
              <w:rPr>
                <w:lang w:val="nl-NL"/>
              </w:rPr>
            </w:pPr>
          </w:p>
        </w:tc>
        <w:tc>
          <w:tcPr>
            <w:tcW w:w="1516" w:type="dxa"/>
            <w:gridSpan w:val="2"/>
          </w:tcPr>
          <w:p w:rsidR="009B2A45" w:rsidRPr="006234AA" w:rsidRDefault="009B2A45" w:rsidP="003C0546">
            <w:pPr>
              <w:spacing w:after="120"/>
              <w:ind w:firstLine="0"/>
              <w:rPr>
                <w:lang w:val="nl-NL"/>
              </w:rPr>
            </w:pPr>
            <w:r w:rsidRPr="006234AA">
              <w:rPr>
                <w:lang w:val="nl-NL"/>
              </w:rPr>
              <w:t>Ngày vượt giới hạn</w:t>
            </w:r>
          </w:p>
        </w:tc>
        <w:tc>
          <w:tcPr>
            <w:tcW w:w="332" w:type="dxa"/>
          </w:tcPr>
          <w:p w:rsidR="009B2A45" w:rsidRPr="006234AA" w:rsidRDefault="009B2A45" w:rsidP="003C0546">
            <w:pPr>
              <w:spacing w:after="120"/>
              <w:ind w:firstLine="0"/>
              <w:rPr>
                <w:lang w:val="nl-NL"/>
              </w:rPr>
            </w:pPr>
          </w:p>
        </w:tc>
        <w:tc>
          <w:tcPr>
            <w:tcW w:w="1511" w:type="dxa"/>
            <w:gridSpan w:val="2"/>
          </w:tcPr>
          <w:p w:rsidR="009B2A45" w:rsidRPr="006234AA" w:rsidRDefault="009B2A45" w:rsidP="003C0546">
            <w:pPr>
              <w:spacing w:after="120"/>
              <w:ind w:firstLine="0"/>
              <w:rPr>
                <w:lang w:val="nl-NL"/>
              </w:rPr>
            </w:pPr>
            <w:r w:rsidRPr="006234AA">
              <w:rPr>
                <w:lang w:val="nl-NL"/>
              </w:rPr>
              <w:t>Tài sản cơ sở</w:t>
            </w:r>
          </w:p>
        </w:tc>
        <w:tc>
          <w:tcPr>
            <w:tcW w:w="334" w:type="dxa"/>
          </w:tcPr>
          <w:p w:rsidR="009B2A45" w:rsidRPr="006234AA" w:rsidRDefault="009B2A45" w:rsidP="003C0546">
            <w:pPr>
              <w:spacing w:after="120"/>
              <w:ind w:firstLine="0"/>
              <w:rPr>
                <w:lang w:val="nl-NL"/>
              </w:rPr>
            </w:pPr>
          </w:p>
        </w:tc>
        <w:tc>
          <w:tcPr>
            <w:tcW w:w="1651" w:type="dxa"/>
            <w:gridSpan w:val="2"/>
          </w:tcPr>
          <w:p w:rsidR="009B2A45" w:rsidRPr="006234AA" w:rsidRDefault="009B2A45" w:rsidP="003C0546">
            <w:pPr>
              <w:spacing w:after="120"/>
              <w:ind w:firstLine="0"/>
              <w:rPr>
                <w:lang w:val="nl-NL"/>
              </w:rPr>
            </w:pPr>
            <w:r w:rsidRPr="006234AA">
              <w:rPr>
                <w:lang w:val="nl-NL"/>
              </w:rPr>
              <w:t>Khách hàng /Tự doanh</w:t>
            </w:r>
          </w:p>
        </w:tc>
        <w:tc>
          <w:tcPr>
            <w:tcW w:w="248" w:type="dxa"/>
          </w:tcPr>
          <w:p w:rsidR="009B2A45" w:rsidRPr="006234AA" w:rsidRDefault="009B2A45" w:rsidP="003C0546">
            <w:pPr>
              <w:spacing w:after="120"/>
              <w:ind w:firstLine="0"/>
              <w:rPr>
                <w:lang w:val="nl-NL"/>
              </w:rPr>
            </w:pPr>
          </w:p>
        </w:tc>
      </w:tr>
      <w:tr w:rsidR="009B2A45" w:rsidRPr="006234AA" w:rsidTr="00A15B69">
        <w:tc>
          <w:tcPr>
            <w:tcW w:w="5543" w:type="dxa"/>
            <w:gridSpan w:val="8"/>
          </w:tcPr>
          <w:p w:rsidR="009B2A45" w:rsidRPr="006234AA" w:rsidRDefault="009B2A45" w:rsidP="003C0546">
            <w:pPr>
              <w:spacing w:after="120"/>
              <w:ind w:firstLine="0"/>
              <w:rPr>
                <w:lang w:val="nl-NL"/>
              </w:rPr>
            </w:pPr>
            <w:r w:rsidRPr="006234AA">
              <w:rPr>
                <w:lang w:val="nl-NL"/>
              </w:rPr>
              <w:t>Số lượng vị thế mở</w:t>
            </w:r>
          </w:p>
        </w:tc>
        <w:tc>
          <w:tcPr>
            <w:tcW w:w="3744" w:type="dxa"/>
            <w:gridSpan w:val="6"/>
          </w:tcPr>
          <w:p w:rsidR="009B2A45" w:rsidRPr="006234AA" w:rsidRDefault="009B2A45" w:rsidP="003C0546">
            <w:pPr>
              <w:spacing w:after="120"/>
              <w:ind w:firstLine="0"/>
              <w:rPr>
                <w:lang w:val="nl-NL"/>
              </w:rPr>
            </w:pPr>
            <w:r w:rsidRPr="006234AA">
              <w:rPr>
                <w:lang w:val="nl-NL"/>
              </w:rPr>
              <w:t>Sản phẩm liên quan đến vị thế mở</w:t>
            </w:r>
          </w:p>
        </w:tc>
      </w:tr>
      <w:tr w:rsidR="009B2A45" w:rsidRPr="006234AA" w:rsidTr="00A15B69">
        <w:tc>
          <w:tcPr>
            <w:tcW w:w="1526" w:type="dxa"/>
            <w:vMerge w:val="restart"/>
          </w:tcPr>
          <w:p w:rsidR="009B2A45" w:rsidRPr="006234AA" w:rsidRDefault="009B2A45" w:rsidP="003C0546">
            <w:pPr>
              <w:spacing w:after="120"/>
              <w:ind w:firstLine="0"/>
              <w:rPr>
                <w:lang w:val="nl-NL"/>
              </w:rPr>
            </w:pPr>
            <w:r w:rsidRPr="006234AA">
              <w:rPr>
                <w:lang w:val="nl-NL"/>
              </w:rPr>
              <w:t>Phân loại</w:t>
            </w:r>
          </w:p>
        </w:tc>
        <w:tc>
          <w:tcPr>
            <w:tcW w:w="1417" w:type="dxa"/>
            <w:gridSpan w:val="2"/>
            <w:vMerge w:val="restart"/>
          </w:tcPr>
          <w:p w:rsidR="009B2A45" w:rsidRPr="006234AA" w:rsidRDefault="009B2A45" w:rsidP="003C0546">
            <w:pPr>
              <w:spacing w:after="120"/>
              <w:ind w:firstLine="0"/>
              <w:rPr>
                <w:lang w:val="nl-NL"/>
              </w:rPr>
            </w:pPr>
            <w:r w:rsidRPr="006234AA">
              <w:rPr>
                <w:lang w:val="nl-NL"/>
              </w:rPr>
              <w:t>Hợp đồng</w:t>
            </w:r>
          </w:p>
        </w:tc>
        <w:tc>
          <w:tcPr>
            <w:tcW w:w="2600" w:type="dxa"/>
            <w:gridSpan w:val="5"/>
          </w:tcPr>
          <w:p w:rsidR="009B2A45" w:rsidRPr="006234AA" w:rsidRDefault="009B2A45" w:rsidP="003C0546">
            <w:pPr>
              <w:spacing w:after="120"/>
              <w:ind w:firstLine="0"/>
              <w:rPr>
                <w:lang w:val="nl-NL"/>
              </w:rPr>
            </w:pPr>
            <w:r w:rsidRPr="006234AA">
              <w:rPr>
                <w:lang w:val="nl-NL"/>
              </w:rPr>
              <w:t>Chênh lệch vị thế</w:t>
            </w:r>
          </w:p>
        </w:tc>
        <w:tc>
          <w:tcPr>
            <w:tcW w:w="1369" w:type="dxa"/>
            <w:vMerge w:val="restart"/>
          </w:tcPr>
          <w:p w:rsidR="009B2A45" w:rsidRPr="006234AA" w:rsidRDefault="009B2A45" w:rsidP="003C0546">
            <w:pPr>
              <w:spacing w:after="120"/>
              <w:ind w:firstLine="0"/>
              <w:rPr>
                <w:lang w:val="nl-NL"/>
              </w:rPr>
            </w:pPr>
            <w:r w:rsidRPr="006234AA">
              <w:rPr>
                <w:lang w:val="nl-NL"/>
              </w:rPr>
              <w:t>Nhóm sản phẩm</w:t>
            </w:r>
          </w:p>
        </w:tc>
        <w:tc>
          <w:tcPr>
            <w:tcW w:w="2375" w:type="dxa"/>
            <w:gridSpan w:val="5"/>
          </w:tcPr>
          <w:p w:rsidR="009B2A45" w:rsidRPr="006234AA" w:rsidRDefault="009B2A45" w:rsidP="003C0546">
            <w:pPr>
              <w:spacing w:after="120"/>
              <w:ind w:firstLine="0"/>
              <w:rPr>
                <w:lang w:val="nl-NL"/>
              </w:rPr>
            </w:pPr>
            <w:r w:rsidRPr="006234AA">
              <w:rPr>
                <w:lang w:val="nl-NL"/>
              </w:rPr>
              <w:t>Chênh lệch vị thế</w:t>
            </w:r>
          </w:p>
        </w:tc>
      </w:tr>
      <w:tr w:rsidR="009B2A45" w:rsidRPr="006234AA" w:rsidTr="00A15B69">
        <w:tc>
          <w:tcPr>
            <w:tcW w:w="1526" w:type="dxa"/>
            <w:vMerge/>
          </w:tcPr>
          <w:p w:rsidR="009B2A45" w:rsidRPr="006234AA" w:rsidRDefault="009B2A45" w:rsidP="003C0546">
            <w:pPr>
              <w:spacing w:after="120"/>
              <w:ind w:firstLine="0"/>
              <w:rPr>
                <w:lang w:val="nl-NL"/>
              </w:rPr>
            </w:pPr>
          </w:p>
        </w:tc>
        <w:tc>
          <w:tcPr>
            <w:tcW w:w="1417" w:type="dxa"/>
            <w:gridSpan w:val="2"/>
            <w:vMerge/>
          </w:tcPr>
          <w:p w:rsidR="009B2A45" w:rsidRPr="006234AA" w:rsidRDefault="009B2A45" w:rsidP="003C0546">
            <w:pPr>
              <w:spacing w:after="120"/>
              <w:ind w:firstLine="0"/>
              <w:rPr>
                <w:lang w:val="nl-NL"/>
              </w:rPr>
            </w:pPr>
          </w:p>
        </w:tc>
        <w:tc>
          <w:tcPr>
            <w:tcW w:w="1276" w:type="dxa"/>
            <w:gridSpan w:val="3"/>
          </w:tcPr>
          <w:p w:rsidR="009B2A45" w:rsidRPr="006234AA" w:rsidRDefault="009B2A45" w:rsidP="003C0546">
            <w:pPr>
              <w:spacing w:after="120"/>
              <w:ind w:firstLine="0"/>
              <w:rPr>
                <w:lang w:val="nl-NL"/>
              </w:rPr>
            </w:pPr>
            <w:r w:rsidRPr="006234AA">
              <w:rPr>
                <w:lang w:val="nl-NL"/>
              </w:rPr>
              <w:t>Trên cở sở chênh lệch ngày hôm trước</w:t>
            </w:r>
          </w:p>
        </w:tc>
        <w:tc>
          <w:tcPr>
            <w:tcW w:w="1324" w:type="dxa"/>
            <w:gridSpan w:val="2"/>
          </w:tcPr>
          <w:p w:rsidR="009B2A45" w:rsidRPr="006234AA" w:rsidRDefault="009B2A45" w:rsidP="003C0546">
            <w:pPr>
              <w:spacing w:after="120"/>
              <w:ind w:firstLine="0"/>
              <w:rPr>
                <w:lang w:val="nl-NL"/>
              </w:rPr>
            </w:pPr>
            <w:r w:rsidRPr="006234AA">
              <w:rPr>
                <w:lang w:val="nl-NL"/>
              </w:rPr>
              <w:t>Trên cở sở chênh lệch ngày hôm nay</w:t>
            </w:r>
          </w:p>
        </w:tc>
        <w:tc>
          <w:tcPr>
            <w:tcW w:w="1369" w:type="dxa"/>
            <w:vMerge/>
          </w:tcPr>
          <w:p w:rsidR="009B2A45" w:rsidRPr="006234AA" w:rsidRDefault="009B2A45" w:rsidP="003C0546">
            <w:pPr>
              <w:spacing w:after="120"/>
              <w:ind w:firstLine="0"/>
              <w:rPr>
                <w:lang w:val="nl-NL"/>
              </w:rPr>
            </w:pPr>
          </w:p>
        </w:tc>
        <w:tc>
          <w:tcPr>
            <w:tcW w:w="1134" w:type="dxa"/>
            <w:gridSpan w:val="3"/>
            <w:vMerge w:val="restart"/>
          </w:tcPr>
          <w:p w:rsidR="009B2A45" w:rsidRPr="006234AA" w:rsidRDefault="009B2A45" w:rsidP="003C0546">
            <w:pPr>
              <w:spacing w:after="120"/>
              <w:ind w:firstLine="0"/>
              <w:rPr>
                <w:lang w:val="nl-NL"/>
              </w:rPr>
            </w:pPr>
            <w:r w:rsidRPr="006234AA">
              <w:rPr>
                <w:lang w:val="nl-NL"/>
              </w:rPr>
              <w:t>Trên cở sở chênh lệch ngày hôm trước</w:t>
            </w:r>
          </w:p>
        </w:tc>
        <w:tc>
          <w:tcPr>
            <w:tcW w:w="1241" w:type="dxa"/>
            <w:gridSpan w:val="2"/>
            <w:vMerge w:val="restart"/>
          </w:tcPr>
          <w:p w:rsidR="009B2A45" w:rsidRPr="006234AA" w:rsidRDefault="009B2A45" w:rsidP="003C0546">
            <w:pPr>
              <w:spacing w:after="120"/>
              <w:ind w:firstLine="0"/>
              <w:rPr>
                <w:lang w:val="nl-NL"/>
              </w:rPr>
            </w:pPr>
            <w:r w:rsidRPr="006234AA">
              <w:rPr>
                <w:lang w:val="nl-NL"/>
              </w:rPr>
              <w:t>Trên cở sở chênh lệch ngày hôm nay</w:t>
            </w:r>
          </w:p>
        </w:tc>
      </w:tr>
      <w:tr w:rsidR="009B2A45" w:rsidRPr="006234AA" w:rsidTr="00A15B69">
        <w:tc>
          <w:tcPr>
            <w:tcW w:w="1526" w:type="dxa"/>
          </w:tcPr>
          <w:p w:rsidR="009B2A45" w:rsidRPr="006234AA" w:rsidRDefault="009B2A45" w:rsidP="003C0546">
            <w:pPr>
              <w:spacing w:after="120"/>
              <w:ind w:firstLine="0"/>
              <w:rPr>
                <w:lang w:val="nl-NL"/>
              </w:rPr>
            </w:pPr>
            <w:r w:rsidRPr="006234AA">
              <w:rPr>
                <w:lang w:val="nl-NL"/>
              </w:rPr>
              <w:t>Tổng cộng</w:t>
            </w:r>
          </w:p>
        </w:tc>
        <w:tc>
          <w:tcPr>
            <w:tcW w:w="1417" w:type="dxa"/>
            <w:gridSpan w:val="2"/>
          </w:tcPr>
          <w:p w:rsidR="009B2A45" w:rsidRPr="006234AA" w:rsidRDefault="009B2A45" w:rsidP="003C0546">
            <w:pPr>
              <w:spacing w:after="120"/>
              <w:ind w:firstLine="0"/>
              <w:rPr>
                <w:lang w:val="nl-NL"/>
              </w:rPr>
            </w:pPr>
            <w:r w:rsidRPr="006234AA">
              <w:rPr>
                <w:lang w:val="nl-NL"/>
              </w:rPr>
              <w:t>Hợp đồng tương lai</w:t>
            </w:r>
          </w:p>
        </w:tc>
        <w:tc>
          <w:tcPr>
            <w:tcW w:w="1276" w:type="dxa"/>
            <w:gridSpan w:val="3"/>
          </w:tcPr>
          <w:p w:rsidR="009B2A45" w:rsidRPr="006234AA" w:rsidRDefault="009B2A45" w:rsidP="003C0546">
            <w:pPr>
              <w:spacing w:after="120"/>
              <w:ind w:firstLine="0"/>
              <w:rPr>
                <w:lang w:val="nl-NL"/>
              </w:rPr>
            </w:pPr>
          </w:p>
        </w:tc>
        <w:tc>
          <w:tcPr>
            <w:tcW w:w="1324" w:type="dxa"/>
            <w:gridSpan w:val="2"/>
          </w:tcPr>
          <w:p w:rsidR="009B2A45" w:rsidRPr="006234AA" w:rsidRDefault="009B2A45" w:rsidP="003C0546">
            <w:pPr>
              <w:spacing w:after="120"/>
              <w:ind w:firstLine="0"/>
              <w:rPr>
                <w:lang w:val="nl-NL"/>
              </w:rPr>
            </w:pPr>
          </w:p>
        </w:tc>
        <w:tc>
          <w:tcPr>
            <w:tcW w:w="1369" w:type="dxa"/>
            <w:vMerge/>
          </w:tcPr>
          <w:p w:rsidR="009B2A45" w:rsidRPr="006234AA" w:rsidRDefault="009B2A45" w:rsidP="003C0546">
            <w:pPr>
              <w:spacing w:after="120"/>
              <w:ind w:firstLine="0"/>
              <w:rPr>
                <w:lang w:val="nl-NL"/>
              </w:rPr>
            </w:pPr>
          </w:p>
        </w:tc>
        <w:tc>
          <w:tcPr>
            <w:tcW w:w="1134" w:type="dxa"/>
            <w:gridSpan w:val="3"/>
            <w:vMerge/>
          </w:tcPr>
          <w:p w:rsidR="009B2A45" w:rsidRPr="006234AA" w:rsidRDefault="009B2A45" w:rsidP="003C0546">
            <w:pPr>
              <w:spacing w:after="120"/>
              <w:ind w:firstLine="0"/>
              <w:rPr>
                <w:lang w:val="nl-NL"/>
              </w:rPr>
            </w:pPr>
          </w:p>
        </w:tc>
        <w:tc>
          <w:tcPr>
            <w:tcW w:w="1241" w:type="dxa"/>
            <w:gridSpan w:val="2"/>
            <w:vMerge/>
          </w:tcPr>
          <w:p w:rsidR="009B2A45" w:rsidRPr="006234AA" w:rsidRDefault="009B2A45" w:rsidP="003C0546">
            <w:pPr>
              <w:spacing w:after="120"/>
              <w:ind w:firstLine="0"/>
              <w:rPr>
                <w:lang w:val="nl-NL"/>
              </w:rPr>
            </w:pPr>
          </w:p>
        </w:tc>
      </w:tr>
      <w:tr w:rsidR="009B2A45" w:rsidRPr="006234AA" w:rsidTr="00A15B69">
        <w:tc>
          <w:tcPr>
            <w:tcW w:w="1526" w:type="dxa"/>
            <w:vMerge w:val="restart"/>
          </w:tcPr>
          <w:p w:rsidR="009B2A45" w:rsidRPr="006234AA" w:rsidRDefault="009B2A45" w:rsidP="003C0546">
            <w:pPr>
              <w:spacing w:after="120"/>
              <w:ind w:firstLine="0"/>
              <w:rPr>
                <w:lang w:val="nl-NL"/>
              </w:rPr>
            </w:pPr>
            <w:r w:rsidRPr="006234AA">
              <w:rPr>
                <w:lang w:val="nl-NL"/>
              </w:rPr>
              <w:t>Hạn chế chênh lệch giá</w:t>
            </w:r>
          </w:p>
        </w:tc>
        <w:tc>
          <w:tcPr>
            <w:tcW w:w="1417" w:type="dxa"/>
            <w:gridSpan w:val="2"/>
            <w:vMerge w:val="restart"/>
          </w:tcPr>
          <w:p w:rsidR="009B2A45" w:rsidRPr="006234AA" w:rsidRDefault="009B2A45" w:rsidP="003C0546">
            <w:pPr>
              <w:spacing w:after="120"/>
              <w:ind w:firstLine="0"/>
              <w:rPr>
                <w:lang w:val="nl-NL"/>
              </w:rPr>
            </w:pPr>
            <w:r w:rsidRPr="006234AA">
              <w:rPr>
                <w:lang w:val="nl-NL"/>
              </w:rPr>
              <w:t>Hợp đồng tương lai</w:t>
            </w:r>
          </w:p>
        </w:tc>
        <w:tc>
          <w:tcPr>
            <w:tcW w:w="1276" w:type="dxa"/>
            <w:gridSpan w:val="3"/>
            <w:vMerge w:val="restart"/>
          </w:tcPr>
          <w:p w:rsidR="009B2A45" w:rsidRPr="006234AA" w:rsidRDefault="009B2A45" w:rsidP="003C0546">
            <w:pPr>
              <w:spacing w:after="120"/>
              <w:ind w:firstLine="0"/>
              <w:rPr>
                <w:lang w:val="nl-NL"/>
              </w:rPr>
            </w:pPr>
          </w:p>
        </w:tc>
        <w:tc>
          <w:tcPr>
            <w:tcW w:w="1324" w:type="dxa"/>
            <w:gridSpan w:val="2"/>
            <w:vMerge w:val="restart"/>
          </w:tcPr>
          <w:p w:rsidR="009B2A45" w:rsidRPr="006234AA" w:rsidRDefault="009B2A45" w:rsidP="003C0546">
            <w:pPr>
              <w:spacing w:after="120"/>
              <w:ind w:firstLine="0"/>
              <w:rPr>
                <w:lang w:val="nl-NL"/>
              </w:rPr>
            </w:pPr>
          </w:p>
        </w:tc>
        <w:tc>
          <w:tcPr>
            <w:tcW w:w="1369" w:type="dxa"/>
          </w:tcPr>
          <w:p w:rsidR="009B2A45" w:rsidRPr="006234AA" w:rsidRDefault="009B2A45" w:rsidP="003C0546">
            <w:pPr>
              <w:spacing w:after="120"/>
              <w:ind w:firstLine="0"/>
              <w:rPr>
                <w:lang w:val="nl-NL"/>
              </w:rPr>
            </w:pPr>
            <w:r w:rsidRPr="006234AA">
              <w:rPr>
                <w:lang w:val="nl-NL"/>
              </w:rPr>
              <w:t>Hợp đồng tương lai</w:t>
            </w:r>
          </w:p>
        </w:tc>
        <w:tc>
          <w:tcPr>
            <w:tcW w:w="1134" w:type="dxa"/>
            <w:gridSpan w:val="3"/>
          </w:tcPr>
          <w:p w:rsidR="009B2A45" w:rsidRPr="006234AA" w:rsidRDefault="009B2A45" w:rsidP="003C0546">
            <w:pPr>
              <w:spacing w:after="120"/>
              <w:ind w:firstLine="0"/>
              <w:rPr>
                <w:lang w:val="nl-NL"/>
              </w:rPr>
            </w:pPr>
          </w:p>
        </w:tc>
        <w:tc>
          <w:tcPr>
            <w:tcW w:w="1241" w:type="dxa"/>
            <w:gridSpan w:val="2"/>
          </w:tcPr>
          <w:p w:rsidR="009B2A45" w:rsidRPr="006234AA" w:rsidRDefault="009B2A45" w:rsidP="003C0546">
            <w:pPr>
              <w:spacing w:after="120"/>
              <w:ind w:firstLine="0"/>
              <w:rPr>
                <w:lang w:val="nl-NL"/>
              </w:rPr>
            </w:pPr>
          </w:p>
        </w:tc>
      </w:tr>
      <w:tr w:rsidR="009B2A45" w:rsidRPr="006234AA" w:rsidTr="00A15B69">
        <w:tc>
          <w:tcPr>
            <w:tcW w:w="1526" w:type="dxa"/>
            <w:vMerge/>
          </w:tcPr>
          <w:p w:rsidR="009B2A45" w:rsidRPr="006234AA" w:rsidRDefault="009B2A45" w:rsidP="003C0546">
            <w:pPr>
              <w:spacing w:after="120"/>
              <w:ind w:firstLine="0"/>
              <w:rPr>
                <w:lang w:val="nl-NL"/>
              </w:rPr>
            </w:pPr>
          </w:p>
        </w:tc>
        <w:tc>
          <w:tcPr>
            <w:tcW w:w="1417" w:type="dxa"/>
            <w:gridSpan w:val="2"/>
            <w:vMerge/>
          </w:tcPr>
          <w:p w:rsidR="009B2A45" w:rsidRPr="006234AA" w:rsidRDefault="009B2A45" w:rsidP="003C0546">
            <w:pPr>
              <w:spacing w:after="120"/>
              <w:ind w:firstLine="0"/>
              <w:rPr>
                <w:lang w:val="nl-NL"/>
              </w:rPr>
            </w:pPr>
          </w:p>
        </w:tc>
        <w:tc>
          <w:tcPr>
            <w:tcW w:w="1276" w:type="dxa"/>
            <w:gridSpan w:val="3"/>
            <w:vMerge/>
          </w:tcPr>
          <w:p w:rsidR="009B2A45" w:rsidRPr="006234AA" w:rsidRDefault="009B2A45" w:rsidP="003C0546">
            <w:pPr>
              <w:spacing w:after="120"/>
              <w:ind w:firstLine="0"/>
              <w:rPr>
                <w:lang w:val="nl-NL"/>
              </w:rPr>
            </w:pPr>
          </w:p>
        </w:tc>
        <w:tc>
          <w:tcPr>
            <w:tcW w:w="1324" w:type="dxa"/>
            <w:gridSpan w:val="2"/>
            <w:vMerge/>
          </w:tcPr>
          <w:p w:rsidR="009B2A45" w:rsidRPr="006234AA" w:rsidRDefault="009B2A45" w:rsidP="003C0546">
            <w:pPr>
              <w:spacing w:after="120"/>
              <w:ind w:firstLine="0"/>
              <w:rPr>
                <w:lang w:val="nl-NL"/>
              </w:rPr>
            </w:pPr>
          </w:p>
        </w:tc>
        <w:tc>
          <w:tcPr>
            <w:tcW w:w="1369" w:type="dxa"/>
          </w:tcPr>
          <w:p w:rsidR="009B2A45" w:rsidRPr="006234AA" w:rsidRDefault="009B2A45" w:rsidP="003C0546">
            <w:pPr>
              <w:spacing w:after="120"/>
              <w:ind w:firstLine="0"/>
              <w:rPr>
                <w:lang w:val="nl-NL"/>
              </w:rPr>
            </w:pPr>
            <w:r w:rsidRPr="006234AA">
              <w:rPr>
                <w:lang w:val="nl-NL"/>
              </w:rPr>
              <w:t>Rổ cổ phiếu</w:t>
            </w:r>
          </w:p>
        </w:tc>
        <w:tc>
          <w:tcPr>
            <w:tcW w:w="1134" w:type="dxa"/>
            <w:gridSpan w:val="3"/>
          </w:tcPr>
          <w:p w:rsidR="009B2A45" w:rsidRPr="006234AA" w:rsidRDefault="009B2A45" w:rsidP="003C0546">
            <w:pPr>
              <w:spacing w:after="120"/>
              <w:ind w:firstLine="0"/>
              <w:rPr>
                <w:lang w:val="nl-NL"/>
              </w:rPr>
            </w:pPr>
          </w:p>
        </w:tc>
        <w:tc>
          <w:tcPr>
            <w:tcW w:w="1241" w:type="dxa"/>
            <w:gridSpan w:val="2"/>
          </w:tcPr>
          <w:p w:rsidR="009B2A45" w:rsidRPr="006234AA" w:rsidRDefault="009B2A45" w:rsidP="003C0546">
            <w:pPr>
              <w:spacing w:after="120"/>
              <w:ind w:firstLine="0"/>
              <w:rPr>
                <w:lang w:val="nl-NL"/>
              </w:rPr>
            </w:pPr>
          </w:p>
        </w:tc>
      </w:tr>
      <w:tr w:rsidR="009B2A45" w:rsidRPr="006234AA" w:rsidTr="00A15B69">
        <w:tc>
          <w:tcPr>
            <w:tcW w:w="1526" w:type="dxa"/>
            <w:vMerge/>
          </w:tcPr>
          <w:p w:rsidR="009B2A45" w:rsidRPr="006234AA" w:rsidRDefault="009B2A45" w:rsidP="003C0546">
            <w:pPr>
              <w:spacing w:after="120"/>
              <w:ind w:firstLine="0"/>
              <w:rPr>
                <w:lang w:val="nl-NL"/>
              </w:rPr>
            </w:pPr>
          </w:p>
        </w:tc>
        <w:tc>
          <w:tcPr>
            <w:tcW w:w="1417" w:type="dxa"/>
            <w:gridSpan w:val="2"/>
          </w:tcPr>
          <w:p w:rsidR="009B2A45" w:rsidRPr="006234AA" w:rsidRDefault="009B2A45" w:rsidP="003C0546">
            <w:pPr>
              <w:spacing w:after="120"/>
              <w:ind w:firstLine="0"/>
              <w:rPr>
                <w:lang w:val="nl-NL"/>
              </w:rPr>
            </w:pPr>
            <w:r w:rsidRPr="006234AA">
              <w:rPr>
                <w:lang w:val="nl-NL"/>
              </w:rPr>
              <w:t xml:space="preserve">Tổng </w:t>
            </w:r>
          </w:p>
        </w:tc>
        <w:tc>
          <w:tcPr>
            <w:tcW w:w="1276" w:type="dxa"/>
            <w:gridSpan w:val="3"/>
          </w:tcPr>
          <w:p w:rsidR="009B2A45" w:rsidRPr="006234AA" w:rsidRDefault="009B2A45" w:rsidP="003C0546">
            <w:pPr>
              <w:spacing w:after="120"/>
              <w:ind w:firstLine="0"/>
              <w:rPr>
                <w:lang w:val="nl-NL"/>
              </w:rPr>
            </w:pPr>
          </w:p>
        </w:tc>
        <w:tc>
          <w:tcPr>
            <w:tcW w:w="1324" w:type="dxa"/>
            <w:gridSpan w:val="2"/>
          </w:tcPr>
          <w:p w:rsidR="009B2A45" w:rsidRPr="006234AA" w:rsidRDefault="009B2A45" w:rsidP="003C0546">
            <w:pPr>
              <w:spacing w:after="120"/>
              <w:ind w:firstLine="0"/>
              <w:rPr>
                <w:lang w:val="nl-NL"/>
              </w:rPr>
            </w:pPr>
          </w:p>
        </w:tc>
        <w:tc>
          <w:tcPr>
            <w:tcW w:w="1369" w:type="dxa"/>
          </w:tcPr>
          <w:p w:rsidR="009B2A45" w:rsidRPr="006234AA" w:rsidRDefault="009B2A45" w:rsidP="003C0546">
            <w:pPr>
              <w:spacing w:after="120"/>
              <w:ind w:firstLine="0"/>
              <w:rPr>
                <w:lang w:val="nl-NL"/>
              </w:rPr>
            </w:pPr>
          </w:p>
        </w:tc>
        <w:tc>
          <w:tcPr>
            <w:tcW w:w="1134" w:type="dxa"/>
            <w:gridSpan w:val="3"/>
          </w:tcPr>
          <w:p w:rsidR="009B2A45" w:rsidRPr="006234AA" w:rsidRDefault="009B2A45" w:rsidP="003C0546">
            <w:pPr>
              <w:spacing w:after="120"/>
              <w:ind w:firstLine="0"/>
              <w:rPr>
                <w:lang w:val="nl-NL"/>
              </w:rPr>
            </w:pPr>
          </w:p>
        </w:tc>
        <w:tc>
          <w:tcPr>
            <w:tcW w:w="1241" w:type="dxa"/>
            <w:gridSpan w:val="2"/>
          </w:tcPr>
          <w:p w:rsidR="009B2A45" w:rsidRPr="006234AA" w:rsidRDefault="009B2A45" w:rsidP="003C0546">
            <w:pPr>
              <w:spacing w:after="120"/>
              <w:ind w:firstLine="0"/>
              <w:rPr>
                <w:lang w:val="nl-NL"/>
              </w:rPr>
            </w:pPr>
          </w:p>
        </w:tc>
      </w:tr>
    </w:tbl>
    <w:p w:rsidR="009B2A45" w:rsidRPr="006234AA" w:rsidRDefault="009B2A45" w:rsidP="003C0546">
      <w:pPr>
        <w:spacing w:after="120"/>
      </w:pPr>
      <w:r w:rsidRPr="006234AA">
        <w:br w:type="page"/>
      </w:r>
    </w:p>
    <w:tbl>
      <w:tblPr>
        <w:tblStyle w:val="TableGrid"/>
        <w:tblW w:w="0" w:type="auto"/>
        <w:tblLook w:val="04A0"/>
      </w:tblPr>
      <w:tblGrid>
        <w:gridCol w:w="1526"/>
        <w:gridCol w:w="1417"/>
        <w:gridCol w:w="1276"/>
        <w:gridCol w:w="1324"/>
        <w:gridCol w:w="94"/>
        <w:gridCol w:w="1275"/>
        <w:gridCol w:w="1134"/>
        <w:gridCol w:w="1241"/>
      </w:tblGrid>
      <w:tr w:rsidR="009B2A45" w:rsidRPr="006234AA" w:rsidTr="00A15B69">
        <w:tc>
          <w:tcPr>
            <w:tcW w:w="1526" w:type="dxa"/>
            <w:vMerge w:val="restart"/>
          </w:tcPr>
          <w:p w:rsidR="009B2A45" w:rsidRPr="006234AA" w:rsidRDefault="009B2A45" w:rsidP="003C0546">
            <w:pPr>
              <w:spacing w:after="120"/>
              <w:ind w:firstLine="0"/>
              <w:rPr>
                <w:lang w:val="nl-NL"/>
              </w:rPr>
            </w:pPr>
            <w:r w:rsidRPr="006234AA">
              <w:rPr>
                <w:lang w:val="nl-NL"/>
              </w:rPr>
              <w:lastRenderedPageBreak/>
              <w:t>Phòng vệ rủi ro</w:t>
            </w:r>
          </w:p>
        </w:tc>
        <w:tc>
          <w:tcPr>
            <w:tcW w:w="1417" w:type="dxa"/>
            <w:vMerge w:val="restart"/>
          </w:tcPr>
          <w:p w:rsidR="009B2A45" w:rsidRPr="006234AA" w:rsidRDefault="009B2A45" w:rsidP="003C0546">
            <w:pPr>
              <w:spacing w:after="120"/>
              <w:ind w:firstLine="0"/>
              <w:rPr>
                <w:lang w:val="nl-NL"/>
              </w:rPr>
            </w:pPr>
            <w:r w:rsidRPr="006234AA">
              <w:rPr>
                <w:lang w:val="nl-NL"/>
              </w:rPr>
              <w:t>Hợp đồng tương lai</w:t>
            </w:r>
          </w:p>
        </w:tc>
        <w:tc>
          <w:tcPr>
            <w:tcW w:w="1276" w:type="dxa"/>
            <w:vMerge w:val="restart"/>
          </w:tcPr>
          <w:p w:rsidR="009B2A45" w:rsidRPr="006234AA" w:rsidRDefault="009B2A45" w:rsidP="003C0546">
            <w:pPr>
              <w:spacing w:after="120"/>
              <w:ind w:firstLine="0"/>
              <w:rPr>
                <w:lang w:val="nl-NL"/>
              </w:rPr>
            </w:pPr>
          </w:p>
        </w:tc>
        <w:tc>
          <w:tcPr>
            <w:tcW w:w="1324" w:type="dxa"/>
            <w:vMerge w:val="restart"/>
          </w:tcPr>
          <w:p w:rsidR="009B2A45" w:rsidRPr="006234AA" w:rsidRDefault="009B2A45" w:rsidP="003C0546">
            <w:pPr>
              <w:spacing w:after="120"/>
              <w:ind w:firstLine="0"/>
              <w:rPr>
                <w:lang w:val="nl-NL"/>
              </w:rPr>
            </w:pPr>
          </w:p>
        </w:tc>
        <w:tc>
          <w:tcPr>
            <w:tcW w:w="1369" w:type="dxa"/>
            <w:gridSpan w:val="2"/>
          </w:tcPr>
          <w:p w:rsidR="009B2A45" w:rsidRPr="006234AA" w:rsidRDefault="009B2A45" w:rsidP="003C0546">
            <w:pPr>
              <w:spacing w:after="120"/>
              <w:ind w:firstLine="0"/>
              <w:rPr>
                <w:lang w:val="nl-NL"/>
              </w:rPr>
            </w:pPr>
            <w:r w:rsidRPr="006234AA">
              <w:rPr>
                <w:lang w:val="nl-NL"/>
              </w:rPr>
              <w:t>Hợp đồng tương lai</w:t>
            </w:r>
          </w:p>
        </w:tc>
        <w:tc>
          <w:tcPr>
            <w:tcW w:w="1134" w:type="dxa"/>
          </w:tcPr>
          <w:p w:rsidR="009B2A45" w:rsidRPr="006234AA" w:rsidRDefault="009B2A45" w:rsidP="003C0546">
            <w:pPr>
              <w:spacing w:after="120"/>
              <w:ind w:firstLine="0"/>
              <w:rPr>
                <w:lang w:val="nl-NL"/>
              </w:rPr>
            </w:pPr>
          </w:p>
        </w:tc>
        <w:tc>
          <w:tcPr>
            <w:tcW w:w="1241" w:type="dxa"/>
          </w:tcPr>
          <w:p w:rsidR="009B2A45" w:rsidRPr="006234AA" w:rsidRDefault="009B2A45" w:rsidP="003C0546">
            <w:pPr>
              <w:spacing w:after="120"/>
              <w:ind w:firstLine="0"/>
              <w:rPr>
                <w:lang w:val="nl-NL"/>
              </w:rPr>
            </w:pPr>
          </w:p>
        </w:tc>
      </w:tr>
      <w:tr w:rsidR="009B2A45" w:rsidRPr="006234AA" w:rsidTr="00A15B69">
        <w:tc>
          <w:tcPr>
            <w:tcW w:w="1526" w:type="dxa"/>
            <w:vMerge/>
          </w:tcPr>
          <w:p w:rsidR="009B2A45" w:rsidRPr="006234AA" w:rsidRDefault="009B2A45" w:rsidP="003C0546">
            <w:pPr>
              <w:spacing w:after="120"/>
              <w:ind w:firstLine="0"/>
              <w:rPr>
                <w:lang w:val="nl-NL"/>
              </w:rPr>
            </w:pPr>
          </w:p>
        </w:tc>
        <w:tc>
          <w:tcPr>
            <w:tcW w:w="1417" w:type="dxa"/>
            <w:vMerge/>
          </w:tcPr>
          <w:p w:rsidR="009B2A45" w:rsidRPr="006234AA" w:rsidRDefault="009B2A45" w:rsidP="003C0546">
            <w:pPr>
              <w:spacing w:after="120"/>
              <w:ind w:firstLine="0"/>
              <w:rPr>
                <w:lang w:val="nl-NL"/>
              </w:rPr>
            </w:pPr>
          </w:p>
        </w:tc>
        <w:tc>
          <w:tcPr>
            <w:tcW w:w="1276" w:type="dxa"/>
            <w:vMerge/>
          </w:tcPr>
          <w:p w:rsidR="009B2A45" w:rsidRPr="006234AA" w:rsidRDefault="009B2A45" w:rsidP="003C0546">
            <w:pPr>
              <w:spacing w:after="120"/>
              <w:ind w:firstLine="0"/>
              <w:rPr>
                <w:lang w:val="nl-NL"/>
              </w:rPr>
            </w:pPr>
          </w:p>
        </w:tc>
        <w:tc>
          <w:tcPr>
            <w:tcW w:w="1324" w:type="dxa"/>
            <w:vMerge/>
          </w:tcPr>
          <w:p w:rsidR="009B2A45" w:rsidRPr="006234AA" w:rsidRDefault="009B2A45" w:rsidP="003C0546">
            <w:pPr>
              <w:spacing w:after="120"/>
              <w:ind w:firstLine="0"/>
              <w:rPr>
                <w:lang w:val="nl-NL"/>
              </w:rPr>
            </w:pPr>
          </w:p>
        </w:tc>
        <w:tc>
          <w:tcPr>
            <w:tcW w:w="1369" w:type="dxa"/>
            <w:gridSpan w:val="2"/>
          </w:tcPr>
          <w:p w:rsidR="009B2A45" w:rsidRPr="006234AA" w:rsidRDefault="009B2A45" w:rsidP="003C0546">
            <w:pPr>
              <w:spacing w:after="120"/>
              <w:ind w:firstLine="0"/>
              <w:rPr>
                <w:lang w:val="nl-NL"/>
              </w:rPr>
            </w:pPr>
            <w:r w:rsidRPr="006234AA">
              <w:rPr>
                <w:lang w:val="nl-NL"/>
              </w:rPr>
              <w:t>Rổ cổ phiếu</w:t>
            </w:r>
          </w:p>
        </w:tc>
        <w:tc>
          <w:tcPr>
            <w:tcW w:w="1134" w:type="dxa"/>
          </w:tcPr>
          <w:p w:rsidR="009B2A45" w:rsidRPr="006234AA" w:rsidRDefault="009B2A45" w:rsidP="003C0546">
            <w:pPr>
              <w:spacing w:after="120"/>
              <w:ind w:firstLine="0"/>
              <w:rPr>
                <w:lang w:val="nl-NL"/>
              </w:rPr>
            </w:pPr>
          </w:p>
        </w:tc>
        <w:tc>
          <w:tcPr>
            <w:tcW w:w="1241" w:type="dxa"/>
          </w:tcPr>
          <w:p w:rsidR="009B2A45" w:rsidRPr="006234AA" w:rsidRDefault="009B2A45" w:rsidP="003C0546">
            <w:pPr>
              <w:spacing w:after="120"/>
              <w:ind w:firstLine="0"/>
              <w:rPr>
                <w:lang w:val="nl-NL"/>
              </w:rPr>
            </w:pPr>
          </w:p>
        </w:tc>
      </w:tr>
      <w:tr w:rsidR="009B2A45" w:rsidRPr="006234AA" w:rsidTr="00A15B69">
        <w:tc>
          <w:tcPr>
            <w:tcW w:w="1526" w:type="dxa"/>
            <w:vMerge/>
          </w:tcPr>
          <w:p w:rsidR="009B2A45" w:rsidRPr="006234AA" w:rsidRDefault="009B2A45" w:rsidP="003C0546">
            <w:pPr>
              <w:spacing w:after="120"/>
              <w:ind w:firstLine="0"/>
              <w:rPr>
                <w:lang w:val="nl-NL"/>
              </w:rPr>
            </w:pPr>
          </w:p>
        </w:tc>
        <w:tc>
          <w:tcPr>
            <w:tcW w:w="1417" w:type="dxa"/>
            <w:vMerge/>
          </w:tcPr>
          <w:p w:rsidR="009B2A45" w:rsidRPr="006234AA" w:rsidRDefault="009B2A45" w:rsidP="003C0546">
            <w:pPr>
              <w:spacing w:after="120"/>
              <w:ind w:firstLine="0"/>
              <w:rPr>
                <w:lang w:val="nl-NL"/>
              </w:rPr>
            </w:pPr>
          </w:p>
        </w:tc>
        <w:tc>
          <w:tcPr>
            <w:tcW w:w="1276" w:type="dxa"/>
            <w:vMerge/>
          </w:tcPr>
          <w:p w:rsidR="009B2A45" w:rsidRPr="006234AA" w:rsidRDefault="009B2A45" w:rsidP="003C0546">
            <w:pPr>
              <w:spacing w:after="120"/>
              <w:ind w:firstLine="0"/>
              <w:rPr>
                <w:lang w:val="nl-NL"/>
              </w:rPr>
            </w:pPr>
          </w:p>
        </w:tc>
        <w:tc>
          <w:tcPr>
            <w:tcW w:w="1324" w:type="dxa"/>
            <w:vMerge/>
          </w:tcPr>
          <w:p w:rsidR="009B2A45" w:rsidRPr="006234AA" w:rsidRDefault="009B2A45" w:rsidP="003C0546">
            <w:pPr>
              <w:spacing w:after="120"/>
              <w:ind w:firstLine="0"/>
              <w:rPr>
                <w:lang w:val="nl-NL"/>
              </w:rPr>
            </w:pPr>
          </w:p>
        </w:tc>
        <w:tc>
          <w:tcPr>
            <w:tcW w:w="1369" w:type="dxa"/>
            <w:gridSpan w:val="2"/>
          </w:tcPr>
          <w:p w:rsidR="009B2A45" w:rsidRPr="006234AA" w:rsidRDefault="009B2A45" w:rsidP="003C0546">
            <w:pPr>
              <w:spacing w:after="120"/>
              <w:ind w:firstLine="0"/>
              <w:rPr>
                <w:lang w:val="nl-NL"/>
              </w:rPr>
            </w:pPr>
            <w:r w:rsidRPr="006234AA">
              <w:rPr>
                <w:lang w:val="nl-NL"/>
              </w:rPr>
              <w:t>ETF</w:t>
            </w:r>
          </w:p>
        </w:tc>
        <w:tc>
          <w:tcPr>
            <w:tcW w:w="1134" w:type="dxa"/>
          </w:tcPr>
          <w:p w:rsidR="009B2A45" w:rsidRPr="006234AA" w:rsidRDefault="009B2A45" w:rsidP="003C0546">
            <w:pPr>
              <w:spacing w:after="120"/>
              <w:ind w:firstLine="0"/>
              <w:rPr>
                <w:lang w:val="nl-NL"/>
              </w:rPr>
            </w:pPr>
          </w:p>
        </w:tc>
        <w:tc>
          <w:tcPr>
            <w:tcW w:w="1241" w:type="dxa"/>
          </w:tcPr>
          <w:p w:rsidR="009B2A45" w:rsidRPr="006234AA" w:rsidRDefault="009B2A45" w:rsidP="003C0546">
            <w:pPr>
              <w:spacing w:after="120"/>
              <w:ind w:firstLine="0"/>
              <w:rPr>
                <w:lang w:val="nl-NL"/>
              </w:rPr>
            </w:pPr>
          </w:p>
        </w:tc>
      </w:tr>
      <w:tr w:rsidR="009B2A45" w:rsidRPr="006234AA" w:rsidTr="00A15B69">
        <w:tc>
          <w:tcPr>
            <w:tcW w:w="1526" w:type="dxa"/>
            <w:vMerge/>
          </w:tcPr>
          <w:p w:rsidR="009B2A45" w:rsidRPr="006234AA" w:rsidRDefault="009B2A45" w:rsidP="003C0546">
            <w:pPr>
              <w:spacing w:after="120"/>
              <w:ind w:firstLine="0"/>
              <w:rPr>
                <w:lang w:val="nl-NL"/>
              </w:rPr>
            </w:pPr>
          </w:p>
        </w:tc>
        <w:tc>
          <w:tcPr>
            <w:tcW w:w="1417" w:type="dxa"/>
          </w:tcPr>
          <w:p w:rsidR="009B2A45" w:rsidRPr="006234AA" w:rsidRDefault="009B2A45" w:rsidP="003C0546">
            <w:pPr>
              <w:spacing w:after="120"/>
              <w:ind w:firstLine="0"/>
              <w:rPr>
                <w:lang w:val="nl-NL"/>
              </w:rPr>
            </w:pPr>
            <w:r w:rsidRPr="006234AA">
              <w:rPr>
                <w:lang w:val="nl-NL"/>
              </w:rPr>
              <w:t>Tổng</w:t>
            </w:r>
          </w:p>
        </w:tc>
        <w:tc>
          <w:tcPr>
            <w:tcW w:w="1276" w:type="dxa"/>
          </w:tcPr>
          <w:p w:rsidR="009B2A45" w:rsidRPr="006234AA" w:rsidRDefault="009B2A45" w:rsidP="003C0546">
            <w:pPr>
              <w:spacing w:after="120"/>
              <w:ind w:firstLine="0"/>
              <w:rPr>
                <w:lang w:val="nl-NL"/>
              </w:rPr>
            </w:pPr>
          </w:p>
        </w:tc>
        <w:tc>
          <w:tcPr>
            <w:tcW w:w="1324" w:type="dxa"/>
          </w:tcPr>
          <w:p w:rsidR="009B2A45" w:rsidRPr="006234AA" w:rsidRDefault="009B2A45" w:rsidP="003C0546">
            <w:pPr>
              <w:spacing w:after="120"/>
              <w:ind w:firstLine="0"/>
              <w:rPr>
                <w:lang w:val="nl-NL"/>
              </w:rPr>
            </w:pPr>
          </w:p>
        </w:tc>
        <w:tc>
          <w:tcPr>
            <w:tcW w:w="1369" w:type="dxa"/>
            <w:gridSpan w:val="2"/>
          </w:tcPr>
          <w:p w:rsidR="009B2A45" w:rsidRPr="006234AA" w:rsidRDefault="009B2A45" w:rsidP="003C0546">
            <w:pPr>
              <w:spacing w:after="120"/>
              <w:ind w:firstLine="0"/>
              <w:rPr>
                <w:lang w:val="nl-NL"/>
              </w:rPr>
            </w:pPr>
          </w:p>
        </w:tc>
        <w:tc>
          <w:tcPr>
            <w:tcW w:w="1134" w:type="dxa"/>
          </w:tcPr>
          <w:p w:rsidR="009B2A45" w:rsidRPr="006234AA" w:rsidRDefault="009B2A45" w:rsidP="003C0546">
            <w:pPr>
              <w:spacing w:after="120"/>
              <w:ind w:firstLine="0"/>
              <w:rPr>
                <w:lang w:val="nl-NL"/>
              </w:rPr>
            </w:pPr>
          </w:p>
        </w:tc>
        <w:tc>
          <w:tcPr>
            <w:tcW w:w="1241" w:type="dxa"/>
          </w:tcPr>
          <w:p w:rsidR="009B2A45" w:rsidRPr="006234AA" w:rsidRDefault="009B2A45" w:rsidP="003C0546">
            <w:pPr>
              <w:spacing w:after="120"/>
              <w:ind w:firstLine="0"/>
              <w:rPr>
                <w:lang w:val="nl-NL"/>
              </w:rPr>
            </w:pPr>
          </w:p>
        </w:tc>
      </w:tr>
      <w:tr w:rsidR="009B2A45" w:rsidRPr="006234AA" w:rsidTr="00A15B69">
        <w:tc>
          <w:tcPr>
            <w:tcW w:w="1526" w:type="dxa"/>
          </w:tcPr>
          <w:p w:rsidR="009B2A45" w:rsidRPr="006234AA" w:rsidRDefault="009B2A45" w:rsidP="003C0546">
            <w:pPr>
              <w:spacing w:after="120"/>
              <w:ind w:firstLine="0"/>
              <w:rPr>
                <w:lang w:val="nl-NL"/>
              </w:rPr>
            </w:pPr>
            <w:r w:rsidRPr="006234AA">
              <w:rPr>
                <w:lang w:val="nl-NL"/>
              </w:rPr>
              <w:t>Tổng cộng hạn chế chênh lệch giá và phòng vệ rủi ro</w:t>
            </w:r>
          </w:p>
        </w:tc>
        <w:tc>
          <w:tcPr>
            <w:tcW w:w="1417" w:type="dxa"/>
          </w:tcPr>
          <w:p w:rsidR="009B2A45" w:rsidRPr="006234AA" w:rsidRDefault="009B2A45" w:rsidP="003C0546">
            <w:pPr>
              <w:spacing w:after="120"/>
              <w:ind w:firstLine="0"/>
              <w:rPr>
                <w:lang w:val="nl-NL"/>
              </w:rPr>
            </w:pPr>
          </w:p>
        </w:tc>
        <w:tc>
          <w:tcPr>
            <w:tcW w:w="1276" w:type="dxa"/>
          </w:tcPr>
          <w:p w:rsidR="009B2A45" w:rsidRPr="006234AA" w:rsidRDefault="009B2A45" w:rsidP="003C0546">
            <w:pPr>
              <w:spacing w:after="120"/>
              <w:ind w:firstLine="0"/>
              <w:rPr>
                <w:lang w:val="nl-NL"/>
              </w:rPr>
            </w:pPr>
          </w:p>
        </w:tc>
        <w:tc>
          <w:tcPr>
            <w:tcW w:w="1324" w:type="dxa"/>
          </w:tcPr>
          <w:p w:rsidR="009B2A45" w:rsidRPr="006234AA" w:rsidRDefault="009B2A45" w:rsidP="003C0546">
            <w:pPr>
              <w:spacing w:after="120"/>
              <w:ind w:firstLine="0"/>
              <w:rPr>
                <w:lang w:val="nl-NL"/>
              </w:rPr>
            </w:pPr>
          </w:p>
        </w:tc>
        <w:tc>
          <w:tcPr>
            <w:tcW w:w="1369" w:type="dxa"/>
            <w:gridSpan w:val="2"/>
          </w:tcPr>
          <w:p w:rsidR="009B2A45" w:rsidRPr="006234AA" w:rsidRDefault="009B2A45" w:rsidP="003C0546">
            <w:pPr>
              <w:spacing w:after="120"/>
              <w:ind w:firstLine="0"/>
              <w:rPr>
                <w:lang w:val="nl-NL"/>
              </w:rPr>
            </w:pPr>
            <w:r w:rsidRPr="006234AA">
              <w:rPr>
                <w:lang w:val="nl-NL"/>
              </w:rPr>
              <w:t>Tổng cộng</w:t>
            </w:r>
          </w:p>
        </w:tc>
        <w:tc>
          <w:tcPr>
            <w:tcW w:w="1134" w:type="dxa"/>
          </w:tcPr>
          <w:p w:rsidR="009B2A45" w:rsidRPr="006234AA" w:rsidRDefault="009B2A45" w:rsidP="003C0546">
            <w:pPr>
              <w:spacing w:after="120"/>
              <w:ind w:firstLine="0"/>
              <w:rPr>
                <w:lang w:val="nl-NL"/>
              </w:rPr>
            </w:pPr>
          </w:p>
        </w:tc>
        <w:tc>
          <w:tcPr>
            <w:tcW w:w="1241" w:type="dxa"/>
          </w:tcPr>
          <w:p w:rsidR="009B2A45" w:rsidRPr="006234AA" w:rsidRDefault="009B2A45" w:rsidP="003C0546">
            <w:pPr>
              <w:spacing w:after="120"/>
              <w:ind w:firstLine="0"/>
              <w:rPr>
                <w:lang w:val="nl-NL"/>
              </w:rPr>
            </w:pPr>
          </w:p>
        </w:tc>
      </w:tr>
      <w:tr w:rsidR="009B2A45" w:rsidRPr="006234AA" w:rsidTr="00A15B69">
        <w:tc>
          <w:tcPr>
            <w:tcW w:w="1526" w:type="dxa"/>
          </w:tcPr>
          <w:p w:rsidR="009B2A45" w:rsidRPr="006234AA" w:rsidRDefault="009B2A45" w:rsidP="003C0546">
            <w:pPr>
              <w:spacing w:after="120"/>
              <w:ind w:firstLine="0"/>
              <w:rPr>
                <w:lang w:val="nl-NL"/>
              </w:rPr>
            </w:pPr>
            <w:r w:rsidRPr="006234AA">
              <w:rPr>
                <w:lang w:val="nl-NL"/>
              </w:rPr>
              <w:t>Các vấn đề liên quan</w:t>
            </w:r>
          </w:p>
        </w:tc>
        <w:tc>
          <w:tcPr>
            <w:tcW w:w="7761" w:type="dxa"/>
            <w:gridSpan w:val="7"/>
          </w:tcPr>
          <w:p w:rsidR="009B2A45" w:rsidRPr="006234AA" w:rsidRDefault="009B2A45" w:rsidP="003C0546">
            <w:pPr>
              <w:spacing w:after="120"/>
              <w:ind w:firstLine="0"/>
              <w:rPr>
                <w:lang w:val="nl-NL"/>
              </w:rPr>
            </w:pPr>
          </w:p>
        </w:tc>
      </w:tr>
      <w:tr w:rsidR="009B2A45" w:rsidRPr="006234AA" w:rsidTr="00A15B69">
        <w:tc>
          <w:tcPr>
            <w:tcW w:w="1526" w:type="dxa"/>
            <w:tcBorders>
              <w:bottom w:val="single" w:sz="4" w:space="0" w:color="auto"/>
            </w:tcBorders>
          </w:tcPr>
          <w:p w:rsidR="009B2A45" w:rsidRPr="006234AA" w:rsidRDefault="009B2A45" w:rsidP="003C0546">
            <w:pPr>
              <w:spacing w:after="120"/>
              <w:ind w:firstLine="0"/>
              <w:rPr>
                <w:lang w:val="nl-NL"/>
              </w:rPr>
            </w:pPr>
          </w:p>
        </w:tc>
        <w:tc>
          <w:tcPr>
            <w:tcW w:w="1417" w:type="dxa"/>
            <w:tcBorders>
              <w:bottom w:val="single" w:sz="4" w:space="0" w:color="auto"/>
            </w:tcBorders>
          </w:tcPr>
          <w:p w:rsidR="009B2A45" w:rsidRPr="006234AA" w:rsidRDefault="009B2A45" w:rsidP="003C0546">
            <w:pPr>
              <w:spacing w:after="120"/>
              <w:ind w:firstLine="0"/>
              <w:rPr>
                <w:lang w:val="nl-NL"/>
              </w:rPr>
            </w:pPr>
          </w:p>
        </w:tc>
        <w:tc>
          <w:tcPr>
            <w:tcW w:w="1276" w:type="dxa"/>
            <w:tcBorders>
              <w:bottom w:val="single" w:sz="4" w:space="0" w:color="auto"/>
            </w:tcBorders>
          </w:tcPr>
          <w:p w:rsidR="009B2A45" w:rsidRPr="006234AA" w:rsidRDefault="009B2A45" w:rsidP="003C0546">
            <w:pPr>
              <w:spacing w:after="120"/>
              <w:ind w:firstLine="0"/>
              <w:rPr>
                <w:lang w:val="nl-NL"/>
              </w:rPr>
            </w:pPr>
          </w:p>
        </w:tc>
        <w:tc>
          <w:tcPr>
            <w:tcW w:w="1324" w:type="dxa"/>
            <w:tcBorders>
              <w:bottom w:val="single" w:sz="4" w:space="0" w:color="auto"/>
            </w:tcBorders>
          </w:tcPr>
          <w:p w:rsidR="009B2A45" w:rsidRPr="006234AA" w:rsidRDefault="009B2A45" w:rsidP="003C0546">
            <w:pPr>
              <w:spacing w:after="120"/>
              <w:ind w:firstLine="0"/>
              <w:rPr>
                <w:lang w:val="nl-NL"/>
              </w:rPr>
            </w:pPr>
          </w:p>
        </w:tc>
        <w:tc>
          <w:tcPr>
            <w:tcW w:w="1369" w:type="dxa"/>
            <w:gridSpan w:val="2"/>
            <w:tcBorders>
              <w:bottom w:val="single" w:sz="4" w:space="0" w:color="auto"/>
            </w:tcBorders>
          </w:tcPr>
          <w:p w:rsidR="009B2A45" w:rsidRPr="006234AA" w:rsidRDefault="009B2A45" w:rsidP="003C0546">
            <w:pPr>
              <w:spacing w:after="120"/>
              <w:ind w:firstLine="0"/>
              <w:rPr>
                <w:lang w:val="nl-NL"/>
              </w:rPr>
            </w:pPr>
          </w:p>
        </w:tc>
        <w:tc>
          <w:tcPr>
            <w:tcW w:w="1134" w:type="dxa"/>
            <w:tcBorders>
              <w:bottom w:val="single" w:sz="4" w:space="0" w:color="auto"/>
            </w:tcBorders>
          </w:tcPr>
          <w:p w:rsidR="009B2A45" w:rsidRPr="006234AA" w:rsidRDefault="009B2A45" w:rsidP="003C0546">
            <w:pPr>
              <w:spacing w:after="120"/>
              <w:ind w:firstLine="0"/>
              <w:rPr>
                <w:lang w:val="nl-NL"/>
              </w:rPr>
            </w:pPr>
          </w:p>
        </w:tc>
        <w:tc>
          <w:tcPr>
            <w:tcW w:w="1241" w:type="dxa"/>
            <w:tcBorders>
              <w:bottom w:val="single" w:sz="4" w:space="0" w:color="auto"/>
            </w:tcBorders>
          </w:tcPr>
          <w:p w:rsidR="009B2A45" w:rsidRPr="006234AA" w:rsidRDefault="009B2A45" w:rsidP="003C0546">
            <w:pPr>
              <w:spacing w:after="120"/>
              <w:ind w:firstLine="0"/>
              <w:rPr>
                <w:lang w:val="nl-NL"/>
              </w:rPr>
            </w:pPr>
          </w:p>
        </w:tc>
      </w:tr>
      <w:tr w:rsidR="009B2A45" w:rsidRPr="006234AA" w:rsidTr="00A15B69">
        <w:tc>
          <w:tcPr>
            <w:tcW w:w="5637" w:type="dxa"/>
            <w:gridSpan w:val="5"/>
            <w:tcBorders>
              <w:top w:val="single" w:sz="4" w:space="0" w:color="auto"/>
              <w:left w:val="nil"/>
              <w:bottom w:val="nil"/>
              <w:right w:val="nil"/>
            </w:tcBorders>
          </w:tcPr>
          <w:p w:rsidR="009B2A45" w:rsidRPr="006234AA" w:rsidRDefault="009B2A45" w:rsidP="003C0546">
            <w:pPr>
              <w:spacing w:after="120"/>
              <w:ind w:firstLine="0"/>
              <w:jc w:val="right"/>
              <w:rPr>
                <w:lang w:val="nl-NL"/>
              </w:rPr>
            </w:pPr>
          </w:p>
        </w:tc>
        <w:tc>
          <w:tcPr>
            <w:tcW w:w="3650" w:type="dxa"/>
            <w:gridSpan w:val="3"/>
            <w:tcBorders>
              <w:top w:val="single" w:sz="4" w:space="0" w:color="auto"/>
              <w:left w:val="nil"/>
              <w:bottom w:val="nil"/>
              <w:right w:val="nil"/>
            </w:tcBorders>
          </w:tcPr>
          <w:p w:rsidR="009B2A45" w:rsidRPr="006234AA" w:rsidRDefault="009B2A45" w:rsidP="003C0546">
            <w:pPr>
              <w:spacing w:after="120"/>
              <w:ind w:firstLine="0"/>
              <w:jc w:val="right"/>
              <w:rPr>
                <w:lang w:val="nl-NL"/>
              </w:rPr>
            </w:pPr>
          </w:p>
        </w:tc>
      </w:tr>
      <w:tr w:rsidR="009B2A45" w:rsidRPr="006234AA" w:rsidTr="00A15B69">
        <w:tc>
          <w:tcPr>
            <w:tcW w:w="5637" w:type="dxa"/>
            <w:gridSpan w:val="5"/>
            <w:tcBorders>
              <w:top w:val="nil"/>
              <w:left w:val="nil"/>
              <w:bottom w:val="nil"/>
              <w:right w:val="nil"/>
            </w:tcBorders>
          </w:tcPr>
          <w:p w:rsidR="009B2A45" w:rsidRPr="006234AA" w:rsidRDefault="009B2A45" w:rsidP="003C0546">
            <w:pPr>
              <w:spacing w:after="120"/>
              <w:ind w:firstLine="0"/>
              <w:jc w:val="right"/>
              <w:rPr>
                <w:lang w:val="nl-NL"/>
              </w:rPr>
            </w:pPr>
          </w:p>
        </w:tc>
        <w:tc>
          <w:tcPr>
            <w:tcW w:w="3650" w:type="dxa"/>
            <w:gridSpan w:val="3"/>
            <w:tcBorders>
              <w:top w:val="nil"/>
              <w:left w:val="nil"/>
              <w:bottom w:val="nil"/>
              <w:right w:val="nil"/>
            </w:tcBorders>
          </w:tcPr>
          <w:p w:rsidR="009B2A45" w:rsidRPr="006234AA" w:rsidRDefault="009B2A45" w:rsidP="003C0546">
            <w:pPr>
              <w:spacing w:after="120"/>
              <w:ind w:firstLine="0"/>
              <w:jc w:val="right"/>
              <w:rPr>
                <w:lang w:val="nl-NL"/>
              </w:rPr>
            </w:pPr>
            <w:r w:rsidRPr="006234AA">
              <w:rPr>
                <w:i/>
                <w:lang w:val="nl-NL"/>
              </w:rPr>
              <w:t>..., ngày ... tháng ... năm ...</w:t>
            </w:r>
          </w:p>
        </w:tc>
      </w:tr>
      <w:tr w:rsidR="009B2A45" w:rsidRPr="006234AA" w:rsidTr="00A15B69">
        <w:tc>
          <w:tcPr>
            <w:tcW w:w="5637" w:type="dxa"/>
            <w:gridSpan w:val="5"/>
            <w:tcBorders>
              <w:top w:val="nil"/>
              <w:left w:val="nil"/>
              <w:bottom w:val="nil"/>
              <w:right w:val="nil"/>
            </w:tcBorders>
          </w:tcPr>
          <w:p w:rsidR="009B2A45" w:rsidRPr="006234AA" w:rsidRDefault="009B2A45" w:rsidP="003C0546">
            <w:pPr>
              <w:spacing w:after="120"/>
              <w:ind w:firstLine="0"/>
              <w:jc w:val="right"/>
              <w:rPr>
                <w:lang w:val="nl-NL"/>
              </w:rPr>
            </w:pPr>
            <w:r w:rsidRPr="006234AA">
              <w:rPr>
                <w:lang w:val="nl-NL"/>
              </w:rPr>
              <w:t>Giám đốc:</w:t>
            </w:r>
          </w:p>
        </w:tc>
        <w:tc>
          <w:tcPr>
            <w:tcW w:w="3650" w:type="dxa"/>
            <w:gridSpan w:val="3"/>
            <w:tcBorders>
              <w:top w:val="nil"/>
              <w:left w:val="nil"/>
              <w:bottom w:val="nil"/>
              <w:right w:val="nil"/>
            </w:tcBorders>
          </w:tcPr>
          <w:p w:rsidR="009B2A45" w:rsidRPr="006234AA" w:rsidRDefault="009B2A45" w:rsidP="003C0546">
            <w:pPr>
              <w:spacing w:after="120"/>
              <w:ind w:firstLine="0"/>
              <w:rPr>
                <w:lang w:val="nl-NL"/>
              </w:rPr>
            </w:pPr>
            <w:r w:rsidRPr="006234AA">
              <w:rPr>
                <w:lang w:val="nl-NL"/>
              </w:rPr>
              <w:t>(Ký tên, đóng dấu)</w:t>
            </w:r>
          </w:p>
        </w:tc>
      </w:tr>
      <w:tr w:rsidR="009B2A45" w:rsidRPr="006234AA" w:rsidTr="00A15B69">
        <w:tc>
          <w:tcPr>
            <w:tcW w:w="5637" w:type="dxa"/>
            <w:gridSpan w:val="5"/>
            <w:tcBorders>
              <w:top w:val="nil"/>
              <w:left w:val="nil"/>
              <w:bottom w:val="nil"/>
              <w:right w:val="nil"/>
            </w:tcBorders>
          </w:tcPr>
          <w:p w:rsidR="009B2A45" w:rsidRPr="006234AA" w:rsidRDefault="009B2A45" w:rsidP="003C0546">
            <w:pPr>
              <w:spacing w:after="120"/>
              <w:ind w:firstLine="0"/>
              <w:jc w:val="right"/>
              <w:rPr>
                <w:lang w:val="nl-NL"/>
              </w:rPr>
            </w:pPr>
            <w:r w:rsidRPr="006234AA">
              <w:rPr>
                <w:lang w:val="nl-NL"/>
              </w:rPr>
              <w:t>Nhân viên hành nghề:</w:t>
            </w:r>
          </w:p>
        </w:tc>
        <w:tc>
          <w:tcPr>
            <w:tcW w:w="3650" w:type="dxa"/>
            <w:gridSpan w:val="3"/>
            <w:tcBorders>
              <w:top w:val="nil"/>
              <w:left w:val="nil"/>
              <w:bottom w:val="nil"/>
              <w:right w:val="nil"/>
            </w:tcBorders>
          </w:tcPr>
          <w:p w:rsidR="009B2A45" w:rsidRPr="006234AA" w:rsidRDefault="009B2A45" w:rsidP="003C0546">
            <w:pPr>
              <w:spacing w:after="120"/>
              <w:ind w:firstLine="0"/>
              <w:rPr>
                <w:lang w:val="nl-NL"/>
              </w:rPr>
            </w:pPr>
            <w:r w:rsidRPr="006234AA">
              <w:rPr>
                <w:lang w:val="nl-NL"/>
              </w:rPr>
              <w:t>(Ký tên)</w:t>
            </w:r>
          </w:p>
        </w:tc>
      </w:tr>
      <w:tr w:rsidR="009B2A45" w:rsidRPr="006234AA" w:rsidTr="00A15B69">
        <w:tc>
          <w:tcPr>
            <w:tcW w:w="5637" w:type="dxa"/>
            <w:gridSpan w:val="5"/>
            <w:tcBorders>
              <w:top w:val="nil"/>
              <w:left w:val="nil"/>
              <w:bottom w:val="nil"/>
              <w:right w:val="nil"/>
            </w:tcBorders>
          </w:tcPr>
          <w:p w:rsidR="009B2A45" w:rsidRPr="006234AA" w:rsidRDefault="009B2A45" w:rsidP="003C0546">
            <w:pPr>
              <w:spacing w:after="120"/>
              <w:ind w:firstLine="0"/>
              <w:jc w:val="right"/>
              <w:rPr>
                <w:lang w:val="nl-NL"/>
              </w:rPr>
            </w:pPr>
            <w:r w:rsidRPr="006234AA">
              <w:rPr>
                <w:lang w:val="nl-NL"/>
              </w:rPr>
              <w:t>Số hợp đồng:</w:t>
            </w:r>
          </w:p>
        </w:tc>
        <w:tc>
          <w:tcPr>
            <w:tcW w:w="3650" w:type="dxa"/>
            <w:gridSpan w:val="3"/>
            <w:tcBorders>
              <w:top w:val="nil"/>
              <w:left w:val="nil"/>
              <w:bottom w:val="nil"/>
              <w:right w:val="nil"/>
            </w:tcBorders>
          </w:tcPr>
          <w:p w:rsidR="009B2A45" w:rsidRPr="006234AA" w:rsidRDefault="009B2A45" w:rsidP="003C0546">
            <w:pPr>
              <w:spacing w:after="120"/>
              <w:ind w:firstLine="0"/>
              <w:rPr>
                <w:lang w:val="nl-NL"/>
              </w:rPr>
            </w:pPr>
          </w:p>
        </w:tc>
      </w:tr>
      <w:tr w:rsidR="009B2A45" w:rsidRPr="006234AA" w:rsidTr="00A15B69">
        <w:tc>
          <w:tcPr>
            <w:tcW w:w="5637" w:type="dxa"/>
            <w:gridSpan w:val="5"/>
            <w:tcBorders>
              <w:top w:val="nil"/>
              <w:left w:val="nil"/>
              <w:bottom w:val="nil"/>
              <w:right w:val="nil"/>
            </w:tcBorders>
          </w:tcPr>
          <w:p w:rsidR="009B2A45" w:rsidRPr="006234AA" w:rsidRDefault="009B2A45" w:rsidP="003C0546">
            <w:pPr>
              <w:spacing w:after="120"/>
              <w:ind w:firstLine="0"/>
              <w:jc w:val="right"/>
              <w:rPr>
                <w:lang w:val="nl-NL"/>
              </w:rPr>
            </w:pPr>
            <w:r w:rsidRPr="006234AA">
              <w:rPr>
                <w:lang w:val="nl-NL"/>
              </w:rPr>
              <w:t>Điện thoại:</w:t>
            </w:r>
          </w:p>
        </w:tc>
        <w:tc>
          <w:tcPr>
            <w:tcW w:w="3650" w:type="dxa"/>
            <w:gridSpan w:val="3"/>
            <w:tcBorders>
              <w:top w:val="nil"/>
              <w:left w:val="nil"/>
              <w:bottom w:val="nil"/>
              <w:right w:val="nil"/>
            </w:tcBorders>
          </w:tcPr>
          <w:p w:rsidR="009B2A45" w:rsidRPr="006234AA" w:rsidRDefault="009B2A45" w:rsidP="003C0546">
            <w:pPr>
              <w:spacing w:after="120"/>
              <w:ind w:firstLine="0"/>
              <w:rPr>
                <w:lang w:val="nl-NL"/>
              </w:rPr>
            </w:pPr>
          </w:p>
        </w:tc>
      </w:tr>
    </w:tbl>
    <w:p w:rsidR="009B2A45" w:rsidRPr="006234AA" w:rsidRDefault="009B2A45" w:rsidP="003C0546">
      <w:pPr>
        <w:spacing w:after="120"/>
        <w:rPr>
          <w:lang w:val="nl-NL"/>
        </w:rPr>
      </w:pPr>
      <w:r w:rsidRPr="006234AA">
        <w:rPr>
          <w:lang w:val="nl-NL"/>
        </w:rPr>
        <w:t>Ghi chú:</w:t>
      </w:r>
    </w:p>
    <w:p w:rsidR="009B2A45" w:rsidRPr="006234AA" w:rsidRDefault="009B2A45" w:rsidP="003C0546">
      <w:pPr>
        <w:spacing w:after="120"/>
        <w:rPr>
          <w:lang w:val="nl-NL"/>
        </w:rPr>
      </w:pPr>
      <w:r w:rsidRPr="006234AA">
        <w:rPr>
          <w:lang w:val="nl-NL"/>
        </w:rPr>
        <w:t>1. Phải điền các hợp đồng tương lai vào mục “Sản phẩm liên quan đến vị thế mở” khi có vị thế mở được các thành viên khác nắm giữ.</w:t>
      </w:r>
    </w:p>
    <w:p w:rsidR="009B2A45" w:rsidRPr="006234AA" w:rsidRDefault="009B2A45" w:rsidP="003C0546">
      <w:pPr>
        <w:spacing w:after="120"/>
        <w:rPr>
          <w:lang w:val="nl-NL"/>
        </w:rPr>
      </w:pPr>
      <w:r w:rsidRPr="006234AA">
        <w:rPr>
          <w:lang w:val="nl-NL"/>
        </w:rPr>
        <w:t>2. Chênh lệch vị thế ở mục “Sản phẩm liên quan đến vị thế mở” phải được xác định trên cơ sở giá của hợp đồng tương lai tháng gần nhất và Hệ số nhân.</w:t>
      </w:r>
    </w:p>
    <w:p w:rsidR="009B2A45" w:rsidRPr="006234AA" w:rsidRDefault="009B2A45" w:rsidP="003C0546">
      <w:pPr>
        <w:spacing w:after="120"/>
        <w:rPr>
          <w:lang w:val="nl-NL"/>
        </w:rPr>
      </w:pPr>
      <w:r w:rsidRPr="006234AA">
        <w:rPr>
          <w:lang w:val="nl-NL"/>
        </w:rPr>
        <w:t>3. Chênh lệch vị thế của ngày hôm trước (chỉ áp dụng cho hợp đồng tương lai chỉ số) được xác định bằng cách áp dụng chênh lệch ngày hôm trước với số lượng vị thế mở tại thời điểm đóng cửa thị trường cuối ngày.</w:t>
      </w:r>
    </w:p>
    <w:p w:rsidR="009B2A45" w:rsidRPr="006234AA" w:rsidRDefault="009B2A45" w:rsidP="003C0546">
      <w:pPr>
        <w:spacing w:after="120"/>
        <w:rPr>
          <w:lang w:val="nl-NL"/>
        </w:rPr>
      </w:pPr>
      <w:r w:rsidRPr="006234AA">
        <w:rPr>
          <w:lang w:val="nl-NL"/>
        </w:rPr>
        <w:t>4. Tại thời điểm ghi chênh lệch vị thế phải ghi lại dấu dương/âm như sau:</w:t>
      </w:r>
    </w:p>
    <w:p w:rsidR="009B2A45" w:rsidRPr="006234AA" w:rsidRDefault="009B2A45" w:rsidP="003C0546">
      <w:pPr>
        <w:spacing w:after="120"/>
        <w:rPr>
          <w:lang w:val="nl-NL"/>
        </w:rPr>
      </w:pPr>
      <w:r w:rsidRPr="006234AA">
        <w:rPr>
          <w:lang w:val="nl-NL"/>
        </w:rPr>
        <w:t>(+) Mua hợp đồng tương lai</w:t>
      </w:r>
    </w:p>
    <w:p w:rsidR="009B2A45" w:rsidRPr="006234AA" w:rsidRDefault="009B2A45" w:rsidP="003C0546">
      <w:pPr>
        <w:spacing w:after="120"/>
        <w:rPr>
          <w:lang w:val="nl-NL"/>
        </w:rPr>
      </w:pPr>
      <w:r w:rsidRPr="006234AA">
        <w:rPr>
          <w:lang w:val="nl-NL"/>
        </w:rPr>
        <w:lastRenderedPageBreak/>
        <w:t>(-) Bán hợp đồng tương lai</w:t>
      </w:r>
    </w:p>
    <w:p w:rsidR="009B2A45" w:rsidRPr="006234AA" w:rsidRDefault="009B2A45" w:rsidP="003C0546">
      <w:pPr>
        <w:spacing w:after="120"/>
        <w:rPr>
          <w:lang w:val="nl-NL"/>
        </w:rPr>
      </w:pPr>
    </w:p>
    <w:p w:rsidR="00FE091E" w:rsidRPr="006234AA" w:rsidRDefault="00866B6A" w:rsidP="003C0546">
      <w:pPr>
        <w:spacing w:after="120"/>
        <w:rPr>
          <w:lang w:val="nl-NL"/>
        </w:rPr>
      </w:pPr>
      <w:r w:rsidRPr="006234AA">
        <w:rPr>
          <w:lang w:val="nl-NL"/>
        </w:rPr>
        <w:br w:type="page"/>
      </w:r>
    </w:p>
    <w:p w:rsidR="00866B6A" w:rsidRPr="006234AA" w:rsidRDefault="00866B6A" w:rsidP="003C0546">
      <w:pPr>
        <w:pStyle w:val="Heading5"/>
        <w:spacing w:after="120"/>
        <w:ind w:left="3261" w:hanging="1701"/>
      </w:pPr>
      <w:bookmarkStart w:id="273" w:name="_Toc422672040"/>
      <w:r w:rsidRPr="006234AA">
        <w:lastRenderedPageBreak/>
        <w:t xml:space="preserve">Phương án </w:t>
      </w:r>
      <w:r w:rsidR="00B36DD8" w:rsidRPr="006234AA">
        <w:t>nghiệp vụ kinh doanh</w:t>
      </w:r>
      <w:r w:rsidRPr="006234AA">
        <w:t xml:space="preserve"> trong ba năm đầu đối với nghiệp vụ đề nghị bổ sung</w:t>
      </w:r>
      <w:bookmarkEnd w:id="273"/>
    </w:p>
    <w:p w:rsidR="00866B6A" w:rsidRPr="006234AA" w:rsidRDefault="00866B6A"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866B6A" w:rsidRPr="006234AA" w:rsidRDefault="00866B6A" w:rsidP="003C0546">
      <w:pPr>
        <w:spacing w:after="120"/>
        <w:ind w:firstLine="0"/>
        <w:jc w:val="center"/>
        <w:rPr>
          <w:b/>
          <w:bCs/>
          <w:i/>
          <w:iCs/>
          <w:lang w:val="nl-NL"/>
        </w:rPr>
      </w:pPr>
    </w:p>
    <w:p w:rsidR="00735649" w:rsidRPr="006234AA" w:rsidRDefault="00735649" w:rsidP="003C0546">
      <w:pPr>
        <w:spacing w:after="120"/>
        <w:jc w:val="center"/>
        <w:rPr>
          <w:b/>
          <w:lang w:val="nl-NL"/>
        </w:rPr>
      </w:pPr>
      <w:r w:rsidRPr="006234AA">
        <w:rPr>
          <w:b/>
          <w:lang w:val="nl-NL"/>
        </w:rPr>
        <w:t xml:space="preserve">PHƯƠNG ÁN HOẠT ĐỘNG KINH DOANH </w:t>
      </w:r>
    </w:p>
    <w:p w:rsidR="00735649" w:rsidRPr="006234AA" w:rsidRDefault="00735649" w:rsidP="003C0546">
      <w:pPr>
        <w:spacing w:after="120"/>
        <w:jc w:val="center"/>
        <w:rPr>
          <w:b/>
          <w:lang w:val="nl-NL"/>
        </w:rPr>
      </w:pPr>
      <w:r w:rsidRPr="006234AA">
        <w:rPr>
          <w:b/>
          <w:lang w:val="nl-NL"/>
        </w:rPr>
        <w:t>ĐỐI VỚI NGHIỆP VỤ BỔ SUNG</w:t>
      </w:r>
    </w:p>
    <w:p w:rsidR="00735649" w:rsidRPr="006234AA" w:rsidRDefault="00735649" w:rsidP="003C0546">
      <w:pPr>
        <w:spacing w:after="120"/>
        <w:jc w:val="center"/>
        <w:rPr>
          <w:b/>
          <w:lang w:val="nl-NL"/>
        </w:rPr>
      </w:pPr>
    </w:p>
    <w:p w:rsidR="00735649" w:rsidRPr="006234AA" w:rsidRDefault="00735649" w:rsidP="003C0546">
      <w:pPr>
        <w:spacing w:after="120"/>
        <w:rPr>
          <w:b/>
          <w:lang w:val="nl-NL"/>
        </w:rPr>
      </w:pPr>
      <w:r w:rsidRPr="006234AA">
        <w:rPr>
          <w:b/>
          <w:lang w:val="nl-NL"/>
        </w:rPr>
        <w:t>Nghiệp vụ (Các nghiệp vụ) kinh doanh chứng khoán bổ sung: ....</w:t>
      </w:r>
    </w:p>
    <w:p w:rsidR="00735649" w:rsidRPr="006234AA" w:rsidRDefault="00735649" w:rsidP="003C0546">
      <w:pPr>
        <w:spacing w:after="120"/>
        <w:rPr>
          <w:b/>
          <w:lang w:val="nl-NL"/>
        </w:rPr>
      </w:pPr>
      <w:r w:rsidRPr="006234AA">
        <w:rPr>
          <w:b/>
          <w:lang w:val="nl-NL"/>
        </w:rPr>
        <w:t xml:space="preserve">Phần I. Giới thiệu công ty </w:t>
      </w:r>
    </w:p>
    <w:p w:rsidR="00735649" w:rsidRPr="006234AA" w:rsidRDefault="00735649" w:rsidP="003C0546">
      <w:pPr>
        <w:spacing w:after="120"/>
        <w:rPr>
          <w:lang w:val="nl-NL"/>
        </w:rPr>
      </w:pPr>
      <w:r w:rsidRPr="006234AA">
        <w:rPr>
          <w:lang w:val="nl-NL"/>
        </w:rPr>
        <w:t>I. Giới thiệu tổng thể</w:t>
      </w:r>
    </w:p>
    <w:p w:rsidR="00735649" w:rsidRPr="006234AA" w:rsidRDefault="00735649" w:rsidP="003C0546">
      <w:pPr>
        <w:spacing w:after="120"/>
        <w:rPr>
          <w:lang w:val="nl-NL"/>
        </w:rPr>
      </w:pPr>
      <w:r w:rsidRPr="006234AA">
        <w:rPr>
          <w:lang w:val="nl-NL"/>
        </w:rPr>
        <w:t>1. Tên gọi:</w:t>
      </w:r>
    </w:p>
    <w:p w:rsidR="00735649" w:rsidRPr="006234AA" w:rsidRDefault="00735649" w:rsidP="003C0546">
      <w:pPr>
        <w:spacing w:after="120"/>
        <w:rPr>
          <w:lang w:val="nl-NL"/>
        </w:rPr>
      </w:pPr>
      <w:r w:rsidRPr="006234AA">
        <w:rPr>
          <w:lang w:val="nl-NL"/>
        </w:rPr>
        <w:t>2. Nghiệp vụ kinh doanh</w:t>
      </w:r>
    </w:p>
    <w:p w:rsidR="00735649" w:rsidRPr="006234AA" w:rsidRDefault="00735649" w:rsidP="003C0546">
      <w:pPr>
        <w:spacing w:after="120"/>
        <w:rPr>
          <w:lang w:val="nl-NL"/>
        </w:rPr>
      </w:pPr>
      <w:r w:rsidRPr="006234AA">
        <w:rPr>
          <w:lang w:val="nl-NL"/>
        </w:rPr>
        <w:t xml:space="preserve">II. Tổ chức bộ máy của công ty </w:t>
      </w:r>
    </w:p>
    <w:p w:rsidR="00735649" w:rsidRPr="006234AA" w:rsidRDefault="00735649" w:rsidP="003C0546">
      <w:pPr>
        <w:spacing w:after="120"/>
        <w:rPr>
          <w:lang w:val="nl-NL"/>
        </w:rPr>
      </w:pPr>
      <w:r w:rsidRPr="006234AA">
        <w:rPr>
          <w:lang w:val="nl-NL"/>
        </w:rPr>
        <w:t>1. Cơ cấu tổ chức</w:t>
      </w:r>
    </w:p>
    <w:p w:rsidR="00735649" w:rsidRPr="006234AA" w:rsidRDefault="00735649" w:rsidP="003C0546">
      <w:pPr>
        <w:spacing w:after="120"/>
        <w:rPr>
          <w:lang w:val="nl-NL"/>
        </w:rPr>
      </w:pPr>
      <w:r w:rsidRPr="006234AA">
        <w:rPr>
          <w:lang w:val="nl-NL"/>
        </w:rPr>
        <w:t>2. Chức năng, nhiệm vụ của các bộ phận</w:t>
      </w:r>
    </w:p>
    <w:p w:rsidR="00735649" w:rsidRPr="006234AA" w:rsidRDefault="00735649" w:rsidP="003C0546">
      <w:pPr>
        <w:spacing w:after="120"/>
        <w:rPr>
          <w:lang w:val="nl-NL"/>
        </w:rPr>
      </w:pPr>
      <w:r w:rsidRPr="006234AA">
        <w:rPr>
          <w:lang w:val="nl-NL"/>
        </w:rPr>
        <w:t>III. Định hướng phát triển trong các giai đoạn</w:t>
      </w:r>
    </w:p>
    <w:p w:rsidR="00735649" w:rsidRPr="006234AA" w:rsidRDefault="00735649" w:rsidP="003C0546">
      <w:pPr>
        <w:spacing w:after="120"/>
        <w:rPr>
          <w:b/>
          <w:lang w:val="nl-NL"/>
        </w:rPr>
      </w:pPr>
      <w:r w:rsidRPr="006234AA">
        <w:rPr>
          <w:b/>
          <w:lang w:val="nl-NL"/>
        </w:rPr>
        <w:t xml:space="preserve">Phần II. Phương án hoạt động kinh doanh của công ty </w:t>
      </w:r>
    </w:p>
    <w:p w:rsidR="00735649" w:rsidRPr="006234AA" w:rsidRDefault="00735649" w:rsidP="003C0546">
      <w:pPr>
        <w:spacing w:after="120"/>
        <w:rPr>
          <w:lang w:val="nl-NL"/>
        </w:rPr>
      </w:pPr>
      <w:r w:rsidRPr="006234AA">
        <w:rPr>
          <w:lang w:val="nl-NL"/>
        </w:rPr>
        <w:t>I. Mục tiêu và chiến lược phát triển của công ty quản lý quỹ</w:t>
      </w:r>
    </w:p>
    <w:p w:rsidR="00735649" w:rsidRPr="006234AA" w:rsidRDefault="00735649" w:rsidP="003C0546">
      <w:pPr>
        <w:spacing w:after="120"/>
        <w:rPr>
          <w:lang w:val="nl-NL"/>
        </w:rPr>
      </w:pPr>
      <w:r w:rsidRPr="006234AA">
        <w:rPr>
          <w:lang w:val="nl-NL"/>
        </w:rPr>
        <w:t>II. Phân tích điểm mạnh, yếu, cơ hội phát triển và thách thức của công ty</w:t>
      </w:r>
    </w:p>
    <w:p w:rsidR="00735649" w:rsidRPr="006234AA" w:rsidRDefault="00735649" w:rsidP="003C0546">
      <w:pPr>
        <w:spacing w:after="120"/>
        <w:rPr>
          <w:lang w:val="nl-NL"/>
        </w:rPr>
      </w:pPr>
      <w:r w:rsidRPr="006234AA">
        <w:rPr>
          <w:lang w:val="nl-NL"/>
        </w:rPr>
        <w:t>III. Phân tích cạnh tranh</w:t>
      </w:r>
    </w:p>
    <w:p w:rsidR="00735649" w:rsidRPr="006234AA" w:rsidRDefault="00735649" w:rsidP="003C0546">
      <w:pPr>
        <w:spacing w:after="120"/>
        <w:rPr>
          <w:lang w:val="nl-NL"/>
        </w:rPr>
      </w:pPr>
      <w:r w:rsidRPr="006234AA">
        <w:rPr>
          <w:lang w:val="nl-NL"/>
        </w:rPr>
        <w:t>IV. Các hoạt động kinh doanh và phát triển sản phẩm quỹ của công ty quản lý quỹ.</w:t>
      </w:r>
    </w:p>
    <w:p w:rsidR="00735649" w:rsidRPr="006234AA" w:rsidRDefault="00735649" w:rsidP="003C0546">
      <w:pPr>
        <w:spacing w:after="120"/>
        <w:rPr>
          <w:lang w:val="nl-NL"/>
        </w:rPr>
      </w:pPr>
      <w:r w:rsidRPr="006234AA">
        <w:rPr>
          <w:lang w:val="nl-NL"/>
        </w:rPr>
        <w:t>V. Chiến lược về thị trường và khách hàng</w:t>
      </w:r>
    </w:p>
    <w:p w:rsidR="00735649" w:rsidRPr="006234AA" w:rsidRDefault="00735649" w:rsidP="003C0546">
      <w:pPr>
        <w:spacing w:after="120"/>
        <w:rPr>
          <w:lang w:val="nl-NL"/>
        </w:rPr>
      </w:pPr>
      <w:r w:rsidRPr="006234AA">
        <w:rPr>
          <w:lang w:val="nl-NL"/>
        </w:rPr>
        <w:t>VI. Chiến lược về dịch vụ</w:t>
      </w:r>
    </w:p>
    <w:p w:rsidR="00735649" w:rsidRPr="006234AA" w:rsidRDefault="00735649" w:rsidP="003C0546">
      <w:pPr>
        <w:spacing w:after="120"/>
        <w:rPr>
          <w:lang w:val="nl-NL"/>
        </w:rPr>
      </w:pPr>
      <w:r w:rsidRPr="006234AA">
        <w:rPr>
          <w:lang w:val="nl-NL"/>
        </w:rPr>
        <w:t>VII. Kế hoạch triển khai (phân tích chi tiết cho từng nghiệp vụ hoạt động)</w:t>
      </w:r>
    </w:p>
    <w:p w:rsidR="00735649" w:rsidRPr="006234AA" w:rsidRDefault="00735649" w:rsidP="003C0546">
      <w:pPr>
        <w:spacing w:after="120"/>
        <w:rPr>
          <w:lang w:val="nl-NL"/>
        </w:rPr>
      </w:pPr>
      <w:r w:rsidRPr="006234AA">
        <w:rPr>
          <w:lang w:val="nl-NL"/>
        </w:rPr>
        <w:t>VIII. Phương án đầu tư cơ sở vật chất, hệ thống phần mềm, đào tạo nhân lực (phù hợp với từng giai đoạn phát triển)</w:t>
      </w:r>
    </w:p>
    <w:p w:rsidR="00735649" w:rsidRPr="006234AA" w:rsidRDefault="00735649" w:rsidP="003C0546">
      <w:pPr>
        <w:spacing w:after="120"/>
        <w:rPr>
          <w:b/>
          <w:lang w:val="nl-NL"/>
        </w:rPr>
      </w:pPr>
      <w:r w:rsidRPr="006234AA">
        <w:rPr>
          <w:b/>
          <w:lang w:val="nl-NL"/>
        </w:rPr>
        <w:t>Phần III. Phương án tài chính</w:t>
      </w:r>
    </w:p>
    <w:p w:rsidR="00735649" w:rsidRPr="006234AA" w:rsidRDefault="00735649" w:rsidP="003C0546">
      <w:pPr>
        <w:spacing w:after="120"/>
        <w:rPr>
          <w:lang w:val="nl-NL"/>
        </w:rPr>
      </w:pPr>
      <w:r w:rsidRPr="006234AA">
        <w:rPr>
          <w:lang w:val="nl-NL"/>
        </w:rPr>
        <w:t>I. Cơ sở phân tích</w:t>
      </w:r>
    </w:p>
    <w:p w:rsidR="00735649" w:rsidRPr="006234AA" w:rsidRDefault="00735649" w:rsidP="003C0546">
      <w:pPr>
        <w:spacing w:after="120"/>
        <w:rPr>
          <w:lang w:val="nl-NL"/>
        </w:rPr>
      </w:pPr>
      <w:r w:rsidRPr="006234AA">
        <w:rPr>
          <w:lang w:val="nl-NL"/>
        </w:rPr>
        <w:t>II. Nguồn vốn và sử dụng vốn</w:t>
      </w:r>
    </w:p>
    <w:p w:rsidR="00735649" w:rsidRPr="006234AA" w:rsidRDefault="00735649" w:rsidP="003C0546">
      <w:pPr>
        <w:spacing w:after="120"/>
        <w:rPr>
          <w:lang w:val="nl-NL"/>
        </w:rPr>
      </w:pPr>
      <w:r w:rsidRPr="006234AA">
        <w:rPr>
          <w:lang w:val="nl-NL"/>
        </w:rPr>
        <w:t>III. Chi phí</w:t>
      </w:r>
    </w:p>
    <w:p w:rsidR="00735649" w:rsidRPr="006234AA" w:rsidRDefault="00735649" w:rsidP="003C0546">
      <w:pPr>
        <w:spacing w:after="120"/>
        <w:rPr>
          <w:lang w:val="nl-NL"/>
        </w:rPr>
      </w:pPr>
      <w:r w:rsidRPr="006234AA">
        <w:rPr>
          <w:lang w:val="nl-NL"/>
        </w:rPr>
        <w:t>IV. Doanh thu</w:t>
      </w:r>
    </w:p>
    <w:p w:rsidR="00735649" w:rsidRPr="006234AA" w:rsidRDefault="00735649" w:rsidP="003C0546">
      <w:pPr>
        <w:spacing w:after="120"/>
        <w:rPr>
          <w:lang w:val="nl-NL"/>
        </w:rPr>
      </w:pPr>
      <w:r w:rsidRPr="006234AA">
        <w:rPr>
          <w:lang w:val="nl-NL"/>
        </w:rPr>
        <w:lastRenderedPageBreak/>
        <w:t>V. Lợi nhuận và phân phối lợi nhuận</w:t>
      </w:r>
    </w:p>
    <w:p w:rsidR="00735649" w:rsidRPr="006234AA" w:rsidRDefault="00735649" w:rsidP="003C0546">
      <w:pPr>
        <w:spacing w:after="120"/>
        <w:rPr>
          <w:b/>
          <w:lang w:val="nl-NL"/>
        </w:rPr>
      </w:pPr>
      <w:r w:rsidRPr="006234AA">
        <w:rPr>
          <w:b/>
          <w:lang w:val="nl-NL"/>
        </w:rPr>
        <w:t>Phần IV. Kết luận</w:t>
      </w:r>
    </w:p>
    <w:p w:rsidR="00735649" w:rsidRPr="006234AA" w:rsidRDefault="00735649" w:rsidP="003C0546">
      <w:pPr>
        <w:spacing w:after="120"/>
        <w:rPr>
          <w:b/>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35"/>
      </w:tblGrid>
      <w:tr w:rsidR="00735649" w:rsidRPr="006234AA" w:rsidTr="00A15B69">
        <w:tc>
          <w:tcPr>
            <w:tcW w:w="3652" w:type="dxa"/>
          </w:tcPr>
          <w:p w:rsidR="00735649" w:rsidRPr="006234AA" w:rsidRDefault="00735649" w:rsidP="003C0546">
            <w:pPr>
              <w:spacing w:after="120"/>
              <w:ind w:firstLine="0"/>
              <w:rPr>
                <w:b/>
                <w:i/>
                <w:lang w:val="nl-NL"/>
              </w:rPr>
            </w:pPr>
            <w:r w:rsidRPr="006234AA">
              <w:rPr>
                <w:b/>
                <w:i/>
                <w:lang w:val="nl-NL"/>
              </w:rPr>
              <w:t>Hồ sơ gửi kèm:</w:t>
            </w:r>
          </w:p>
          <w:p w:rsidR="00735649" w:rsidRPr="006234AA" w:rsidRDefault="00735649" w:rsidP="003C0546">
            <w:pPr>
              <w:spacing w:after="120"/>
              <w:ind w:firstLine="0"/>
              <w:rPr>
                <w:i/>
                <w:lang w:val="nl-NL"/>
              </w:rPr>
            </w:pPr>
            <w:r w:rsidRPr="006234AA">
              <w:rPr>
                <w:i/>
                <w:lang w:val="nl-NL"/>
              </w:rPr>
              <w:t>(Liệt kê đầy đủ)</w:t>
            </w:r>
          </w:p>
        </w:tc>
        <w:tc>
          <w:tcPr>
            <w:tcW w:w="5635" w:type="dxa"/>
          </w:tcPr>
          <w:p w:rsidR="00735649" w:rsidRPr="006234AA" w:rsidRDefault="00735649" w:rsidP="003C0546">
            <w:pPr>
              <w:spacing w:after="120"/>
              <w:ind w:firstLine="0"/>
              <w:jc w:val="center"/>
              <w:rPr>
                <w:b/>
                <w:lang w:val="nl-NL"/>
              </w:rPr>
            </w:pPr>
            <w:r w:rsidRPr="006234AA">
              <w:rPr>
                <w:b/>
                <w:lang w:val="nl-NL"/>
              </w:rPr>
              <w:t>TM. Cổ đông/thành viên/Chủ sở hữu</w:t>
            </w:r>
          </w:p>
          <w:p w:rsidR="00735649" w:rsidRPr="006234AA" w:rsidRDefault="00735649" w:rsidP="003C0546">
            <w:pPr>
              <w:spacing w:after="120"/>
              <w:ind w:firstLine="0"/>
              <w:jc w:val="center"/>
              <w:rPr>
                <w:i/>
                <w:lang w:val="nl-NL"/>
              </w:rPr>
            </w:pPr>
            <w:r w:rsidRPr="006234AA">
              <w:rPr>
                <w:i/>
                <w:lang w:val="nl-NL"/>
              </w:rPr>
              <w:t>(ký, đóng dấu và ghi rõ họ tên)</w:t>
            </w:r>
          </w:p>
        </w:tc>
      </w:tr>
    </w:tbl>
    <w:p w:rsidR="00420220" w:rsidRPr="006234AA" w:rsidRDefault="00420220" w:rsidP="003C0546">
      <w:pPr>
        <w:spacing w:after="120"/>
        <w:jc w:val="center"/>
        <w:rPr>
          <w:lang w:val="nl-NL"/>
        </w:rPr>
      </w:pPr>
      <w:r w:rsidRPr="006234AA">
        <w:rPr>
          <w:lang w:val="nl-NL"/>
        </w:rPr>
        <w:br w:type="page"/>
      </w:r>
    </w:p>
    <w:p w:rsidR="00420220" w:rsidRPr="006234AA" w:rsidRDefault="00420220" w:rsidP="003C0546">
      <w:pPr>
        <w:pStyle w:val="Heading5"/>
        <w:spacing w:after="120"/>
        <w:ind w:left="3119" w:hanging="2268"/>
      </w:pPr>
      <w:bookmarkStart w:id="274" w:name="_Toc422672041"/>
      <w:r w:rsidRPr="006234AA">
        <w:lastRenderedPageBreak/>
        <w:t>Giấy đề nghị mở tài khoản giao dịch chứng khoán phái sinh</w:t>
      </w:r>
      <w:bookmarkEnd w:id="274"/>
    </w:p>
    <w:p w:rsidR="00420220" w:rsidRPr="006234AA" w:rsidRDefault="00420220"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420220" w:rsidRPr="006234AA" w:rsidRDefault="00420220" w:rsidP="003C0546">
      <w:pPr>
        <w:spacing w:after="120"/>
        <w:ind w:firstLine="0"/>
        <w:jc w:val="center"/>
        <w:rPr>
          <w:b/>
          <w:bCs/>
          <w:i/>
          <w:iCs/>
          <w:lang w:val="nl-NL"/>
        </w:rPr>
      </w:pPr>
    </w:p>
    <w:p w:rsidR="00FE091E" w:rsidRPr="006234AA" w:rsidRDefault="00FE091E" w:rsidP="003C0546">
      <w:pPr>
        <w:spacing w:after="120"/>
        <w:jc w:val="center"/>
        <w:rPr>
          <w:b/>
          <w:lang w:val="nl-NL"/>
        </w:rPr>
      </w:pPr>
      <w:r w:rsidRPr="006234AA">
        <w:rPr>
          <w:b/>
          <w:lang w:val="nl-NL"/>
        </w:rPr>
        <w:t>GIẤY ĐỀ NGHỊ MỞ TÀI KHOẢN GIAO DỊCH</w:t>
      </w:r>
    </w:p>
    <w:p w:rsidR="00FE091E" w:rsidRPr="006234AA" w:rsidRDefault="00FE091E" w:rsidP="003C0546">
      <w:pPr>
        <w:spacing w:after="120"/>
        <w:jc w:val="center"/>
        <w:rPr>
          <w:b/>
          <w:lang w:val="nl-NL"/>
        </w:rPr>
      </w:pPr>
      <w:r w:rsidRPr="006234AA">
        <w:rPr>
          <w:b/>
          <w:lang w:val="nl-NL"/>
        </w:rPr>
        <w:t>CHỨNG KHOÁN PHÁI SINH</w:t>
      </w:r>
    </w:p>
    <w:p w:rsidR="00FE091E" w:rsidRPr="006234AA" w:rsidRDefault="00FE091E" w:rsidP="003C0546">
      <w:pPr>
        <w:spacing w:after="120"/>
        <w:rPr>
          <w:lang w:val="nl-NL"/>
        </w:rPr>
      </w:pPr>
    </w:p>
    <w:p w:rsidR="00735649" w:rsidRPr="006234AA" w:rsidRDefault="00735649" w:rsidP="003C0546">
      <w:pPr>
        <w:spacing w:after="120"/>
        <w:ind w:firstLine="0"/>
        <w:rPr>
          <w:b/>
          <w:lang w:val="nl-NL"/>
        </w:rPr>
      </w:pPr>
      <w:r w:rsidRPr="006234AA">
        <w:rPr>
          <w:b/>
          <w:lang w:val="nl-NL"/>
        </w:rPr>
        <w:t>I. Thông tin về khách hàng</w:t>
      </w:r>
    </w:p>
    <w:p w:rsidR="00735649" w:rsidRPr="006234AA" w:rsidRDefault="00735649" w:rsidP="003C0546">
      <w:pPr>
        <w:spacing w:after="120"/>
        <w:rPr>
          <w:lang w:val="nl-NL"/>
        </w:rPr>
      </w:pPr>
      <w:r w:rsidRPr="006234AA">
        <w:rPr>
          <w:lang w:val="nl-NL"/>
        </w:rPr>
        <w:t>1. Họ và tên: ...</w:t>
      </w:r>
    </w:p>
    <w:p w:rsidR="00735649" w:rsidRPr="006234AA" w:rsidRDefault="00735649" w:rsidP="003C0546">
      <w:pPr>
        <w:spacing w:after="120"/>
        <w:rPr>
          <w:lang w:val="nl-NL"/>
        </w:rPr>
      </w:pPr>
      <w:r w:rsidRPr="006234AA">
        <w:rPr>
          <w:lang w:val="nl-NL"/>
        </w:rPr>
        <w:t>2. Ngày sinh: ngày ... tháng ... năm ...</w:t>
      </w:r>
      <w:r w:rsidRPr="006234AA">
        <w:rPr>
          <w:lang w:val="nl-NL"/>
        </w:rPr>
        <w:tab/>
      </w:r>
      <w:r w:rsidRPr="006234AA">
        <w:rPr>
          <w:lang w:val="nl-NL"/>
        </w:rPr>
        <w:tab/>
        <w:t>Giới tính: ...</w:t>
      </w:r>
    </w:p>
    <w:p w:rsidR="00735649" w:rsidRPr="006234AA" w:rsidRDefault="00735649" w:rsidP="003C0546">
      <w:pPr>
        <w:spacing w:after="120"/>
        <w:rPr>
          <w:lang w:val="nl-NL"/>
        </w:rPr>
      </w:pPr>
      <w:r w:rsidRPr="006234AA">
        <w:rPr>
          <w:lang w:val="nl-NL"/>
        </w:rPr>
        <w:t>3. Quốc tịch: ...</w:t>
      </w:r>
    </w:p>
    <w:p w:rsidR="00735649" w:rsidRPr="006234AA" w:rsidRDefault="00735649" w:rsidP="003C0546">
      <w:pPr>
        <w:spacing w:after="120"/>
        <w:rPr>
          <w:lang w:val="nl-NL"/>
        </w:rPr>
      </w:pPr>
      <w:r w:rsidRPr="006234AA">
        <w:rPr>
          <w:lang w:val="nl-NL"/>
        </w:rPr>
        <w:t>4. Số Giấy chứng nhận đăng ký kinh doanh/Số chứng minh nhân dân/hộ chiếu: ...; ngày cấp: ...; nơi cấp: ...</w:t>
      </w:r>
    </w:p>
    <w:p w:rsidR="00735649" w:rsidRPr="006234AA" w:rsidRDefault="00735649" w:rsidP="003C0546">
      <w:pPr>
        <w:spacing w:after="120"/>
        <w:rPr>
          <w:lang w:val="nl-NL"/>
        </w:rPr>
      </w:pPr>
      <w:r w:rsidRPr="006234AA">
        <w:rPr>
          <w:lang w:val="nl-NL"/>
        </w:rPr>
        <w:t>5. Nơi làm việc: ...</w:t>
      </w:r>
    </w:p>
    <w:p w:rsidR="00735649" w:rsidRPr="006234AA" w:rsidRDefault="00735649" w:rsidP="003C0546">
      <w:pPr>
        <w:spacing w:after="120"/>
        <w:rPr>
          <w:lang w:val="nl-NL"/>
        </w:rPr>
      </w:pPr>
      <w:r w:rsidRPr="006234AA">
        <w:rPr>
          <w:lang w:val="nl-NL"/>
        </w:rPr>
        <w:t>6. Địa chỉ liên lạc: ...</w:t>
      </w:r>
    </w:p>
    <w:p w:rsidR="00735649" w:rsidRPr="006234AA" w:rsidRDefault="00735649" w:rsidP="003C0546">
      <w:pPr>
        <w:spacing w:after="120"/>
        <w:rPr>
          <w:lang w:val="nl-NL"/>
        </w:rPr>
      </w:pPr>
      <w:r w:rsidRPr="006234AA">
        <w:rPr>
          <w:lang w:val="nl-NL"/>
        </w:rPr>
        <w:t>7. Điện thoại liên lạc: ...</w:t>
      </w:r>
    </w:p>
    <w:p w:rsidR="00735649" w:rsidRPr="006234AA" w:rsidRDefault="00735649" w:rsidP="003C0546">
      <w:pPr>
        <w:spacing w:after="120"/>
        <w:rPr>
          <w:lang w:val="nl-NL"/>
        </w:rPr>
      </w:pPr>
      <w:r w:rsidRPr="006234AA">
        <w:rPr>
          <w:lang w:val="nl-NL"/>
        </w:rPr>
        <w:t>8. Số tài khoản ngân hàng: ...; nơi mở tài khoản: ...</w:t>
      </w:r>
    </w:p>
    <w:p w:rsidR="00735649" w:rsidRPr="006234AA" w:rsidRDefault="00735649" w:rsidP="003C0546">
      <w:pPr>
        <w:spacing w:after="120"/>
        <w:rPr>
          <w:lang w:val="nl-NL"/>
        </w:rPr>
      </w:pPr>
      <w:r w:rsidRPr="006234AA">
        <w:rPr>
          <w:lang w:val="nl-NL"/>
        </w:rPr>
        <w:t>9. Giấy tờ kèm theo (liệt kê chi tiết)</w:t>
      </w:r>
    </w:p>
    <w:p w:rsidR="00735649" w:rsidRPr="006234AA" w:rsidRDefault="00735649" w:rsidP="003C0546">
      <w:pPr>
        <w:spacing w:after="120"/>
        <w:ind w:firstLine="0"/>
        <w:rPr>
          <w:b/>
          <w:lang w:val="nl-NL"/>
        </w:rPr>
      </w:pPr>
      <w:r w:rsidRPr="006234AA">
        <w:rPr>
          <w:b/>
          <w:lang w:val="nl-NL"/>
        </w:rPr>
        <w:t>II. Thông tin liên quan đến giao dịch chứng khoán phái sinh</w:t>
      </w:r>
    </w:p>
    <w:p w:rsidR="00735649" w:rsidRPr="006234AA" w:rsidRDefault="00735649" w:rsidP="003C0546">
      <w:pPr>
        <w:spacing w:after="120"/>
        <w:rPr>
          <w:lang w:val="nl-NL"/>
        </w:rPr>
      </w:pPr>
      <w:r w:rsidRPr="006234AA">
        <w:rPr>
          <w:lang w:val="nl-NL"/>
        </w:rPr>
        <w:t>1. Loại chứng khoán phái sinh giao dịch</w:t>
      </w:r>
    </w:p>
    <w:p w:rsidR="00735649" w:rsidRPr="006234AA" w:rsidRDefault="00735649" w:rsidP="003C0546">
      <w:pPr>
        <w:spacing w:after="120"/>
        <w:rPr>
          <w:lang w:val="nl-NL"/>
        </w:rPr>
      </w:pPr>
      <w:r w:rsidRPr="006234AA">
        <w:rPr>
          <w:lang w:val="nl-NL"/>
        </w:rPr>
        <w:t>2. Phương thức giao dịch</w:t>
      </w:r>
    </w:p>
    <w:p w:rsidR="00735649" w:rsidRPr="006234AA" w:rsidRDefault="00735649" w:rsidP="003C0546">
      <w:pPr>
        <w:spacing w:after="120"/>
        <w:rPr>
          <w:lang w:val="nl-NL"/>
        </w:rPr>
      </w:pPr>
      <w:r w:rsidRPr="006234AA">
        <w:rPr>
          <w:lang w:val="nl-NL"/>
        </w:rPr>
        <w:t>3. Phương thức thông báo kết quả giao dịch</w:t>
      </w:r>
    </w:p>
    <w:p w:rsidR="00735649" w:rsidRPr="006234AA" w:rsidRDefault="00735649" w:rsidP="003C0546">
      <w:pPr>
        <w:spacing w:after="120"/>
        <w:rPr>
          <w:lang w:val="nl-NL"/>
        </w:rPr>
      </w:pPr>
      <w:r w:rsidRPr="006234AA">
        <w:rPr>
          <w:lang w:val="nl-NL"/>
        </w:rPr>
        <w:t>4. Phương thức nhận sao kê hàng tháng</w:t>
      </w:r>
    </w:p>
    <w:p w:rsidR="00735649" w:rsidRPr="006234AA" w:rsidRDefault="00735649" w:rsidP="003C0546">
      <w:pPr>
        <w:spacing w:after="120"/>
        <w:rPr>
          <w:lang w:val="nl-NL"/>
        </w:rPr>
      </w:pPr>
      <w:r w:rsidRPr="006234AA">
        <w:rPr>
          <w:lang w:val="nl-NL"/>
        </w:rPr>
        <w:t>5. Phương thức khấu trừ thuế thu nhập</w:t>
      </w:r>
    </w:p>
    <w:p w:rsidR="00735649" w:rsidRPr="006234AA" w:rsidRDefault="00735649" w:rsidP="003C0546">
      <w:pPr>
        <w:spacing w:after="120"/>
        <w:ind w:firstLine="0"/>
        <w:rPr>
          <w:b/>
          <w:lang w:val="nl-NL"/>
        </w:rPr>
      </w:pPr>
      <w:r w:rsidRPr="006234AA">
        <w:rPr>
          <w:b/>
          <w:lang w:val="nl-NL"/>
        </w:rPr>
        <w:t>III. Thông tin về chứng khoán và kiến thức đầu tư chứng khoán phái sinh của khách hàng</w:t>
      </w:r>
    </w:p>
    <w:p w:rsidR="00735649" w:rsidRPr="006234AA" w:rsidRDefault="00735649" w:rsidP="003C0546">
      <w:pPr>
        <w:spacing w:after="120"/>
        <w:rPr>
          <w:lang w:val="nl-NL"/>
        </w:rPr>
      </w:pPr>
      <w:r w:rsidRPr="006234AA">
        <w:rPr>
          <w:lang w:val="nl-NL"/>
        </w:rPr>
        <w:t>1. Mục tiêu đầu tư</w:t>
      </w:r>
    </w:p>
    <w:p w:rsidR="00735649" w:rsidRPr="006234AA" w:rsidRDefault="00735649" w:rsidP="003C0546">
      <w:pPr>
        <w:spacing w:after="120"/>
        <w:rPr>
          <w:lang w:val="nl-NL"/>
        </w:rPr>
      </w:pPr>
      <w:r w:rsidRPr="006234AA">
        <w:rPr>
          <w:lang w:val="nl-NL"/>
        </w:rPr>
        <w:t>2. Mức độ chấp nhận rủi ro</w:t>
      </w:r>
    </w:p>
    <w:p w:rsidR="00735649" w:rsidRPr="006234AA" w:rsidRDefault="00735649" w:rsidP="003C0546">
      <w:pPr>
        <w:spacing w:after="120"/>
        <w:rPr>
          <w:lang w:val="nl-NL"/>
        </w:rPr>
      </w:pPr>
      <w:r w:rsidRPr="006234AA">
        <w:rPr>
          <w:lang w:val="nl-NL"/>
        </w:rPr>
        <w:t>3. Kinh nghiệm và kiến thức về đầu tư</w:t>
      </w:r>
    </w:p>
    <w:p w:rsidR="00735649" w:rsidRPr="006234AA" w:rsidRDefault="00735649" w:rsidP="003C0546">
      <w:pPr>
        <w:spacing w:after="120"/>
        <w:rPr>
          <w:lang w:val="nl-NL"/>
        </w:rPr>
      </w:pPr>
      <w:r w:rsidRPr="006234AA">
        <w:rPr>
          <w:lang w:val="nl-NL"/>
        </w:rPr>
        <w:t>4. Tài khoản tại công ty chứng khoán khác (số tài khoản giao dịch, nơi mở tài khoản)</w:t>
      </w:r>
    </w:p>
    <w:p w:rsidR="00735649" w:rsidRPr="006234AA" w:rsidRDefault="00735649" w:rsidP="003C0546">
      <w:pPr>
        <w:spacing w:after="120"/>
        <w:rPr>
          <w:lang w:val="nl-NL"/>
        </w:rPr>
      </w:pPr>
      <w:r w:rsidRPr="006234AA">
        <w:rPr>
          <w:lang w:val="nl-NL"/>
        </w:rPr>
        <w:t>5. Tên công ty đại chúng mà khách hàng nắm giữ chức danh quản lý</w:t>
      </w:r>
    </w:p>
    <w:p w:rsidR="00735649" w:rsidRPr="006234AA" w:rsidRDefault="00735649" w:rsidP="003C0546">
      <w:pPr>
        <w:spacing w:after="120"/>
        <w:rPr>
          <w:lang w:val="nl-NL"/>
        </w:rPr>
      </w:pPr>
      <w:r w:rsidRPr="006234AA">
        <w:rPr>
          <w:lang w:val="nl-NL"/>
        </w:rPr>
        <w:lastRenderedPageBreak/>
        <w:t>6. Tên công ty đại chúng mà khách hàng là cổ đông lớn</w:t>
      </w:r>
    </w:p>
    <w:p w:rsidR="00735649" w:rsidRPr="006234AA" w:rsidRDefault="00735649" w:rsidP="003C0546">
      <w:pPr>
        <w:spacing w:after="120"/>
        <w:ind w:firstLine="0"/>
        <w:rPr>
          <w:b/>
          <w:lang w:val="nl-NL"/>
        </w:rPr>
      </w:pPr>
      <w:r w:rsidRPr="006234AA">
        <w:rPr>
          <w:b/>
          <w:lang w:val="nl-NL"/>
        </w:rPr>
        <w:t>IV. Thông tin về người có quyền thụ hưởng liên quan</w:t>
      </w:r>
    </w:p>
    <w:p w:rsidR="00735649" w:rsidRPr="006234AA" w:rsidRDefault="00735649" w:rsidP="003C0546">
      <w:pPr>
        <w:spacing w:after="120"/>
        <w:rPr>
          <w:lang w:val="nl-NL"/>
        </w:rPr>
      </w:pPr>
      <w:r w:rsidRPr="006234AA">
        <w:rPr>
          <w:lang w:val="nl-NL"/>
        </w:rPr>
        <w:t>1. Họ và tên: ...</w:t>
      </w:r>
    </w:p>
    <w:p w:rsidR="00735649" w:rsidRPr="006234AA" w:rsidRDefault="00735649" w:rsidP="003C0546">
      <w:pPr>
        <w:spacing w:after="120"/>
        <w:rPr>
          <w:lang w:val="nl-NL"/>
        </w:rPr>
      </w:pPr>
      <w:r w:rsidRPr="006234AA">
        <w:rPr>
          <w:lang w:val="nl-NL"/>
        </w:rPr>
        <w:t>2. Ngày sinh: ngày ... tháng ... năm ...</w:t>
      </w:r>
      <w:r w:rsidRPr="006234AA">
        <w:rPr>
          <w:lang w:val="nl-NL"/>
        </w:rPr>
        <w:tab/>
      </w:r>
      <w:r w:rsidRPr="006234AA">
        <w:rPr>
          <w:lang w:val="nl-NL"/>
        </w:rPr>
        <w:tab/>
        <w:t>Giới tính: ...</w:t>
      </w:r>
    </w:p>
    <w:p w:rsidR="00735649" w:rsidRPr="006234AA" w:rsidRDefault="00735649" w:rsidP="003C0546">
      <w:pPr>
        <w:spacing w:after="120"/>
        <w:rPr>
          <w:lang w:val="nl-NL"/>
        </w:rPr>
      </w:pPr>
      <w:r w:rsidRPr="006234AA">
        <w:rPr>
          <w:lang w:val="nl-NL"/>
        </w:rPr>
        <w:t>3. Quốc tịch: ...</w:t>
      </w:r>
    </w:p>
    <w:p w:rsidR="00735649" w:rsidRPr="006234AA" w:rsidRDefault="00735649" w:rsidP="003C0546">
      <w:pPr>
        <w:spacing w:after="120"/>
        <w:rPr>
          <w:lang w:val="nl-NL"/>
        </w:rPr>
      </w:pPr>
      <w:r w:rsidRPr="006234AA">
        <w:rPr>
          <w:lang w:val="nl-NL"/>
        </w:rPr>
        <w:t>4. Số chứng minh nhân dân/hộ chiếu: ...; ngày cấp: ...; nơi cấp: ...</w:t>
      </w:r>
    </w:p>
    <w:p w:rsidR="00735649" w:rsidRPr="006234AA" w:rsidRDefault="00735649" w:rsidP="003C0546">
      <w:pPr>
        <w:spacing w:after="120"/>
        <w:rPr>
          <w:lang w:val="nl-NL"/>
        </w:rPr>
      </w:pPr>
      <w:r w:rsidRPr="006234AA">
        <w:rPr>
          <w:lang w:val="nl-NL"/>
        </w:rPr>
        <w:t>5. Mối quan hệ với khách hàng: ...</w:t>
      </w:r>
    </w:p>
    <w:p w:rsidR="00735649" w:rsidRPr="006234AA" w:rsidRDefault="00735649" w:rsidP="003C0546">
      <w:pPr>
        <w:spacing w:after="120"/>
        <w:rPr>
          <w:lang w:val="nl-NL"/>
        </w:rPr>
      </w:pPr>
      <w:r w:rsidRPr="006234AA">
        <w:rPr>
          <w:lang w:val="nl-NL"/>
        </w:rPr>
        <w:t>6. Điện thoại liên lạc: ...</w:t>
      </w:r>
    </w:p>
    <w:p w:rsidR="00735649" w:rsidRPr="006234AA" w:rsidRDefault="00735649" w:rsidP="003C0546">
      <w:pPr>
        <w:spacing w:after="120"/>
        <w:ind w:firstLine="0"/>
        <w:rPr>
          <w:b/>
          <w:lang w:val="nl-NL"/>
        </w:rPr>
      </w:pPr>
      <w:r w:rsidRPr="006234AA">
        <w:rPr>
          <w:b/>
          <w:lang w:val="nl-NL"/>
        </w:rPr>
        <w:t>V. Thông tin về người ủy quyền giao dịch (nếu có):</w:t>
      </w:r>
    </w:p>
    <w:p w:rsidR="00735649" w:rsidRPr="006234AA" w:rsidRDefault="00735649" w:rsidP="003C0546">
      <w:pPr>
        <w:spacing w:after="120"/>
        <w:rPr>
          <w:lang w:val="nl-NL"/>
        </w:rPr>
      </w:pPr>
      <w:r w:rsidRPr="006234AA">
        <w:rPr>
          <w:lang w:val="nl-NL"/>
        </w:rPr>
        <w:t>1. Họ và tên: ...</w:t>
      </w:r>
    </w:p>
    <w:p w:rsidR="00735649" w:rsidRPr="006234AA" w:rsidRDefault="00735649" w:rsidP="003C0546">
      <w:pPr>
        <w:spacing w:after="120"/>
        <w:rPr>
          <w:lang w:val="nl-NL"/>
        </w:rPr>
      </w:pPr>
      <w:r w:rsidRPr="006234AA">
        <w:rPr>
          <w:lang w:val="nl-NL"/>
        </w:rPr>
        <w:t>2. Ngày sinh: ngày ... tháng ... năm ...</w:t>
      </w:r>
      <w:r w:rsidRPr="006234AA">
        <w:rPr>
          <w:lang w:val="nl-NL"/>
        </w:rPr>
        <w:tab/>
      </w:r>
      <w:r w:rsidRPr="006234AA">
        <w:rPr>
          <w:lang w:val="nl-NL"/>
        </w:rPr>
        <w:tab/>
        <w:t>Giới tính: ...</w:t>
      </w:r>
    </w:p>
    <w:p w:rsidR="00735649" w:rsidRPr="006234AA" w:rsidRDefault="00735649" w:rsidP="003C0546">
      <w:pPr>
        <w:spacing w:after="120"/>
        <w:rPr>
          <w:lang w:val="nl-NL"/>
        </w:rPr>
      </w:pPr>
      <w:r w:rsidRPr="006234AA">
        <w:rPr>
          <w:lang w:val="nl-NL"/>
        </w:rPr>
        <w:t>3. Quốc tịch: ...</w:t>
      </w:r>
    </w:p>
    <w:p w:rsidR="00735649" w:rsidRPr="006234AA" w:rsidRDefault="00735649" w:rsidP="003C0546">
      <w:pPr>
        <w:spacing w:after="120"/>
        <w:rPr>
          <w:lang w:val="nl-NL"/>
        </w:rPr>
      </w:pPr>
      <w:r w:rsidRPr="006234AA">
        <w:rPr>
          <w:lang w:val="nl-NL"/>
        </w:rPr>
        <w:t>4. Số chứng minh nhân dân/hộ chiếu: ...; ngày cấp: ...; nơi cấp: ...</w:t>
      </w:r>
    </w:p>
    <w:p w:rsidR="00735649" w:rsidRPr="006234AA" w:rsidRDefault="00735649" w:rsidP="003C0546">
      <w:pPr>
        <w:spacing w:after="120"/>
        <w:rPr>
          <w:lang w:val="nl-NL"/>
        </w:rPr>
      </w:pPr>
      <w:r w:rsidRPr="006234AA">
        <w:rPr>
          <w:lang w:val="nl-NL"/>
        </w:rPr>
        <w:t>5. Mối quan hệ với khách hàng: ...</w:t>
      </w:r>
    </w:p>
    <w:p w:rsidR="00735649" w:rsidRPr="006234AA" w:rsidRDefault="00735649" w:rsidP="003C0546">
      <w:pPr>
        <w:spacing w:after="120"/>
        <w:rPr>
          <w:lang w:val="nl-NL"/>
        </w:rPr>
      </w:pPr>
      <w:r w:rsidRPr="006234AA">
        <w:rPr>
          <w:lang w:val="nl-NL"/>
        </w:rPr>
        <w:t>6. Điện thoại liên lạc: ...</w:t>
      </w:r>
    </w:p>
    <w:p w:rsidR="00735649" w:rsidRPr="006234AA" w:rsidRDefault="00735649" w:rsidP="003C0546">
      <w:pPr>
        <w:spacing w:after="120"/>
        <w:rPr>
          <w:lang w:val="nl-NL"/>
        </w:rPr>
      </w:pPr>
      <w:r w:rsidRPr="006234AA">
        <w:rPr>
          <w:lang w:val="nl-NL"/>
        </w:rPr>
        <w:t>7. Giấy tờ kèm theo (liệt kê chi tiết)</w:t>
      </w:r>
    </w:p>
    <w:p w:rsidR="00735649" w:rsidRPr="006234AA" w:rsidRDefault="00735649" w:rsidP="003C0546">
      <w:pPr>
        <w:spacing w:after="120"/>
        <w:ind w:firstLine="0"/>
        <w:rPr>
          <w:b/>
          <w:lang w:val="nl-NL"/>
        </w:rPr>
      </w:pPr>
      <w:r w:rsidRPr="006234AA">
        <w:rPr>
          <w:b/>
          <w:lang w:val="nl-NL"/>
        </w:rPr>
        <w:t>VI. Thông tin về người tư vấn mở tài khoản và giao dịch chứng khoán phái sinh:</w:t>
      </w:r>
    </w:p>
    <w:p w:rsidR="00735649" w:rsidRPr="006234AA" w:rsidRDefault="00735649" w:rsidP="003C0546">
      <w:pPr>
        <w:spacing w:after="120"/>
        <w:rPr>
          <w:lang w:val="nl-NL"/>
        </w:rPr>
      </w:pPr>
      <w:r w:rsidRPr="006234AA">
        <w:rPr>
          <w:lang w:val="nl-NL"/>
        </w:rPr>
        <w:t>1. Họ và tên: ...</w:t>
      </w:r>
    </w:p>
    <w:p w:rsidR="00735649" w:rsidRPr="006234AA" w:rsidRDefault="00735649" w:rsidP="003C0546">
      <w:pPr>
        <w:spacing w:after="120"/>
        <w:rPr>
          <w:lang w:val="nl-NL"/>
        </w:rPr>
      </w:pPr>
      <w:r w:rsidRPr="006234AA">
        <w:rPr>
          <w:lang w:val="nl-NL"/>
        </w:rPr>
        <w:t>2. Số chứng chỉ hành nghề: ...; loại: ...</w:t>
      </w:r>
    </w:p>
    <w:p w:rsidR="00C13042" w:rsidRPr="006234AA" w:rsidRDefault="00735649" w:rsidP="003C0546">
      <w:pPr>
        <w:spacing w:after="120"/>
        <w:ind w:firstLine="0"/>
        <w:jc w:val="left"/>
        <w:rPr>
          <w:lang w:val="nl-NL"/>
        </w:rPr>
      </w:pPr>
      <w:r w:rsidRPr="006234AA">
        <w:rPr>
          <w:lang w:val="nl-NL"/>
        </w:rPr>
        <w:t xml:space="preserve">3. Quan hệ giữa người tư vấn và khách hàng: ... </w:t>
      </w:r>
      <w:r w:rsidR="00C13042" w:rsidRPr="006234AA">
        <w:rPr>
          <w:lang w:val="nl-NL"/>
        </w:rPr>
        <w:br w:type="page"/>
      </w:r>
    </w:p>
    <w:p w:rsidR="00C13042" w:rsidRPr="006234AA" w:rsidRDefault="00C13042" w:rsidP="003C0546">
      <w:pPr>
        <w:pStyle w:val="Heading5"/>
        <w:spacing w:after="120"/>
        <w:ind w:left="1560" w:hanging="1702"/>
      </w:pPr>
      <w:bookmarkStart w:id="275" w:name="_Toc422672042"/>
      <w:r w:rsidRPr="006234AA">
        <w:lastRenderedPageBreak/>
        <w:t xml:space="preserve">Báo cáo tình hình hoạt động hàng tháng của </w:t>
      </w:r>
      <w:r w:rsidR="008573AD" w:rsidRPr="006234AA">
        <w:t>Trung tâm lưu ký chứng khoán</w:t>
      </w:r>
      <w:bookmarkEnd w:id="275"/>
    </w:p>
    <w:p w:rsidR="00FE091E" w:rsidRPr="006234AA" w:rsidRDefault="00FE091E"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FE091E" w:rsidRPr="006234AA" w:rsidRDefault="00FE091E" w:rsidP="003C0546">
      <w:pPr>
        <w:spacing w:after="120"/>
        <w:ind w:firstLine="0"/>
        <w:jc w:val="center"/>
        <w:rPr>
          <w:b/>
          <w:bCs/>
          <w:i/>
          <w:iCs/>
          <w:lang w:val="nl-NL"/>
        </w:rPr>
      </w:pPr>
    </w:p>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670"/>
      </w:tblGrid>
      <w:tr w:rsidR="00FE091E" w:rsidRPr="006234AA" w:rsidTr="00D60CD2">
        <w:tc>
          <w:tcPr>
            <w:tcW w:w="5104" w:type="dxa"/>
          </w:tcPr>
          <w:p w:rsidR="00FE091E" w:rsidRPr="006234AA" w:rsidRDefault="00FE091E" w:rsidP="003C0546">
            <w:pPr>
              <w:spacing w:after="120"/>
              <w:ind w:firstLine="0"/>
              <w:jc w:val="center"/>
              <w:rPr>
                <w:b/>
                <w:sz w:val="26"/>
                <w:szCs w:val="26"/>
                <w:lang w:val="nl-NL"/>
              </w:rPr>
            </w:pPr>
            <w:r w:rsidRPr="006234AA">
              <w:rPr>
                <w:b/>
                <w:sz w:val="26"/>
                <w:szCs w:val="26"/>
                <w:lang w:val="nl-NL"/>
              </w:rPr>
              <w:t>TRUNG TÂM LƯU KÝ CHỨNG KHOÁN</w:t>
            </w:r>
          </w:p>
          <w:p w:rsidR="00FE091E" w:rsidRPr="006234AA" w:rsidRDefault="007965E6" w:rsidP="003C0546">
            <w:pPr>
              <w:spacing w:after="120"/>
              <w:ind w:firstLine="0"/>
              <w:jc w:val="center"/>
              <w:rPr>
                <w:b/>
                <w:sz w:val="26"/>
                <w:szCs w:val="26"/>
                <w:lang w:val="nl-NL"/>
              </w:rPr>
            </w:pPr>
            <w:r w:rsidRPr="007965E6">
              <w:rPr>
                <w:i/>
                <w:noProof/>
              </w:rPr>
              <w:pict>
                <v:shape id="AutoShape 20" o:spid="_x0000_s1028" type="#_x0000_t32" style="position:absolute;left:0;text-align:left;margin-left:60.4pt;margin-top:-.15pt;width:122.05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SHwIAADw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zTUZ9S2ALNKbo3PkB7lq35W9LtFUlUdkS0P1m8nDc6Jr2j0zsVfrIYou/GLYmBDIEAo&#10;1rExg4eEMqBj6Mnp1hN+dIjCY5LncfyQY0SvuogUV0dtrPvM1YC8UGLrDBFt5yolJXRemSSEIYdn&#10;6zwtUlwdfFSpNqLvwwD0Eo0lXuRpHhys6gXzSm9mTbureoMOxI9Q+EKOoLk3M2ovWQDrOGHri+yI&#10;6M8yBO+lx4PEgM5FOs/Ij0W8WM/X82ySpbP1JIvrevK0qbLJbJN8yuuHuqrq5KenlmRFJxjj0rO7&#10;zmuS/d08XDbnPGm3ib2VIXqPHuoFZK//QDp01jfTL5gtdoqdtubacRjRYHxZJ78D93eQ75d+9QsA&#10;AP//AwBQSwMEFAAGAAgAAAAhAJVbskrbAAAABwEAAA8AAABkcnMvZG93bnJldi54bWxMjsFuwjAQ&#10;RO+V+g/WIvVSgU1oUUnjIFSphx4LSL2aeJukxOsodkjK13fhUo5PM5p52Xp0jThhF2pPGuYzBQKp&#10;8LamUsN+9z59ARGiIWsaT6jhFwOs8/u7zKTWD/SJp20sBY9QSI2GKsY2lTIUFToTZr5F4uzbd85E&#10;xq6UtjMDj7tGJkotpTM18UNlWnyrsDhue6cBQ/88V5uVK/cf5+HxKzn/DO1O64fJuHkFEXGM/2W4&#10;6LM65Ox08D3ZIBrmRLF61DBdgOB8sXxagThcWeaZvPXP/wAAAP//AwBQSwECLQAUAAYACAAAACEA&#10;toM4kv4AAADhAQAAEwAAAAAAAAAAAAAAAAAAAAAAW0NvbnRlbnRfVHlwZXNdLnhtbFBLAQItABQA&#10;BgAIAAAAIQA4/SH/1gAAAJQBAAALAAAAAAAAAAAAAAAAAC8BAABfcmVscy8ucmVsc1BLAQItABQA&#10;BgAIAAAAIQB+znWSHwIAADwEAAAOAAAAAAAAAAAAAAAAAC4CAABkcnMvZTJvRG9jLnhtbFBLAQIt&#10;ABQABgAIAAAAIQCVW7JK2wAAAAcBAAAPAAAAAAAAAAAAAAAAAHkEAABkcnMvZG93bnJldi54bWxQ&#10;SwUGAAAAAAQABADzAAAAgQUAAAAA&#10;"/>
              </w:pict>
            </w:r>
            <w:r w:rsidR="00FE091E" w:rsidRPr="006234AA">
              <w:rPr>
                <w:b/>
                <w:sz w:val="26"/>
                <w:szCs w:val="26"/>
                <w:lang w:val="nl-NL"/>
              </w:rPr>
              <w:t>Số .../TTLKCK</w:t>
            </w:r>
          </w:p>
        </w:tc>
        <w:tc>
          <w:tcPr>
            <w:tcW w:w="5670" w:type="dxa"/>
          </w:tcPr>
          <w:p w:rsidR="00FE091E" w:rsidRPr="006234AA" w:rsidRDefault="00FE091E" w:rsidP="003C0546">
            <w:pPr>
              <w:spacing w:after="120"/>
              <w:ind w:firstLine="0"/>
              <w:jc w:val="center"/>
              <w:rPr>
                <w:b/>
                <w:sz w:val="26"/>
                <w:szCs w:val="26"/>
                <w:lang w:val="nl-NL"/>
              </w:rPr>
            </w:pPr>
            <w:r w:rsidRPr="006234AA">
              <w:rPr>
                <w:b/>
                <w:sz w:val="26"/>
                <w:szCs w:val="26"/>
                <w:lang w:val="nl-NL"/>
              </w:rPr>
              <w:t>CỘNG HÒA XÃ HỘI CHỦ NGHĨA VIỆT NAM</w:t>
            </w:r>
          </w:p>
          <w:p w:rsidR="00FE091E" w:rsidRPr="006234AA" w:rsidRDefault="00FE091E" w:rsidP="003C0546">
            <w:pPr>
              <w:spacing w:after="120"/>
              <w:ind w:firstLine="0"/>
              <w:jc w:val="center"/>
              <w:rPr>
                <w:b/>
                <w:lang w:val="nl-NL"/>
              </w:rPr>
            </w:pPr>
            <w:r w:rsidRPr="006234AA">
              <w:rPr>
                <w:b/>
                <w:lang w:val="nl-NL"/>
              </w:rPr>
              <w:t>Độc lập - Tự do - Hạnh phúc</w:t>
            </w:r>
          </w:p>
        </w:tc>
      </w:tr>
      <w:tr w:rsidR="00FE091E" w:rsidRPr="006234AA" w:rsidTr="00D60CD2">
        <w:tc>
          <w:tcPr>
            <w:tcW w:w="5104" w:type="dxa"/>
          </w:tcPr>
          <w:p w:rsidR="00FE091E" w:rsidRPr="006234AA" w:rsidRDefault="00FE091E" w:rsidP="003C0546">
            <w:pPr>
              <w:spacing w:after="120"/>
              <w:ind w:firstLine="0"/>
              <w:jc w:val="center"/>
              <w:rPr>
                <w:i/>
                <w:lang w:val="nl-NL"/>
              </w:rPr>
            </w:pPr>
          </w:p>
        </w:tc>
        <w:tc>
          <w:tcPr>
            <w:tcW w:w="5670" w:type="dxa"/>
          </w:tcPr>
          <w:p w:rsidR="00FE091E" w:rsidRPr="006234AA" w:rsidRDefault="007965E6" w:rsidP="003C0546">
            <w:pPr>
              <w:spacing w:after="120"/>
              <w:ind w:firstLine="0"/>
              <w:jc w:val="right"/>
              <w:rPr>
                <w:i/>
                <w:lang w:val="nl-NL"/>
              </w:rPr>
            </w:pPr>
            <w:r w:rsidRPr="007965E6">
              <w:rPr>
                <w:b/>
                <w:noProof/>
                <w:sz w:val="26"/>
                <w:szCs w:val="26"/>
              </w:rPr>
              <w:pict>
                <v:shape id="AutoShape 21" o:spid="_x0000_s1027" type="#_x0000_t32" style="position:absolute;left:0;text-align:left;margin-left:54pt;margin-top:3.7pt;width:166.4pt;height:0;z-index:25167769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ETHwIAADw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B1GivRA&#10;0dPe6xgZ5Vnoz2BcAWaV2tpQIT2qV/Os6VeHlK46oloerd9OBpyjR3LnEg7OQJTd8EkzsCEQIDbr&#10;2Ng+QEIb0DFycrpxwo8eUbjMs+whnwN19PqWkOLqaKzzH7nuUdiU2HlLRNv5SisFzGubxTDk8Ow8&#10;FAKOV4cQVemNkDIKQCo0lHgxzafRwWkpWHgMZs62u0padCBBQvELXQGwOzOr94pFsI4Ttr7sPRHy&#10;vAd7qQIeFAbpXHZnjXxbpIv1fD2fjCb5bD2apHU9etpUk9Fsk32Y1g91VdXZ95BaNik6wRhXIbur&#10;XrPJ3+nhMjlnpd0Ue2tDco8eS4Rkr/+YdGQ2kHmWxU6z09aGbgSSQaLR+DJOYQZ+PUern0O/+gEA&#10;AP//AwBQSwMEFAAGAAgAAAAhAFoN8avbAAAABwEAAA8AAABkcnMvZG93bnJldi54bWxMj0FPwkAQ&#10;he8m/ofNkHgxsgupCrVbQkw8eBRIvC7doa10Z5vullZ+vQMXOX55kzffy1aja8QJu1B70jCbKhBI&#10;hbc1lRp224+nBYgQDVnTeEINvxhgld/fZSa1fqAvPG1iKbiEQmo0VDG2qZShqNCZMPUtEmcH3zkT&#10;GbtS2s4MXO4aOVfqRTpTE3+oTIvvFRbHTe80YOifZ2q9dOXu8zw8fs/PP0O71fphMq7fQEQc4/8x&#10;XPRZHXJ22vuebBANs1rwlqjhNQHBeZIonrK/sswzeeuf/wEAAP//AwBQSwECLQAUAAYACAAAACEA&#10;toM4kv4AAADhAQAAEwAAAAAAAAAAAAAAAAAAAAAAW0NvbnRlbnRfVHlwZXNdLnhtbFBLAQItABQA&#10;BgAIAAAAIQA4/SH/1gAAAJQBAAALAAAAAAAAAAAAAAAAAC8BAABfcmVscy8ucmVsc1BLAQItABQA&#10;BgAIAAAAIQBjJSETHwIAADwEAAAOAAAAAAAAAAAAAAAAAC4CAABkcnMvZTJvRG9jLnhtbFBLAQIt&#10;ABQABgAIAAAAIQBaDfGr2wAAAAcBAAAPAAAAAAAAAAAAAAAAAHkEAABkcnMvZG93bnJldi54bWxQ&#10;SwUGAAAAAAQABADzAAAAgQUAAAAA&#10;"/>
              </w:pict>
            </w:r>
            <w:r w:rsidR="00FE091E" w:rsidRPr="006234AA">
              <w:rPr>
                <w:i/>
                <w:lang w:val="nl-NL"/>
              </w:rPr>
              <w:t>..., ngày ... tháng ... năm ...</w:t>
            </w:r>
          </w:p>
        </w:tc>
      </w:tr>
    </w:tbl>
    <w:p w:rsidR="00FE091E" w:rsidRPr="006234AA" w:rsidRDefault="00FE091E" w:rsidP="003C0546">
      <w:pPr>
        <w:spacing w:after="120"/>
        <w:jc w:val="center"/>
        <w:rPr>
          <w:b/>
          <w:lang w:val="nl-NL"/>
        </w:rPr>
      </w:pPr>
      <w:r w:rsidRPr="006234AA">
        <w:rPr>
          <w:b/>
          <w:lang w:val="nl-NL"/>
        </w:rPr>
        <w:t xml:space="preserve">BÁO CÁO TÌNH HÌNH HOẠT ĐỘNG </w:t>
      </w:r>
    </w:p>
    <w:p w:rsidR="00FE091E" w:rsidRPr="006234AA" w:rsidRDefault="00FE091E" w:rsidP="003C0546">
      <w:pPr>
        <w:spacing w:after="120"/>
        <w:jc w:val="center"/>
        <w:rPr>
          <w:b/>
          <w:lang w:val="nl-NL"/>
        </w:rPr>
      </w:pPr>
      <w:r w:rsidRPr="006234AA">
        <w:rPr>
          <w:b/>
          <w:lang w:val="nl-NL"/>
        </w:rPr>
        <w:t>CHỨNG KHOÁN PHÁI SINH</w:t>
      </w:r>
    </w:p>
    <w:p w:rsidR="00FE091E" w:rsidRPr="006234AA" w:rsidRDefault="00FE091E" w:rsidP="003C0546">
      <w:pPr>
        <w:spacing w:after="120"/>
        <w:jc w:val="center"/>
        <w:rPr>
          <w:i/>
          <w:lang w:val="nl-NL"/>
        </w:rPr>
      </w:pPr>
      <w:r w:rsidRPr="006234AA">
        <w:rPr>
          <w:i/>
          <w:lang w:val="nl-NL"/>
        </w:rPr>
        <w:t>Tháng ... năm ...</w:t>
      </w:r>
    </w:p>
    <w:p w:rsidR="00735649" w:rsidRPr="006234AA" w:rsidRDefault="00735649" w:rsidP="003C0546">
      <w:pPr>
        <w:spacing w:after="120"/>
        <w:rPr>
          <w:b/>
          <w:lang w:val="nl-NL"/>
        </w:rPr>
      </w:pPr>
      <w:r w:rsidRPr="006234AA">
        <w:rPr>
          <w:b/>
          <w:lang w:val="nl-NL"/>
        </w:rPr>
        <w:t>I. Nội dung báo cáo</w:t>
      </w:r>
    </w:p>
    <w:p w:rsidR="00735649" w:rsidRPr="006234AA" w:rsidRDefault="00735649" w:rsidP="003C0546">
      <w:pPr>
        <w:spacing w:after="120"/>
        <w:rPr>
          <w:i/>
          <w:lang w:val="nl-NL"/>
        </w:rPr>
      </w:pPr>
      <w:r w:rsidRPr="006234AA">
        <w:rPr>
          <w:i/>
          <w:lang w:val="nl-NL"/>
        </w:rPr>
        <w:t xml:space="preserve">1. Báo cáo tình hình </w:t>
      </w:r>
      <w:r w:rsidR="00FC4C85" w:rsidRPr="006234AA">
        <w:rPr>
          <w:i/>
          <w:lang w:val="nl-NL"/>
        </w:rPr>
        <w:t>ký quỹ</w:t>
      </w:r>
    </w:p>
    <w:p w:rsidR="00735649" w:rsidRPr="006234AA" w:rsidRDefault="00735649" w:rsidP="003C0546">
      <w:pPr>
        <w:spacing w:after="120"/>
        <w:rPr>
          <w:lang w:val="nl-NL"/>
        </w:rPr>
      </w:pPr>
      <w:r w:rsidRPr="006234AA">
        <w:rPr>
          <w:lang w:val="nl-NL"/>
        </w:rPr>
        <w:t>a) Tổng ký quỹ theo yêu cầu</w:t>
      </w:r>
    </w:p>
    <w:p w:rsidR="00735649" w:rsidRPr="006234AA" w:rsidRDefault="00735649" w:rsidP="003C0546">
      <w:pPr>
        <w:spacing w:after="120"/>
        <w:rPr>
          <w:lang w:val="nl-NL"/>
        </w:rPr>
      </w:pPr>
      <w:r w:rsidRPr="006234AA">
        <w:rPr>
          <w:lang w:val="nl-NL"/>
        </w:rPr>
        <w:t>b) Tổng số dư ký quỹ thực tế</w:t>
      </w:r>
    </w:p>
    <w:p w:rsidR="00735649" w:rsidRPr="006234AA" w:rsidRDefault="00735649" w:rsidP="003C0546">
      <w:pPr>
        <w:spacing w:after="120"/>
        <w:rPr>
          <w:lang w:val="nl-NL"/>
        </w:rPr>
      </w:pPr>
      <w:r w:rsidRPr="006234AA">
        <w:rPr>
          <w:lang w:val="nl-NL"/>
        </w:rPr>
        <w:t>c) Mức thặng dư/thâm hụt ký quỹ</w:t>
      </w:r>
    </w:p>
    <w:p w:rsidR="00735649" w:rsidRPr="006234AA" w:rsidRDefault="00735649" w:rsidP="003C0546">
      <w:pPr>
        <w:spacing w:after="120"/>
        <w:rPr>
          <w:lang w:val="nl-NL"/>
        </w:rPr>
      </w:pPr>
      <w:r w:rsidRPr="006234AA">
        <w:rPr>
          <w:lang w:val="nl-NL"/>
        </w:rPr>
        <w:t>d) Danh sách thành viên chậm nộp ký quỹ</w:t>
      </w:r>
    </w:p>
    <w:p w:rsidR="00735649" w:rsidRPr="006234AA" w:rsidRDefault="00735649" w:rsidP="003C0546">
      <w:pPr>
        <w:spacing w:after="120"/>
        <w:rPr>
          <w:i/>
          <w:lang w:val="nl-NL"/>
        </w:rPr>
      </w:pPr>
      <w:r w:rsidRPr="006234AA">
        <w:rPr>
          <w:i/>
          <w:lang w:val="nl-NL"/>
        </w:rPr>
        <w:t>2. Báo cáo tình hình sửa lỗi, hủy giao dịch CKPS</w:t>
      </w:r>
    </w:p>
    <w:p w:rsidR="00735649" w:rsidRPr="006234AA" w:rsidRDefault="00735649" w:rsidP="003C0546">
      <w:pPr>
        <w:spacing w:after="120"/>
        <w:rPr>
          <w:i/>
          <w:lang w:val="nl-NL"/>
        </w:rPr>
      </w:pPr>
      <w:r w:rsidRPr="006234AA">
        <w:rPr>
          <w:i/>
          <w:lang w:val="nl-NL"/>
        </w:rPr>
        <w:t>3. Dữ liệu về thông tin và danh tính tài khoản giao dịch chứng khoán phái sinh của NĐT</w:t>
      </w:r>
    </w:p>
    <w:p w:rsidR="00735649" w:rsidRPr="006234AA" w:rsidRDefault="00735649" w:rsidP="003C0546">
      <w:pPr>
        <w:spacing w:after="120"/>
        <w:rPr>
          <w:lang w:val="nl-NL"/>
        </w:rPr>
      </w:pPr>
      <w:r w:rsidRPr="006234AA">
        <w:rPr>
          <w:lang w:val="nl-NL"/>
        </w:rPr>
        <w:t xml:space="preserve">a) Thông tin và danh tính NĐT mở tài khoản </w:t>
      </w:r>
    </w:p>
    <w:p w:rsidR="00735649" w:rsidRPr="006234AA" w:rsidRDefault="00735649" w:rsidP="003C0546">
      <w:pPr>
        <w:spacing w:after="120"/>
        <w:rPr>
          <w:lang w:val="nl-NL"/>
        </w:rPr>
      </w:pPr>
      <w:r w:rsidRPr="006234AA">
        <w:rPr>
          <w:lang w:val="nl-NL"/>
        </w:rPr>
        <w:t xml:space="preserve">b) Thông tin và danh tính NĐT đóng tài khoản </w:t>
      </w:r>
    </w:p>
    <w:p w:rsidR="00735649" w:rsidRPr="006234AA" w:rsidRDefault="00735649" w:rsidP="003C0546">
      <w:pPr>
        <w:spacing w:after="120"/>
        <w:rPr>
          <w:lang w:val="nl-NL"/>
        </w:rPr>
      </w:pPr>
      <w:r w:rsidRPr="006234AA">
        <w:rPr>
          <w:lang w:val="nl-NL"/>
        </w:rPr>
        <w:t>c) Thông tin và danh tính NĐT thay đổi thông tin tài khoản</w:t>
      </w:r>
    </w:p>
    <w:p w:rsidR="00735649" w:rsidRPr="006234AA" w:rsidRDefault="00735649" w:rsidP="003C0546">
      <w:pPr>
        <w:spacing w:after="120"/>
        <w:rPr>
          <w:i/>
          <w:lang w:val="nl-NL"/>
        </w:rPr>
      </w:pPr>
      <w:r w:rsidRPr="006234AA">
        <w:rPr>
          <w:i/>
          <w:lang w:val="nl-NL"/>
        </w:rPr>
        <w:t>4. Báo cáo tình hình thanh toán, bù trừ chứng khoán phái sinh</w:t>
      </w:r>
    </w:p>
    <w:p w:rsidR="00735649" w:rsidRPr="006234AA" w:rsidRDefault="00735649" w:rsidP="003C0546">
      <w:pPr>
        <w:spacing w:after="120"/>
        <w:rPr>
          <w:lang w:val="nl-NL"/>
        </w:rPr>
      </w:pPr>
      <w:r w:rsidRPr="006234AA">
        <w:rPr>
          <w:lang w:val="nl-NL"/>
        </w:rPr>
        <w:t>a) Thanh toán bằng tiền</w:t>
      </w:r>
    </w:p>
    <w:p w:rsidR="00735649" w:rsidRPr="006234AA" w:rsidRDefault="00735649" w:rsidP="003C0546">
      <w:pPr>
        <w:spacing w:after="120"/>
        <w:rPr>
          <w:lang w:val="nl-NL"/>
        </w:rPr>
      </w:pPr>
      <w:r w:rsidRPr="006234AA">
        <w:rPr>
          <w:lang w:val="nl-NL"/>
        </w:rPr>
        <w:t>b) Chuyển giao vật chất</w:t>
      </w:r>
    </w:p>
    <w:p w:rsidR="00735649" w:rsidRPr="006234AA" w:rsidRDefault="00735649" w:rsidP="003C0546">
      <w:pPr>
        <w:spacing w:after="120"/>
        <w:rPr>
          <w:lang w:val="nl-NL"/>
        </w:rPr>
      </w:pPr>
      <w:r w:rsidRPr="006234AA">
        <w:rPr>
          <w:lang w:val="nl-NL"/>
        </w:rPr>
        <w:t>c) Danh sách NĐT không thực hiện nghĩa vụ thanh toán theo hợp đồng</w:t>
      </w:r>
    </w:p>
    <w:p w:rsidR="00735649" w:rsidRPr="006234AA" w:rsidRDefault="00735649" w:rsidP="003C0546">
      <w:pPr>
        <w:spacing w:after="120"/>
        <w:rPr>
          <w:b/>
          <w:lang w:val="nl-NL"/>
        </w:rPr>
      </w:pPr>
      <w:r w:rsidRPr="006234AA">
        <w:rPr>
          <w:b/>
          <w:lang w:val="nl-NL"/>
        </w:rPr>
        <w:t>II. Kiến nghị</w:t>
      </w:r>
    </w:p>
    <w:p w:rsidR="00735649" w:rsidRPr="006234AA" w:rsidRDefault="00735649" w:rsidP="003C0546">
      <w:pPr>
        <w:spacing w:after="120"/>
        <w:rPr>
          <w:i/>
          <w:lang w:val="nl-NL"/>
        </w:rPr>
      </w:pPr>
      <w:r w:rsidRPr="006234AA">
        <w:rPr>
          <w:i/>
          <w:lang w:val="nl-NL"/>
        </w:rPr>
        <w:t>1. Về chính sách chế độ</w:t>
      </w:r>
    </w:p>
    <w:p w:rsidR="00735649" w:rsidRPr="006234AA" w:rsidRDefault="00735649" w:rsidP="003C0546">
      <w:pPr>
        <w:spacing w:after="120"/>
        <w:rPr>
          <w:i/>
          <w:lang w:val="nl-NL"/>
        </w:rPr>
      </w:pPr>
      <w:r w:rsidRPr="006234AA">
        <w:rPr>
          <w:i/>
          <w:lang w:val="nl-NL"/>
        </w:rPr>
        <w:t>2. Kiến nghị khác (nếu có)</w:t>
      </w:r>
    </w:p>
    <w:p w:rsidR="00735649" w:rsidRPr="006234AA" w:rsidRDefault="00735649" w:rsidP="003C0546">
      <w:pPr>
        <w:spacing w:after="120"/>
        <w:jc w:val="right"/>
        <w:rPr>
          <w:lang w:val="nl-NL"/>
        </w:rPr>
      </w:pPr>
      <w:r w:rsidRPr="006234AA">
        <w:rPr>
          <w:lang w:val="nl-NL"/>
        </w:rPr>
        <w:t>TỔNG GIÁM ĐỐC</w:t>
      </w:r>
    </w:p>
    <w:p w:rsidR="00735649" w:rsidRPr="006234AA" w:rsidRDefault="00735649" w:rsidP="003C0546">
      <w:pPr>
        <w:spacing w:after="120"/>
        <w:ind w:firstLine="0"/>
        <w:jc w:val="center"/>
        <w:rPr>
          <w:lang w:val="nl-NL"/>
        </w:rPr>
      </w:pPr>
      <w:r w:rsidRPr="006234AA">
        <w:rPr>
          <w:i/>
          <w:iCs/>
          <w:lang w:val="nl-NL"/>
        </w:rPr>
        <w:t xml:space="preserve"> </w:t>
      </w:r>
    </w:p>
    <w:p w:rsidR="00735649" w:rsidRPr="006234AA" w:rsidRDefault="00735649" w:rsidP="003C0546">
      <w:pPr>
        <w:pStyle w:val="Heading5"/>
        <w:spacing w:after="120"/>
        <w:ind w:left="2694" w:right="-285" w:hanging="3620"/>
      </w:pPr>
      <w:bookmarkStart w:id="276" w:name="_Toc395190318"/>
      <w:bookmarkStart w:id="277" w:name="_Toc422672043"/>
      <w:r w:rsidRPr="006234AA">
        <w:lastRenderedPageBreak/>
        <w:t>Cách xác định khối lượng hợp đồng tương lai trong phòng ngừa rủi ro</w:t>
      </w:r>
      <w:bookmarkEnd w:id="276"/>
      <w:bookmarkEnd w:id="277"/>
      <w:r w:rsidRPr="006234AA">
        <w:t xml:space="preserve"> </w:t>
      </w:r>
    </w:p>
    <w:p w:rsidR="00735649" w:rsidRPr="006234AA" w:rsidRDefault="00735649"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735649" w:rsidRPr="006234AA" w:rsidRDefault="00735649" w:rsidP="003C0546">
      <w:pPr>
        <w:spacing w:after="120"/>
        <w:ind w:firstLine="0"/>
        <w:rPr>
          <w:b/>
          <w:sz w:val="26"/>
          <w:szCs w:val="26"/>
          <w:lang w:val="nl-NL"/>
        </w:rPr>
      </w:pPr>
    </w:p>
    <w:p w:rsidR="00735649" w:rsidRPr="006234AA" w:rsidRDefault="00735649" w:rsidP="00D36937">
      <w:pPr>
        <w:pStyle w:val="ListParagraph"/>
        <w:numPr>
          <w:ilvl w:val="3"/>
          <w:numId w:val="51"/>
        </w:numPr>
        <w:spacing w:after="120"/>
        <w:ind w:left="426" w:hanging="426"/>
        <w:rPr>
          <w:sz w:val="26"/>
          <w:szCs w:val="26"/>
        </w:rPr>
      </w:pPr>
      <w:r w:rsidRPr="006234AA">
        <w:rPr>
          <w:sz w:val="26"/>
          <w:szCs w:val="26"/>
        </w:rPr>
        <w:t>Đối với danh mục cổ phiếu</w:t>
      </w:r>
    </w:p>
    <w:p w:rsidR="00735649" w:rsidRPr="006234AA" w:rsidRDefault="00735649" w:rsidP="003C0546">
      <w:pPr>
        <w:spacing w:after="120"/>
        <w:ind w:firstLine="0"/>
        <w:rPr>
          <w:sz w:val="26"/>
          <w:szCs w:val="26"/>
          <w:lang w:val="nl-NL"/>
        </w:rPr>
      </w:pPr>
      <w:r w:rsidRPr="006234AA">
        <w:rPr>
          <w:sz w:val="26"/>
          <w:szCs w:val="26"/>
          <w:lang w:val="nl-NL"/>
        </w:rPr>
        <w:t>Vị thế hợp đồng tương lai nắm giữ với mục đích phòng ngừa rủi ro cho một danh mục đầu tư cổ phiếu được xác định theo công thức:</w:t>
      </w:r>
    </w:p>
    <w:p w:rsidR="00735649" w:rsidRPr="006234AA" w:rsidRDefault="007965E6" w:rsidP="003C0546">
      <w:pPr>
        <w:spacing w:after="120"/>
        <w:ind w:firstLine="0"/>
        <w:rPr>
          <w:sz w:val="26"/>
          <w:szCs w:val="26"/>
          <w:lang w:val="nl-NL"/>
        </w:rPr>
      </w:pPr>
      <m:oMathPara>
        <m:oMath>
          <m:sSub>
            <m:sSubPr>
              <m:ctrlPr>
                <w:rPr>
                  <w:rFonts w:ascii="Cambria Math" w:hAnsi="Cambria Math"/>
                  <w:i/>
                  <w:sz w:val="26"/>
                  <w:szCs w:val="26"/>
                  <w:lang w:val="nl-NL"/>
                </w:rPr>
              </m:ctrlPr>
            </m:sSubPr>
            <m:e>
              <m:r>
                <w:rPr>
                  <w:rFonts w:ascii="Cambria Math" w:hAnsi="Cambria Math"/>
                  <w:sz w:val="26"/>
                  <w:szCs w:val="26"/>
                  <w:lang w:val="nl-NL"/>
                </w:rPr>
                <m:t>N</m:t>
              </m:r>
            </m:e>
            <m:sub>
              <m:r>
                <w:rPr>
                  <w:rFonts w:ascii="Cambria Math" w:hAnsi="Cambria Math"/>
                  <w:sz w:val="26"/>
                  <w:szCs w:val="26"/>
                  <w:lang w:val="nl-NL"/>
                </w:rPr>
                <m:t>F</m:t>
              </m:r>
            </m:sub>
          </m:sSub>
          <m:r>
            <w:rPr>
              <w:rFonts w:ascii="Cambria Math" w:hAnsi="Cambria Math"/>
              <w:sz w:val="26"/>
              <w:szCs w:val="26"/>
              <w:lang w:val="nl-NL"/>
            </w:rPr>
            <m:t xml:space="preserve">=-HR × </m:t>
          </m:r>
          <m:f>
            <m:fPr>
              <m:ctrlPr>
                <w:rPr>
                  <w:rFonts w:ascii="Cambria Math" w:hAnsi="Cambria Math"/>
                  <w:i/>
                  <w:sz w:val="26"/>
                  <w:szCs w:val="26"/>
                  <w:lang w:val="nl-NL"/>
                </w:rPr>
              </m:ctrlPr>
            </m:fPr>
            <m:num>
              <m:sSub>
                <m:sSubPr>
                  <m:ctrlPr>
                    <w:rPr>
                      <w:rFonts w:ascii="Cambria Math" w:hAnsi="Cambria Math"/>
                      <w:i/>
                      <w:sz w:val="26"/>
                      <w:szCs w:val="26"/>
                      <w:lang w:val="nl-NL"/>
                    </w:rPr>
                  </m:ctrlPr>
                </m:sSubPr>
                <m:e>
                  <m:r>
                    <w:rPr>
                      <w:rFonts w:ascii="Cambria Math" w:hAnsi="Cambria Math"/>
                      <w:sz w:val="26"/>
                      <w:szCs w:val="26"/>
                      <w:lang w:val="nl-NL"/>
                    </w:rPr>
                    <m:t>N</m:t>
                  </m:r>
                </m:e>
                <m:sub>
                  <m:r>
                    <w:rPr>
                      <w:rFonts w:ascii="Cambria Math" w:hAnsi="Cambria Math"/>
                      <w:sz w:val="26"/>
                      <w:szCs w:val="26"/>
                      <w:lang w:val="nl-NL"/>
                    </w:rPr>
                    <m:t>S</m:t>
                  </m:r>
                </m:sub>
              </m:sSub>
            </m:num>
            <m:den>
              <m:r>
                <w:rPr>
                  <w:rFonts w:ascii="Cambria Math" w:hAnsi="Cambria Math"/>
                  <w:sz w:val="26"/>
                  <w:szCs w:val="26"/>
                  <w:lang w:val="nl-NL"/>
                </w:rPr>
                <m:t>k</m:t>
              </m:r>
            </m:den>
          </m:f>
        </m:oMath>
      </m:oMathPara>
    </w:p>
    <w:p w:rsidR="00735649" w:rsidRPr="006234AA" w:rsidRDefault="00735649" w:rsidP="003C0546">
      <w:pPr>
        <w:spacing w:after="120"/>
        <w:ind w:firstLine="0"/>
        <w:rPr>
          <w:i/>
          <w:sz w:val="26"/>
          <w:szCs w:val="26"/>
          <w:lang w:val="nl-NL"/>
        </w:rPr>
      </w:pPr>
      <w:r w:rsidRPr="006234AA">
        <w:rPr>
          <w:i/>
          <w:sz w:val="26"/>
          <w:szCs w:val="26"/>
          <w:lang w:val="nl-NL"/>
        </w:rPr>
        <w:t xml:space="preserve">Trong đó: </w:t>
      </w:r>
    </w:p>
    <w:p w:rsidR="00735649" w:rsidRPr="006234AA" w:rsidRDefault="00735649" w:rsidP="003C0546">
      <w:pPr>
        <w:spacing w:after="120"/>
        <w:ind w:firstLine="0"/>
        <w:rPr>
          <w:sz w:val="26"/>
          <w:szCs w:val="26"/>
          <w:lang w:val="nl-NL"/>
        </w:rPr>
      </w:pPr>
      <w:r w:rsidRPr="006234AA">
        <w:rPr>
          <w:sz w:val="26"/>
          <w:szCs w:val="26"/>
          <w:lang w:val="nl-NL"/>
        </w:rPr>
        <w:t>N</w:t>
      </w:r>
      <w:r w:rsidRPr="006234AA">
        <w:rPr>
          <w:sz w:val="26"/>
          <w:szCs w:val="26"/>
          <w:vertAlign w:val="subscript"/>
          <w:lang w:val="nl-NL"/>
        </w:rPr>
        <w:t>F</w:t>
      </w:r>
      <w:r w:rsidRPr="006234AA">
        <w:rPr>
          <w:sz w:val="26"/>
          <w:szCs w:val="26"/>
          <w:lang w:val="nl-NL"/>
        </w:rPr>
        <w:t>: là số lượng hợp đồng tương lai chỉ số cổ phiếu nắm giữ để phòng ngừa rủi ro cho danh mục tài sản cơ sở</w:t>
      </w:r>
    </w:p>
    <w:p w:rsidR="00735649" w:rsidRPr="006234AA" w:rsidRDefault="00735649" w:rsidP="003C0546">
      <w:pPr>
        <w:spacing w:after="120"/>
        <w:ind w:firstLine="0"/>
        <w:rPr>
          <w:sz w:val="26"/>
          <w:szCs w:val="26"/>
          <w:lang w:val="nl-NL"/>
        </w:rPr>
      </w:pPr>
      <w:r w:rsidRPr="006234AA">
        <w:rPr>
          <w:sz w:val="26"/>
          <w:szCs w:val="26"/>
          <w:lang w:val="nl-NL"/>
        </w:rPr>
        <w:t>N</w:t>
      </w:r>
      <w:r w:rsidRPr="006234AA">
        <w:rPr>
          <w:sz w:val="26"/>
          <w:szCs w:val="26"/>
          <w:vertAlign w:val="subscript"/>
          <w:lang w:val="nl-NL"/>
        </w:rPr>
        <w:t>S</w:t>
      </w:r>
      <w:r w:rsidRPr="006234AA">
        <w:rPr>
          <w:sz w:val="26"/>
          <w:szCs w:val="26"/>
          <w:lang w:val="nl-NL"/>
        </w:rPr>
        <w:t xml:space="preserve">: là số lượng tài sản cơ sở </w:t>
      </w:r>
    </w:p>
    <w:p w:rsidR="00735649" w:rsidRPr="006234AA" w:rsidRDefault="00735649" w:rsidP="003C0546">
      <w:pPr>
        <w:spacing w:after="120"/>
        <w:ind w:firstLine="0"/>
        <w:rPr>
          <w:sz w:val="26"/>
          <w:szCs w:val="26"/>
          <w:lang w:val="nl-NL"/>
        </w:rPr>
      </w:pPr>
      <w:r w:rsidRPr="006234AA">
        <w:rPr>
          <w:sz w:val="26"/>
          <w:szCs w:val="26"/>
          <w:lang w:val="nl-NL"/>
        </w:rPr>
        <w:t>k: là quy mô (hay là hệ số nhân) của hợp đồng tương lai chỉ số cổ phiếu sử dụng.</w:t>
      </w:r>
    </w:p>
    <w:p w:rsidR="00735649" w:rsidRPr="006234AA" w:rsidRDefault="00735649" w:rsidP="003C0546">
      <w:pPr>
        <w:spacing w:after="120"/>
        <w:ind w:firstLine="0"/>
        <w:rPr>
          <w:sz w:val="26"/>
          <w:szCs w:val="26"/>
          <w:lang w:val="nl-NL"/>
        </w:rPr>
      </w:pPr>
      <w:r w:rsidRPr="006234AA">
        <w:rPr>
          <w:sz w:val="26"/>
          <w:szCs w:val="26"/>
          <w:lang w:val="nl-NL"/>
        </w:rPr>
        <w:t>HR: là hệ số phòng ngừa rủi ro, có thể được tính theo công thức sau:</w:t>
      </w:r>
    </w:p>
    <w:p w:rsidR="00735649" w:rsidRPr="006234AA" w:rsidRDefault="00735649" w:rsidP="003C0546">
      <w:pPr>
        <w:spacing w:after="120"/>
        <w:ind w:firstLine="0"/>
        <w:rPr>
          <w:sz w:val="26"/>
          <w:szCs w:val="26"/>
          <w:lang w:val="nl-NL"/>
        </w:rPr>
      </w:pPr>
      <m:oMathPara>
        <m:oMath>
          <m:r>
            <w:rPr>
              <w:rFonts w:ascii="Cambria Math" w:hAnsi="Cambria Math"/>
              <w:sz w:val="26"/>
              <w:szCs w:val="26"/>
              <w:lang w:val="nl-NL"/>
            </w:rPr>
            <m:t xml:space="preserve">HR=β × </m:t>
          </m:r>
          <m:f>
            <m:fPr>
              <m:ctrlPr>
                <w:rPr>
                  <w:rFonts w:ascii="Cambria Math" w:hAnsi="Cambria Math"/>
                  <w:i/>
                  <w:sz w:val="26"/>
                  <w:szCs w:val="26"/>
                  <w:lang w:val="nl-NL"/>
                </w:rPr>
              </m:ctrlPr>
            </m:fPr>
            <m:num>
              <m:sSub>
                <m:sSubPr>
                  <m:ctrlPr>
                    <w:rPr>
                      <w:rFonts w:ascii="Cambria Math" w:hAnsi="Cambria Math"/>
                      <w:i/>
                      <w:sz w:val="26"/>
                      <w:szCs w:val="26"/>
                      <w:lang w:val="nl-NL"/>
                    </w:rPr>
                  </m:ctrlPr>
                </m:sSubPr>
                <m:e>
                  <m:r>
                    <w:rPr>
                      <w:rFonts w:ascii="Cambria Math" w:hAnsi="Cambria Math"/>
                      <w:sz w:val="26"/>
                      <w:szCs w:val="26"/>
                      <w:lang w:val="nl-NL"/>
                    </w:rPr>
                    <m:t>S</m:t>
                  </m:r>
                </m:e>
                <m:sub>
                  <m:r>
                    <w:rPr>
                      <w:rFonts w:ascii="Cambria Math" w:hAnsi="Cambria Math"/>
                      <w:sz w:val="26"/>
                      <w:szCs w:val="26"/>
                      <w:lang w:val="nl-NL"/>
                    </w:rPr>
                    <m:t>t</m:t>
                  </m:r>
                </m:sub>
              </m:sSub>
            </m:num>
            <m:den>
              <m:sSub>
                <m:sSubPr>
                  <m:ctrlPr>
                    <w:rPr>
                      <w:rFonts w:ascii="Cambria Math" w:hAnsi="Cambria Math"/>
                      <w:i/>
                      <w:sz w:val="26"/>
                      <w:szCs w:val="26"/>
                      <w:lang w:val="nl-NL"/>
                    </w:rPr>
                  </m:ctrlPr>
                </m:sSubPr>
                <m:e>
                  <m:r>
                    <w:rPr>
                      <w:rFonts w:ascii="Cambria Math" w:hAnsi="Cambria Math"/>
                      <w:sz w:val="26"/>
                      <w:szCs w:val="26"/>
                      <w:lang w:val="nl-NL"/>
                    </w:rPr>
                    <m:t>F</m:t>
                  </m:r>
                </m:e>
                <m:sub>
                  <m:r>
                    <w:rPr>
                      <w:rFonts w:ascii="Cambria Math" w:hAnsi="Cambria Math"/>
                      <w:sz w:val="26"/>
                      <w:szCs w:val="26"/>
                      <w:lang w:val="nl-NL"/>
                    </w:rPr>
                    <m:t>t,T</m:t>
                  </m:r>
                </m:sub>
              </m:sSub>
            </m:den>
          </m:f>
        </m:oMath>
      </m:oMathPara>
    </w:p>
    <w:p w:rsidR="00735649" w:rsidRPr="006234AA" w:rsidRDefault="00735649" w:rsidP="003C0546">
      <w:pPr>
        <w:spacing w:after="120"/>
        <w:ind w:firstLine="0"/>
        <w:rPr>
          <w:i/>
          <w:sz w:val="26"/>
          <w:szCs w:val="26"/>
          <w:lang w:val="nl-NL"/>
        </w:rPr>
      </w:pPr>
      <w:r w:rsidRPr="006234AA">
        <w:rPr>
          <w:i/>
          <w:sz w:val="26"/>
          <w:szCs w:val="26"/>
          <w:lang w:val="nl-NL"/>
        </w:rPr>
        <w:t xml:space="preserve">Trong đó: </w:t>
      </w:r>
    </w:p>
    <w:p w:rsidR="00735649" w:rsidRPr="006234AA" w:rsidRDefault="00735649" w:rsidP="003C0546">
      <w:pPr>
        <w:spacing w:after="120"/>
        <w:ind w:firstLine="0"/>
        <w:rPr>
          <w:sz w:val="26"/>
          <w:szCs w:val="26"/>
          <w:lang w:val="nl-NL"/>
        </w:rPr>
      </w:pPr>
      <w:r w:rsidRPr="006234AA">
        <w:rPr>
          <w:sz w:val="26"/>
          <w:szCs w:val="26"/>
          <w:lang w:val="nl-NL"/>
        </w:rPr>
        <w:t>S</w:t>
      </w:r>
      <w:r w:rsidRPr="006234AA">
        <w:rPr>
          <w:sz w:val="26"/>
          <w:szCs w:val="26"/>
          <w:vertAlign w:val="subscript"/>
          <w:lang w:val="nl-NL"/>
        </w:rPr>
        <w:t>t</w:t>
      </w:r>
      <w:r w:rsidRPr="006234AA">
        <w:rPr>
          <w:sz w:val="26"/>
          <w:szCs w:val="26"/>
          <w:lang w:val="nl-NL"/>
        </w:rPr>
        <w:t>: là giá của danh mục tài sản cơ sở tại thời điểm t</w:t>
      </w:r>
    </w:p>
    <w:p w:rsidR="00735649" w:rsidRPr="006234AA" w:rsidRDefault="00735649" w:rsidP="003C0546">
      <w:pPr>
        <w:spacing w:after="120"/>
        <w:ind w:firstLine="0"/>
        <w:rPr>
          <w:sz w:val="26"/>
          <w:szCs w:val="26"/>
          <w:lang w:val="nl-NL"/>
        </w:rPr>
      </w:pPr>
      <w:r w:rsidRPr="006234AA">
        <w:rPr>
          <w:sz w:val="26"/>
          <w:szCs w:val="26"/>
          <w:lang w:val="nl-NL"/>
        </w:rPr>
        <w:t>F</w:t>
      </w:r>
      <w:r w:rsidRPr="006234AA">
        <w:rPr>
          <w:sz w:val="26"/>
          <w:szCs w:val="26"/>
          <w:vertAlign w:val="subscript"/>
          <w:lang w:val="nl-NL"/>
        </w:rPr>
        <w:t>t,T</w:t>
      </w:r>
      <w:r w:rsidRPr="006234AA">
        <w:rPr>
          <w:sz w:val="26"/>
          <w:szCs w:val="26"/>
          <w:lang w:val="nl-NL"/>
        </w:rPr>
        <w:t>: là giá tại thời điểm t của hợp đồng tương lai chỉ số cổ phiếu có thời gian đáo hạn T</w:t>
      </w:r>
    </w:p>
    <w:p w:rsidR="00735649" w:rsidRPr="006234AA" w:rsidRDefault="00735649" w:rsidP="003C0546">
      <w:pPr>
        <w:spacing w:after="120"/>
        <w:ind w:firstLine="0"/>
        <w:rPr>
          <w:sz w:val="24"/>
          <w:szCs w:val="26"/>
          <w:lang w:val="nl-NL"/>
        </w:rPr>
      </w:pPr>
      <m:oMathPara>
        <m:oMath>
          <m:r>
            <w:rPr>
              <w:rFonts w:ascii="Cambria Math" w:hAnsi="Cambria Math"/>
              <w:sz w:val="24"/>
              <w:szCs w:val="26"/>
              <w:lang w:val="nl-NL"/>
            </w:rPr>
            <m:t>β=</m:t>
          </m:r>
          <m:f>
            <m:fPr>
              <m:ctrlPr>
                <w:rPr>
                  <w:rFonts w:ascii="Cambria Math" w:hAnsi="Cambria Math"/>
                  <w:i/>
                  <w:sz w:val="24"/>
                  <w:szCs w:val="26"/>
                  <w:lang w:val="nl-NL"/>
                </w:rPr>
              </m:ctrlPr>
            </m:fPr>
            <m:num>
              <m:r>
                <w:rPr>
                  <w:rFonts w:ascii="Cambria Math" w:hAnsi="Cambria Math"/>
                  <w:sz w:val="24"/>
                  <w:szCs w:val="26"/>
                  <w:lang w:val="nl-NL"/>
                </w:rPr>
                <m:t>Cov(∆F%,∆S%)</m:t>
              </m:r>
            </m:num>
            <m:den>
              <m:r>
                <w:rPr>
                  <w:rFonts w:ascii="Cambria Math" w:hAnsi="Cambria Math"/>
                  <w:sz w:val="24"/>
                  <w:szCs w:val="26"/>
                  <w:lang w:val="nl-NL"/>
                </w:rPr>
                <m:t>Var(∆F%)</m:t>
              </m:r>
            </m:den>
          </m:f>
        </m:oMath>
      </m:oMathPara>
    </w:p>
    <w:p w:rsidR="00735649" w:rsidRPr="006234AA" w:rsidRDefault="00735649" w:rsidP="003C0546">
      <w:pPr>
        <w:spacing w:after="120"/>
        <w:ind w:firstLine="0"/>
        <w:rPr>
          <w:sz w:val="24"/>
          <w:szCs w:val="26"/>
          <w:lang w:val="nl-NL"/>
        </w:rPr>
      </w:pPr>
      <w:r w:rsidRPr="006234AA">
        <w:rPr>
          <w:i/>
          <w:sz w:val="24"/>
          <w:szCs w:val="26"/>
          <w:lang w:val="nl-NL"/>
        </w:rPr>
        <w:t>Với:</w:t>
      </w:r>
      <w:r w:rsidRPr="006234AA">
        <w:rPr>
          <w:sz w:val="24"/>
          <w:szCs w:val="26"/>
          <w:lang w:val="nl-NL"/>
        </w:rPr>
        <w:t xml:space="preserve"> cov(</w:t>
      </w:r>
      <w:r w:rsidRPr="006234AA">
        <w:rPr>
          <w:sz w:val="24"/>
          <w:szCs w:val="26"/>
          <w:lang w:val="nl-NL"/>
        </w:rPr>
        <w:sym w:font="Symbol" w:char="F044"/>
      </w:r>
      <w:r w:rsidRPr="006234AA">
        <w:rPr>
          <w:sz w:val="24"/>
          <w:szCs w:val="26"/>
          <w:lang w:val="nl-NL"/>
        </w:rPr>
        <w:t>F%,</w:t>
      </w:r>
      <w:r w:rsidRPr="006234AA">
        <w:rPr>
          <w:sz w:val="24"/>
          <w:szCs w:val="26"/>
          <w:lang w:val="nl-NL"/>
        </w:rPr>
        <w:sym w:font="Symbol" w:char="F044"/>
      </w:r>
      <w:r w:rsidRPr="006234AA">
        <w:rPr>
          <w:sz w:val="24"/>
          <w:szCs w:val="26"/>
          <w:lang w:val="nl-NL"/>
        </w:rPr>
        <w:t>S%) là hiệp phương sai của mức sinh lời hợp đồng tương lai chỉ số và mức sinh lời danh mục tài sản cơ sở, var(</w:t>
      </w:r>
      <w:r w:rsidRPr="006234AA">
        <w:rPr>
          <w:sz w:val="24"/>
          <w:szCs w:val="26"/>
          <w:lang w:val="nl-NL"/>
        </w:rPr>
        <w:sym w:font="Symbol" w:char="F044"/>
      </w:r>
      <w:r w:rsidRPr="006234AA">
        <w:rPr>
          <w:sz w:val="24"/>
          <w:szCs w:val="26"/>
          <w:lang w:val="nl-NL"/>
        </w:rPr>
        <w:t>F%) là phương sai của mức sinh lời hợp đồng tương lai chỉ số.</w:t>
      </w:r>
    </w:p>
    <w:p w:rsidR="00735649" w:rsidRPr="006234AA" w:rsidRDefault="00735649" w:rsidP="003C0546">
      <w:pPr>
        <w:spacing w:after="120"/>
        <w:ind w:firstLine="0"/>
        <w:rPr>
          <w:sz w:val="24"/>
          <w:szCs w:val="26"/>
          <w:lang w:val="nl-NL"/>
        </w:rPr>
      </w:pPr>
      <w:r w:rsidRPr="006234AA">
        <w:rPr>
          <w:sz w:val="24"/>
          <w:szCs w:val="26"/>
          <w:lang w:val="nl-NL"/>
        </w:rPr>
        <w:t>Khi đó,</w:t>
      </w:r>
    </w:p>
    <w:p w:rsidR="00735649" w:rsidRPr="006234AA" w:rsidRDefault="007965E6" w:rsidP="003C0546">
      <w:pPr>
        <w:spacing w:after="120"/>
        <w:ind w:firstLine="0"/>
        <w:rPr>
          <w:sz w:val="26"/>
          <w:szCs w:val="26"/>
          <w:lang w:val="nl-NL"/>
        </w:rPr>
      </w:pPr>
      <m:oMathPara>
        <m:oMath>
          <m:sSub>
            <m:sSubPr>
              <m:ctrlPr>
                <w:rPr>
                  <w:rFonts w:ascii="Cambria Math" w:hAnsi="Cambria Math"/>
                  <w:i/>
                  <w:sz w:val="26"/>
                  <w:szCs w:val="26"/>
                  <w:lang w:val="nl-NL"/>
                </w:rPr>
              </m:ctrlPr>
            </m:sSubPr>
            <m:e>
              <m:r>
                <w:rPr>
                  <w:rFonts w:ascii="Cambria Math" w:hAnsi="Cambria Math"/>
                  <w:sz w:val="26"/>
                  <w:szCs w:val="26"/>
                  <w:lang w:val="nl-NL"/>
                </w:rPr>
                <m:t>N</m:t>
              </m:r>
            </m:e>
            <m:sub>
              <m:r>
                <w:rPr>
                  <w:rFonts w:ascii="Cambria Math" w:hAnsi="Cambria Math"/>
                  <w:sz w:val="26"/>
                  <w:szCs w:val="26"/>
                  <w:lang w:val="nl-NL"/>
                </w:rPr>
                <m:t>F</m:t>
              </m:r>
            </m:sub>
          </m:sSub>
          <m:r>
            <w:rPr>
              <w:rFonts w:ascii="Cambria Math" w:hAnsi="Cambria Math"/>
              <w:sz w:val="26"/>
              <w:szCs w:val="26"/>
              <w:lang w:val="nl-NL"/>
            </w:rPr>
            <m:t xml:space="preserve">=-β × </m:t>
          </m:r>
          <m:f>
            <m:fPr>
              <m:ctrlPr>
                <w:rPr>
                  <w:rFonts w:ascii="Cambria Math" w:hAnsi="Cambria Math"/>
                  <w:i/>
                  <w:sz w:val="26"/>
                  <w:szCs w:val="26"/>
                  <w:lang w:val="nl-NL"/>
                </w:rPr>
              </m:ctrlPr>
            </m:fPr>
            <m:num>
              <m:sSub>
                <m:sSubPr>
                  <m:ctrlPr>
                    <w:rPr>
                      <w:rFonts w:ascii="Cambria Math" w:hAnsi="Cambria Math"/>
                      <w:i/>
                      <w:sz w:val="26"/>
                      <w:szCs w:val="26"/>
                      <w:lang w:val="nl-NL"/>
                    </w:rPr>
                  </m:ctrlPr>
                </m:sSubPr>
                <m:e>
                  <m:r>
                    <w:rPr>
                      <w:rFonts w:ascii="Cambria Math" w:hAnsi="Cambria Math"/>
                      <w:sz w:val="26"/>
                      <w:szCs w:val="26"/>
                      <w:lang w:val="nl-NL"/>
                    </w:rPr>
                    <m:t>N</m:t>
                  </m:r>
                </m:e>
                <m:sub>
                  <m:r>
                    <w:rPr>
                      <w:rFonts w:ascii="Cambria Math" w:hAnsi="Cambria Math"/>
                      <w:sz w:val="26"/>
                      <w:szCs w:val="26"/>
                      <w:lang w:val="nl-NL"/>
                    </w:rPr>
                    <m:t>S</m:t>
                  </m:r>
                </m:sub>
              </m:sSub>
              <m:r>
                <w:rPr>
                  <w:rFonts w:ascii="Cambria Math" w:hAnsi="Cambria Math"/>
                  <w:sz w:val="26"/>
                  <w:szCs w:val="26"/>
                  <w:lang w:val="nl-NL"/>
                </w:rPr>
                <m:t>×</m:t>
              </m:r>
              <m:sSub>
                <m:sSubPr>
                  <m:ctrlPr>
                    <w:rPr>
                      <w:rFonts w:ascii="Cambria Math" w:hAnsi="Cambria Math"/>
                      <w:i/>
                      <w:sz w:val="26"/>
                      <w:szCs w:val="26"/>
                      <w:lang w:val="nl-NL"/>
                    </w:rPr>
                  </m:ctrlPr>
                </m:sSubPr>
                <m:e>
                  <m:r>
                    <w:rPr>
                      <w:rFonts w:ascii="Cambria Math" w:hAnsi="Cambria Math"/>
                      <w:sz w:val="26"/>
                      <w:szCs w:val="26"/>
                      <w:lang w:val="nl-NL"/>
                    </w:rPr>
                    <m:t>S</m:t>
                  </m:r>
                </m:e>
                <m:sub>
                  <m:r>
                    <w:rPr>
                      <w:rFonts w:ascii="Cambria Math" w:hAnsi="Cambria Math"/>
                      <w:sz w:val="26"/>
                      <w:szCs w:val="26"/>
                      <w:lang w:val="nl-NL"/>
                    </w:rPr>
                    <m:t>t</m:t>
                  </m:r>
                </m:sub>
              </m:sSub>
            </m:num>
            <m:den>
              <m:r>
                <w:rPr>
                  <w:rFonts w:ascii="Cambria Math" w:hAnsi="Cambria Math"/>
                  <w:sz w:val="26"/>
                  <w:szCs w:val="26"/>
                  <w:lang w:val="nl-NL"/>
                </w:rPr>
                <m:t>k×</m:t>
              </m:r>
              <m:sSub>
                <m:sSubPr>
                  <m:ctrlPr>
                    <w:rPr>
                      <w:rFonts w:ascii="Cambria Math" w:hAnsi="Cambria Math"/>
                      <w:i/>
                      <w:sz w:val="26"/>
                      <w:szCs w:val="26"/>
                      <w:lang w:val="nl-NL"/>
                    </w:rPr>
                  </m:ctrlPr>
                </m:sSubPr>
                <m:e>
                  <m:r>
                    <w:rPr>
                      <w:rFonts w:ascii="Cambria Math" w:hAnsi="Cambria Math"/>
                      <w:sz w:val="26"/>
                      <w:szCs w:val="26"/>
                      <w:lang w:val="nl-NL"/>
                    </w:rPr>
                    <m:t>F</m:t>
                  </m:r>
                </m:e>
                <m:sub>
                  <m:r>
                    <w:rPr>
                      <w:rFonts w:ascii="Cambria Math" w:hAnsi="Cambria Math"/>
                      <w:sz w:val="26"/>
                      <w:szCs w:val="26"/>
                      <w:lang w:val="nl-NL"/>
                    </w:rPr>
                    <m:t>t,T</m:t>
                  </m:r>
                </m:sub>
              </m:sSub>
            </m:den>
          </m:f>
        </m:oMath>
      </m:oMathPara>
    </w:p>
    <w:p w:rsidR="00735649" w:rsidRPr="006234AA" w:rsidRDefault="00735649" w:rsidP="003C0546">
      <w:pPr>
        <w:spacing w:after="120"/>
        <w:ind w:firstLine="0"/>
        <w:rPr>
          <w:sz w:val="26"/>
          <w:szCs w:val="26"/>
          <w:lang w:val="nl-NL"/>
        </w:rPr>
      </w:pPr>
      <w:r w:rsidRPr="006234AA">
        <w:rPr>
          <w:sz w:val="26"/>
          <w:szCs w:val="26"/>
          <w:lang w:val="nl-NL"/>
        </w:rPr>
        <w:t xml:space="preserve">hay: </w:t>
      </w:r>
    </w:p>
    <w:p w:rsidR="00735649" w:rsidRPr="006234AA" w:rsidRDefault="007965E6" w:rsidP="003C0546">
      <w:pPr>
        <w:spacing w:after="120"/>
        <w:ind w:firstLine="0"/>
        <w:rPr>
          <w:sz w:val="24"/>
          <w:szCs w:val="26"/>
          <w:lang w:val="nl-NL"/>
        </w:rPr>
      </w:pPr>
      <m:oMathPara>
        <m:oMath>
          <m:sSub>
            <m:sSubPr>
              <m:ctrlPr>
                <w:rPr>
                  <w:rFonts w:ascii="Cambria Math" w:hAnsi="Cambria Math"/>
                  <w:i/>
                  <w:sz w:val="24"/>
                  <w:szCs w:val="26"/>
                  <w:lang w:val="nl-NL"/>
                </w:rPr>
              </m:ctrlPr>
            </m:sSubPr>
            <m:e>
              <m:r>
                <w:rPr>
                  <w:rFonts w:ascii="Cambria Math" w:hAnsi="Cambria Math"/>
                  <w:sz w:val="24"/>
                  <w:szCs w:val="26"/>
                  <w:lang w:val="nl-NL"/>
                </w:rPr>
                <m:t>N</m:t>
              </m:r>
            </m:e>
            <m:sub>
              <m:r>
                <w:rPr>
                  <w:rFonts w:ascii="Cambria Math" w:hAnsi="Cambria Math"/>
                  <w:sz w:val="24"/>
                  <w:szCs w:val="26"/>
                  <w:lang w:val="nl-NL"/>
                </w:rPr>
                <m:t>F</m:t>
              </m:r>
            </m:sub>
          </m:sSub>
          <m:r>
            <w:rPr>
              <w:rFonts w:ascii="Cambria Math" w:hAnsi="Cambria Math"/>
              <w:sz w:val="24"/>
              <w:szCs w:val="26"/>
              <w:lang w:val="nl-NL"/>
            </w:rPr>
            <m:t xml:space="preserve">=-β </m:t>
          </m:r>
          <m:r>
            <w:rPr>
              <w:rFonts w:ascii="Cambria Math" w:hAnsi="Cambria Math"/>
              <w:sz w:val="26"/>
              <w:szCs w:val="26"/>
              <w:lang w:val="nl-NL"/>
            </w:rPr>
            <m:t>×</m:t>
          </m:r>
          <m:r>
            <w:rPr>
              <w:rFonts w:ascii="Cambria Math" w:hAnsi="Cambria Math"/>
              <w:sz w:val="24"/>
              <w:szCs w:val="26"/>
              <w:lang w:val="nl-NL"/>
            </w:rPr>
            <m:t xml:space="preserve"> </m:t>
          </m:r>
          <m:f>
            <m:fPr>
              <m:ctrlPr>
                <w:rPr>
                  <w:rFonts w:ascii="Cambria Math" w:hAnsi="Cambria Math"/>
                  <w:i/>
                  <w:sz w:val="24"/>
                  <w:szCs w:val="26"/>
                  <w:lang w:val="nl-NL"/>
                </w:rPr>
              </m:ctrlPr>
            </m:fPr>
            <m:num>
              <m:r>
                <w:rPr>
                  <w:rFonts w:ascii="Cambria Math" w:hAnsi="Cambria Math"/>
                  <w:sz w:val="24"/>
                  <w:szCs w:val="26"/>
                  <w:lang w:val="nl-NL"/>
                </w:rPr>
                <m:t>Giá trị danh mục cần được phòng ngừa rủi ro</m:t>
              </m:r>
            </m:num>
            <m:den>
              <m:r>
                <w:rPr>
                  <w:rFonts w:ascii="Cambria Math" w:hAnsi="Cambria Math"/>
                  <w:sz w:val="24"/>
                  <w:szCs w:val="26"/>
                  <w:lang w:val="nl-NL"/>
                </w:rPr>
                <m:t xml:space="preserve">Hệ số nhân hợp đồng tương lai chỉ số </m:t>
              </m:r>
              <m:r>
                <w:rPr>
                  <w:rFonts w:ascii="Cambria Math" w:hAnsi="Cambria Math"/>
                  <w:sz w:val="26"/>
                  <w:szCs w:val="26"/>
                  <w:lang w:val="nl-NL"/>
                </w:rPr>
                <m:t>×</m:t>
              </m:r>
              <m:r>
                <w:rPr>
                  <w:rFonts w:ascii="Cambria Math" w:hAnsi="Cambria Math"/>
                  <w:sz w:val="24"/>
                  <w:szCs w:val="26"/>
                  <w:lang w:val="nl-NL"/>
                </w:rPr>
                <m:t xml:space="preserve"> Giá hợp đồng tương lai chỉ số</m:t>
              </m:r>
            </m:den>
          </m:f>
        </m:oMath>
      </m:oMathPara>
    </w:p>
    <w:p w:rsidR="00735649" w:rsidRPr="006234AA" w:rsidRDefault="00735649" w:rsidP="003C0546">
      <w:pPr>
        <w:spacing w:after="120"/>
        <w:ind w:firstLine="0"/>
        <w:rPr>
          <w:sz w:val="26"/>
          <w:szCs w:val="26"/>
          <w:lang w:val="nl-NL"/>
        </w:rPr>
      </w:pPr>
    </w:p>
    <w:p w:rsidR="00735649" w:rsidRPr="006234AA" w:rsidRDefault="00735649" w:rsidP="00D36937">
      <w:pPr>
        <w:pStyle w:val="ListParagraph"/>
        <w:numPr>
          <w:ilvl w:val="0"/>
          <w:numId w:val="51"/>
        </w:numPr>
        <w:spacing w:after="120"/>
        <w:ind w:left="360"/>
        <w:rPr>
          <w:sz w:val="26"/>
          <w:szCs w:val="26"/>
        </w:rPr>
      </w:pPr>
      <w:r w:rsidRPr="006234AA">
        <w:rPr>
          <w:sz w:val="26"/>
          <w:szCs w:val="26"/>
        </w:rPr>
        <w:t>Đối với danh mục trái phiếu</w:t>
      </w:r>
    </w:p>
    <w:p w:rsidR="00735649" w:rsidRPr="006234AA" w:rsidRDefault="00735649" w:rsidP="003C0546">
      <w:pPr>
        <w:spacing w:after="120"/>
        <w:ind w:firstLine="0"/>
        <w:rPr>
          <w:sz w:val="26"/>
          <w:szCs w:val="26"/>
          <w:lang w:val="nl-NL"/>
        </w:rPr>
      </w:pPr>
      <w:r w:rsidRPr="006234AA">
        <w:rPr>
          <w:sz w:val="26"/>
          <w:szCs w:val="26"/>
          <w:lang w:val="nl-NL"/>
        </w:rPr>
        <w:t>Vị thế hợp đồng tương lai nắm giữ với mục đích phòng ngừa rủi ro cho một danh mục đầu tư trái phiếu được xác định theo công thức sau:</w:t>
      </w:r>
    </w:p>
    <w:p w:rsidR="00735649" w:rsidRPr="006234AA" w:rsidRDefault="007965E6" w:rsidP="003C0546">
      <w:pPr>
        <w:spacing w:after="120"/>
        <w:rPr>
          <w:sz w:val="26"/>
          <w:szCs w:val="26"/>
        </w:rPr>
      </w:pPr>
      <m:oMathPara>
        <m:oMath>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F</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S</m:t>
                  </m:r>
                </m:sub>
              </m:sSub>
              <m:r>
                <w:rPr>
                  <w:rFonts w:ascii="Cambria Math" w:hAnsi="Cambria Math"/>
                  <w:sz w:val="26"/>
                  <w:szCs w:val="26"/>
                  <w:lang w:val="nl-NL"/>
                </w:rPr>
                <m:t>×</m:t>
              </m:r>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t</m:t>
                  </m:r>
                </m:sub>
              </m:sSub>
              <m:r>
                <w:rPr>
                  <w:rFonts w:ascii="Cambria Math" w:hAnsi="Cambria Math"/>
                  <w:sz w:val="26"/>
                  <w:szCs w:val="26"/>
                  <w:lang w:val="nl-NL"/>
                </w:rPr>
                <m:t>×</m:t>
              </m:r>
              <m:sSub>
                <m:sSubPr>
                  <m:ctrlPr>
                    <w:rPr>
                      <w:rFonts w:ascii="Cambria Math" w:hAnsi="Cambria Math"/>
                      <w:i/>
                      <w:sz w:val="26"/>
                      <w:szCs w:val="26"/>
                    </w:rPr>
                  </m:ctrlPr>
                </m:sSubPr>
                <m:e>
                  <m:r>
                    <w:rPr>
                      <w:rFonts w:ascii="Cambria Math" w:hAnsi="Cambria Math"/>
                      <w:sz w:val="26"/>
                      <w:szCs w:val="26"/>
                    </w:rPr>
                    <m:t>MD</m:t>
                  </m:r>
                </m:e>
                <m:sub>
                  <m:r>
                    <w:rPr>
                      <w:rFonts w:ascii="Cambria Math" w:hAnsi="Cambria Math"/>
                      <w:sz w:val="26"/>
                      <w:szCs w:val="26"/>
                    </w:rPr>
                    <m:t>S</m:t>
                  </m:r>
                </m:sub>
              </m:sSub>
            </m:num>
            <m:den>
              <m:r>
                <w:rPr>
                  <w:rFonts w:ascii="Cambria Math" w:hAnsi="Cambria Math"/>
                  <w:sz w:val="26"/>
                  <w:szCs w:val="26"/>
                </w:rPr>
                <m:t>k</m:t>
              </m:r>
              <m:r>
                <w:rPr>
                  <w:rFonts w:ascii="Cambria Math" w:hAnsi="Cambria Math"/>
                  <w:sz w:val="26"/>
                  <w:szCs w:val="26"/>
                  <w:lang w:val="nl-NL"/>
                </w:rPr>
                <m:t>×</m:t>
              </m:r>
              <m:sSub>
                <m:sSubPr>
                  <m:ctrlPr>
                    <w:rPr>
                      <w:rFonts w:ascii="Cambria Math" w:hAnsi="Cambria Math"/>
                      <w:i/>
                      <w:sz w:val="26"/>
                      <w:szCs w:val="26"/>
                    </w:rPr>
                  </m:ctrlPr>
                </m:sSubPr>
                <m:e>
                  <m:r>
                    <w:rPr>
                      <w:rFonts w:ascii="Cambria Math" w:hAnsi="Cambria Math"/>
                      <w:sz w:val="26"/>
                      <w:szCs w:val="26"/>
                    </w:rPr>
                    <m:t>F</m:t>
                  </m:r>
                </m:e>
                <m:sub>
                  <m:r>
                    <w:rPr>
                      <w:rFonts w:ascii="Cambria Math" w:hAnsi="Cambria Math"/>
                      <w:sz w:val="26"/>
                      <w:szCs w:val="26"/>
                    </w:rPr>
                    <m:t>t,T</m:t>
                  </m:r>
                </m:sub>
              </m:sSub>
              <m:r>
                <w:rPr>
                  <w:rFonts w:ascii="Cambria Math" w:hAnsi="Cambria Math"/>
                  <w:sz w:val="26"/>
                  <w:szCs w:val="26"/>
                  <w:lang w:val="nl-NL"/>
                </w:rPr>
                <m:t>×</m:t>
              </m:r>
              <m:sSub>
                <m:sSubPr>
                  <m:ctrlPr>
                    <w:rPr>
                      <w:rFonts w:ascii="Cambria Math" w:hAnsi="Cambria Math"/>
                      <w:i/>
                      <w:sz w:val="26"/>
                      <w:szCs w:val="26"/>
                    </w:rPr>
                  </m:ctrlPr>
                </m:sSubPr>
                <m:e>
                  <m:r>
                    <w:rPr>
                      <w:rFonts w:ascii="Cambria Math" w:hAnsi="Cambria Math"/>
                      <w:sz w:val="26"/>
                      <w:szCs w:val="26"/>
                    </w:rPr>
                    <m:t>MD</m:t>
                  </m:r>
                </m:e>
                <m:sub>
                  <m:r>
                    <w:rPr>
                      <w:rFonts w:ascii="Cambria Math" w:hAnsi="Cambria Math"/>
                      <w:sz w:val="26"/>
                      <w:szCs w:val="26"/>
                    </w:rPr>
                    <m:t>F</m:t>
                  </m:r>
                </m:sub>
              </m:sSub>
            </m:den>
          </m:f>
        </m:oMath>
      </m:oMathPara>
    </w:p>
    <w:p w:rsidR="00735649" w:rsidRPr="006234AA" w:rsidRDefault="00735649" w:rsidP="003C0546">
      <w:pPr>
        <w:spacing w:after="120"/>
        <w:ind w:firstLine="0"/>
        <w:rPr>
          <w:sz w:val="26"/>
          <w:szCs w:val="26"/>
        </w:rPr>
      </w:pPr>
      <w:r w:rsidRPr="006234AA">
        <w:rPr>
          <w:sz w:val="26"/>
          <w:szCs w:val="26"/>
        </w:rPr>
        <w:t xml:space="preserve">Hay: </w:t>
      </w:r>
    </w:p>
    <w:p w:rsidR="00735649" w:rsidRPr="006234AA" w:rsidRDefault="007965E6" w:rsidP="003C0546">
      <w:pPr>
        <w:spacing w:after="120"/>
        <w:rPr>
          <w:sz w:val="26"/>
          <w:szCs w:val="26"/>
        </w:rPr>
      </w:pPr>
      <m:oMathPara>
        <m:oMath>
          <m:sSub>
            <m:sSubPr>
              <m:ctrlPr>
                <w:rPr>
                  <w:rFonts w:ascii="Cambria Math" w:hAnsi="Cambria Math"/>
                  <w:i/>
                  <w:sz w:val="24"/>
                  <w:szCs w:val="26"/>
                </w:rPr>
              </m:ctrlPr>
            </m:sSubPr>
            <m:e>
              <m:r>
                <w:rPr>
                  <w:rFonts w:ascii="Cambria Math" w:hAnsi="Cambria Math"/>
                  <w:sz w:val="24"/>
                  <w:szCs w:val="26"/>
                </w:rPr>
                <m:t>N</m:t>
              </m:r>
            </m:e>
            <m:sub>
              <m:r>
                <w:rPr>
                  <w:rFonts w:ascii="Cambria Math" w:hAnsi="Cambria Math"/>
                  <w:sz w:val="24"/>
                  <w:szCs w:val="26"/>
                </w:rPr>
                <m:t>F</m:t>
              </m:r>
            </m:sub>
          </m:sSub>
          <m:r>
            <w:rPr>
              <w:rFonts w:ascii="Cambria Math" w:hAnsi="Cambria Math"/>
              <w:sz w:val="24"/>
              <w:szCs w:val="26"/>
            </w:rPr>
            <m:t>=-</m:t>
          </m:r>
          <m:f>
            <m:fPr>
              <m:ctrlPr>
                <w:rPr>
                  <w:rFonts w:ascii="Cambria Math" w:hAnsi="Cambria Math"/>
                  <w:i/>
                  <w:sz w:val="24"/>
                  <w:szCs w:val="26"/>
                </w:rPr>
              </m:ctrlPr>
            </m:fPr>
            <m:num>
              <m:d>
                <m:dPr>
                  <m:ctrlPr>
                    <w:rPr>
                      <w:rFonts w:ascii="Cambria Math" w:hAnsi="Cambria Math"/>
                      <w:i/>
                      <w:sz w:val="24"/>
                      <w:szCs w:val="26"/>
                    </w:rPr>
                  </m:ctrlPr>
                </m:dPr>
                <m:e>
                  <m:eqArr>
                    <m:eqArrPr>
                      <m:ctrlPr>
                        <w:rPr>
                          <w:rFonts w:ascii="Cambria Math" w:hAnsi="Cambria Math"/>
                          <w:i/>
                          <w:sz w:val="24"/>
                          <w:szCs w:val="26"/>
                        </w:rPr>
                      </m:ctrlPr>
                    </m:eqArrPr>
                    <m:e>
                      <m:r>
                        <w:rPr>
                          <w:rFonts w:ascii="Cambria Math" w:hAnsi="Cambria Math"/>
                          <w:sz w:val="24"/>
                          <w:szCs w:val="26"/>
                        </w:rPr>
                        <m:t xml:space="preserve">Giá trị danh mục cần </m:t>
                      </m:r>
                    </m:e>
                    <m:e>
                      <m:r>
                        <w:rPr>
                          <w:rFonts w:ascii="Cambria Math" w:hAnsi="Cambria Math"/>
                          <w:sz w:val="24"/>
                          <w:szCs w:val="26"/>
                        </w:rPr>
                        <m:t>được phòng ngừa rủi ro</m:t>
                      </m:r>
                    </m:e>
                  </m:eqArr>
                </m:e>
              </m:d>
            </m:num>
            <m:den>
              <m:d>
                <m:dPr>
                  <m:ctrlPr>
                    <w:rPr>
                      <w:rFonts w:ascii="Cambria Math" w:hAnsi="Cambria Math"/>
                      <w:i/>
                      <w:sz w:val="24"/>
                      <w:szCs w:val="26"/>
                    </w:rPr>
                  </m:ctrlPr>
                </m:dPr>
                <m:e>
                  <m:eqArr>
                    <m:eqArrPr>
                      <m:ctrlPr>
                        <w:rPr>
                          <w:rFonts w:ascii="Cambria Math" w:hAnsi="Cambria Math"/>
                          <w:i/>
                          <w:sz w:val="24"/>
                          <w:szCs w:val="26"/>
                        </w:rPr>
                      </m:ctrlPr>
                    </m:eqArrPr>
                    <m:e>
                      <m:r>
                        <w:rPr>
                          <w:rFonts w:ascii="Cambria Math" w:hAnsi="Cambria Math"/>
                          <w:sz w:val="24"/>
                          <w:szCs w:val="26"/>
                        </w:rPr>
                        <m:t xml:space="preserve">Giá trị thị trường của </m:t>
                      </m:r>
                    </m:e>
                    <m:e>
                      <m:r>
                        <w:rPr>
                          <w:rFonts w:ascii="Cambria Math" w:hAnsi="Cambria Math"/>
                          <w:sz w:val="24"/>
                          <w:szCs w:val="26"/>
                        </w:rPr>
                        <m:t>một hợp đồng tương lai</m:t>
                      </m:r>
                    </m:e>
                  </m:eqArr>
                </m:e>
              </m:d>
            </m:den>
          </m:f>
          <m:r>
            <w:rPr>
              <w:rFonts w:ascii="Cambria Math" w:hAnsi="Cambria Math"/>
              <w:sz w:val="26"/>
              <w:szCs w:val="26"/>
              <w:lang w:val="nl-NL"/>
            </w:rPr>
            <m:t>×</m:t>
          </m:r>
          <m:f>
            <m:fPr>
              <m:ctrlPr>
                <w:rPr>
                  <w:rFonts w:ascii="Cambria Math" w:hAnsi="Cambria Math"/>
                  <w:i/>
                  <w:sz w:val="24"/>
                  <w:szCs w:val="26"/>
                </w:rPr>
              </m:ctrlPr>
            </m:fPr>
            <m:num>
              <m:d>
                <m:dPr>
                  <m:ctrlPr>
                    <w:rPr>
                      <w:rFonts w:ascii="Cambria Math" w:hAnsi="Cambria Math"/>
                      <w:i/>
                      <w:sz w:val="24"/>
                      <w:szCs w:val="26"/>
                    </w:rPr>
                  </m:ctrlPr>
                </m:dPr>
                <m:e>
                  <m:eqArr>
                    <m:eqArrPr>
                      <m:ctrlPr>
                        <w:rPr>
                          <w:rFonts w:ascii="Cambria Math" w:hAnsi="Cambria Math"/>
                          <w:i/>
                          <w:sz w:val="24"/>
                          <w:szCs w:val="26"/>
                        </w:rPr>
                      </m:ctrlPr>
                    </m:eqArrPr>
                    <m:e>
                      <m:r>
                        <w:rPr>
                          <w:rFonts w:ascii="Cambria Math" w:hAnsi="Cambria Math"/>
                          <w:sz w:val="24"/>
                          <w:szCs w:val="26"/>
                        </w:rPr>
                        <m:t xml:space="preserve">Thời gian đáo hạn bình quân </m:t>
                      </m:r>
                    </m:e>
                    <m:e>
                      <m:r>
                        <w:rPr>
                          <w:rFonts w:ascii="Cambria Math" w:hAnsi="Cambria Math"/>
                          <w:sz w:val="24"/>
                          <w:szCs w:val="26"/>
                        </w:rPr>
                        <m:t xml:space="preserve">điều chỉnh của danh mục </m:t>
                      </m:r>
                    </m:e>
                  </m:eqArr>
                </m:e>
              </m:d>
            </m:num>
            <m:den>
              <m:d>
                <m:dPr>
                  <m:ctrlPr>
                    <w:rPr>
                      <w:rFonts w:ascii="Cambria Math" w:hAnsi="Cambria Math"/>
                      <w:i/>
                      <w:sz w:val="24"/>
                      <w:szCs w:val="26"/>
                    </w:rPr>
                  </m:ctrlPr>
                </m:dPr>
                <m:e>
                  <m:eqArr>
                    <m:eqArrPr>
                      <m:ctrlPr>
                        <w:rPr>
                          <w:rFonts w:ascii="Cambria Math" w:hAnsi="Cambria Math"/>
                          <w:i/>
                          <w:sz w:val="24"/>
                          <w:szCs w:val="26"/>
                        </w:rPr>
                      </m:ctrlPr>
                    </m:eqArrPr>
                    <m:e>
                      <m:r>
                        <w:rPr>
                          <w:rFonts w:ascii="Cambria Math" w:hAnsi="Cambria Math"/>
                          <w:sz w:val="24"/>
                          <w:szCs w:val="26"/>
                        </w:rPr>
                        <m:t xml:space="preserve">Thời gian đáo hạn bình quân điều </m:t>
                      </m:r>
                    </m:e>
                    <m:e>
                      <m:r>
                        <w:rPr>
                          <w:rFonts w:ascii="Cambria Math" w:hAnsi="Cambria Math"/>
                          <w:sz w:val="24"/>
                          <w:szCs w:val="26"/>
                        </w:rPr>
                        <m:t>chỉnh của trái phiếu rẻ nhất để giao</m:t>
                      </m:r>
                    </m:e>
                  </m:eqArr>
                </m:e>
              </m:d>
            </m:den>
          </m:f>
        </m:oMath>
      </m:oMathPara>
    </w:p>
    <w:p w:rsidR="00735649" w:rsidRPr="006234AA" w:rsidRDefault="00735649" w:rsidP="003C0546">
      <w:pPr>
        <w:spacing w:after="120"/>
        <w:ind w:firstLine="0"/>
        <w:rPr>
          <w:sz w:val="26"/>
          <w:szCs w:val="26"/>
        </w:rPr>
      </w:pPr>
      <w:r w:rsidRPr="006234AA">
        <w:rPr>
          <w:sz w:val="26"/>
          <w:szCs w:val="26"/>
        </w:rPr>
        <w:t>hoặc:</w:t>
      </w:r>
    </w:p>
    <w:p w:rsidR="00735649" w:rsidRPr="006234AA" w:rsidRDefault="007965E6" w:rsidP="003C0546">
      <w:pPr>
        <w:spacing w:after="120"/>
        <w:rPr>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F</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Giá trị danh mục </m:t>
                      </m:r>
                    </m:e>
                    <m:e>
                      <m:r>
                        <w:rPr>
                          <w:rFonts w:ascii="Cambria Math" w:hAnsi="Cambria Math"/>
                          <w:sz w:val="24"/>
                          <w:szCs w:val="24"/>
                        </w:rPr>
                        <m:t xml:space="preserve">cần được </m:t>
                      </m:r>
                      <m:ctrlPr>
                        <w:rPr>
                          <w:rFonts w:ascii="Cambria Math" w:eastAsia="Cambria Math" w:hAnsi="Cambria Math" w:cs="Cambria Math"/>
                          <w:i/>
                          <w:sz w:val="24"/>
                          <w:szCs w:val="24"/>
                        </w:rPr>
                      </m:ctrlPr>
                    </m:e>
                    <m:e>
                      <m:r>
                        <w:rPr>
                          <w:rFonts w:ascii="Cambria Math" w:hAnsi="Cambria Math"/>
                          <w:sz w:val="24"/>
                          <w:szCs w:val="24"/>
                        </w:rPr>
                        <m:t>phòng n</m:t>
                      </m:r>
                      <m:r>
                        <w:rPr>
                          <w:rFonts w:ascii="Cambria Math" w:hAnsi="Cambria Math"/>
                          <w:sz w:val="24"/>
                          <w:szCs w:val="24"/>
                        </w:rPr>
                        <m:t>gừa rủi ro</m:t>
                      </m:r>
                    </m:e>
                  </m:eqArr>
                </m:e>
              </m:d>
            </m:num>
            <m:den>
              <m:d>
                <m:dPr>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Quy mô </m:t>
                      </m:r>
                    </m:e>
                    <m:e>
                      <m:r>
                        <w:rPr>
                          <w:rFonts w:ascii="Cambria Math" w:hAnsi="Cambria Math"/>
                          <w:sz w:val="24"/>
                          <w:szCs w:val="24"/>
                        </w:rPr>
                        <m:t xml:space="preserve">hợp đồng </m:t>
                      </m:r>
                      <m:ctrlPr>
                        <w:rPr>
                          <w:rFonts w:ascii="Cambria Math" w:eastAsia="Cambria Math" w:hAnsi="Cambria Math" w:cs="Cambria Math"/>
                          <w:i/>
                          <w:sz w:val="24"/>
                          <w:szCs w:val="24"/>
                        </w:rPr>
                      </m:ctrlPr>
                    </m:e>
                    <m:e>
                      <m:r>
                        <w:rPr>
                          <w:rFonts w:ascii="Cambria Math" w:hAnsi="Cambria Math"/>
                          <w:sz w:val="24"/>
                          <w:szCs w:val="24"/>
                        </w:rPr>
                        <m:t>tương lai</m:t>
                      </m:r>
                    </m:e>
                  </m:eqArr>
                </m:e>
              </m:d>
              <m:r>
                <w:rPr>
                  <w:rFonts w:ascii="Cambria Math" w:hAnsi="Cambria Math"/>
                  <w:sz w:val="24"/>
                  <w:szCs w:val="24"/>
                  <w:lang w:val="nl-NL"/>
                </w:rPr>
                <m:t>×</m:t>
              </m:r>
              <m:d>
                <m:dPr>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Giá thị </m:t>
                      </m:r>
                    </m:e>
                    <m:e>
                      <m:r>
                        <w:rPr>
                          <w:rFonts w:ascii="Cambria Math" w:hAnsi="Cambria Math"/>
                          <w:sz w:val="24"/>
                          <w:szCs w:val="24"/>
                        </w:rPr>
                        <m:t xml:space="preserve">trường </m:t>
                      </m:r>
                      <m:ctrlPr>
                        <w:rPr>
                          <w:rFonts w:ascii="Cambria Math" w:eastAsia="Cambria Math" w:hAnsi="Cambria Math" w:cs="Cambria Math"/>
                          <w:i/>
                          <w:sz w:val="24"/>
                          <w:szCs w:val="24"/>
                        </w:rPr>
                      </m:ctrlPr>
                    </m:e>
                    <m:e>
                      <m:r>
                        <w:rPr>
                          <w:rFonts w:ascii="Cambria Math" w:hAnsi="Cambria Math"/>
                          <w:sz w:val="24"/>
                          <w:szCs w:val="24"/>
                        </w:rPr>
                        <m:t>của CTD</m:t>
                      </m:r>
                    </m:e>
                  </m:eqArr>
                </m:e>
              </m:d>
            </m:den>
          </m:f>
          <m:r>
            <w:rPr>
              <w:rFonts w:ascii="Cambria Math" w:hAnsi="Cambria Math"/>
              <w:sz w:val="24"/>
              <w:szCs w:val="24"/>
              <w:lang w:val="nl-NL"/>
            </w:rPr>
            <m:t>×</m:t>
          </m:r>
          <m:f>
            <m:fPr>
              <m:ctrlPr>
                <w:rPr>
                  <w:rFonts w:ascii="Cambria Math" w:hAnsi="Cambria Math"/>
                  <w:i/>
                  <w:sz w:val="24"/>
                  <w:szCs w:val="24"/>
                </w:rPr>
              </m:ctrlPr>
            </m:fPr>
            <m:num>
              <m:d>
                <m:dPr>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Thời gian đáo hạn </m:t>
                      </m:r>
                    </m:e>
                    <m:e>
                      <m:r>
                        <w:rPr>
                          <w:rFonts w:ascii="Cambria Math" w:hAnsi="Cambria Math"/>
                          <w:sz w:val="24"/>
                          <w:szCs w:val="24"/>
                        </w:rPr>
                        <m:t xml:space="preserve">bình quân điều chỉnh </m:t>
                      </m:r>
                      <m:ctrlPr>
                        <w:rPr>
                          <w:rFonts w:ascii="Cambria Math" w:eastAsia="Cambria Math" w:hAnsi="Cambria Math" w:cs="Cambria Math"/>
                          <w:i/>
                          <w:sz w:val="24"/>
                          <w:szCs w:val="24"/>
                        </w:rPr>
                      </m:ctrlPr>
                    </m:e>
                    <m:e>
                      <m:r>
                        <w:rPr>
                          <w:rFonts w:ascii="Cambria Math" w:hAnsi="Cambria Math"/>
                          <w:sz w:val="24"/>
                          <w:szCs w:val="24"/>
                        </w:rPr>
                        <m:t xml:space="preserve">của danh mục </m:t>
                      </m:r>
                    </m:e>
                  </m:eqArr>
                </m:e>
              </m:d>
            </m:num>
            <m:den>
              <m:d>
                <m:dPr>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Thời gian đáo hạn </m:t>
                      </m:r>
                    </m:e>
                    <m:e>
                      <m:r>
                        <w:rPr>
                          <w:rFonts w:ascii="Cambria Math" w:hAnsi="Cambria Math"/>
                          <w:sz w:val="24"/>
                          <w:szCs w:val="24"/>
                        </w:rPr>
                        <m:t xml:space="preserve">bình quân điều chỉnh </m:t>
                      </m:r>
                      <m:ctrlPr>
                        <w:rPr>
                          <w:rFonts w:ascii="Cambria Math" w:eastAsia="Cambria Math" w:hAnsi="Cambria Math" w:cs="Cambria Math"/>
                          <w:i/>
                          <w:sz w:val="24"/>
                          <w:szCs w:val="24"/>
                        </w:rPr>
                      </m:ctrlPr>
                    </m:e>
                    <m:e>
                      <m:r>
                        <w:rPr>
                          <w:rFonts w:ascii="Cambria Math" w:hAnsi="Cambria Math"/>
                          <w:sz w:val="24"/>
                          <w:szCs w:val="24"/>
                        </w:rPr>
                        <m:t>của CTD</m:t>
                      </m:r>
                    </m:e>
                  </m:eqArr>
                </m:e>
              </m:d>
            </m:den>
          </m:f>
          <m:r>
            <w:rPr>
              <w:rFonts w:ascii="Cambria Math" w:hAnsi="Cambria Math"/>
              <w:sz w:val="24"/>
              <w:szCs w:val="24"/>
              <w:lang w:val="nl-NL"/>
            </w:rPr>
            <m:t>×</m:t>
          </m:r>
          <m:d>
            <m:dPr>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Hệ số</m:t>
                  </m:r>
                </m:e>
                <m:e>
                  <m:r>
                    <w:rPr>
                      <w:rFonts w:ascii="Cambria Math" w:hAnsi="Cambria Math"/>
                      <w:sz w:val="24"/>
                      <w:szCs w:val="24"/>
                    </w:rPr>
                    <m:t xml:space="preserve"> chuyển đổi</m:t>
                  </m:r>
                  <m:ctrlPr>
                    <w:rPr>
                      <w:rFonts w:ascii="Cambria Math" w:eastAsia="Cambria Math" w:hAnsi="Cambria Math"/>
                      <w:i/>
                      <w:sz w:val="24"/>
                      <w:szCs w:val="24"/>
                    </w:rPr>
                  </m:ctrlPr>
                </m:e>
                <m:e>
                  <m:r>
                    <w:rPr>
                      <w:rFonts w:ascii="Cambria Math" w:hAnsi="Cambria Math"/>
                      <w:sz w:val="24"/>
                      <w:szCs w:val="24"/>
                    </w:rPr>
                    <m:t xml:space="preserve">của CTD </m:t>
                  </m:r>
                </m:e>
              </m:eqArr>
            </m:e>
          </m:d>
        </m:oMath>
      </m:oMathPara>
    </w:p>
    <w:p w:rsidR="00735649" w:rsidRPr="006234AA" w:rsidRDefault="00735649" w:rsidP="003C0546">
      <w:pPr>
        <w:spacing w:after="120"/>
        <w:ind w:firstLine="0"/>
        <w:rPr>
          <w:i/>
          <w:sz w:val="26"/>
          <w:szCs w:val="26"/>
        </w:rPr>
      </w:pPr>
      <w:r w:rsidRPr="006234AA">
        <w:rPr>
          <w:i/>
          <w:sz w:val="26"/>
          <w:szCs w:val="26"/>
        </w:rPr>
        <w:t>Trong đó:</w:t>
      </w:r>
    </w:p>
    <w:p w:rsidR="00735649" w:rsidRPr="006234AA" w:rsidRDefault="00735649" w:rsidP="003C0546">
      <w:pPr>
        <w:spacing w:after="120"/>
        <w:ind w:firstLine="0"/>
        <w:rPr>
          <w:sz w:val="26"/>
          <w:szCs w:val="26"/>
          <w:lang w:val="nl-NL"/>
        </w:rPr>
      </w:pPr>
      <w:r w:rsidRPr="006234AA">
        <w:rPr>
          <w:sz w:val="26"/>
          <w:szCs w:val="26"/>
        </w:rPr>
        <w:t>N</w:t>
      </w:r>
      <w:r w:rsidRPr="006234AA">
        <w:rPr>
          <w:sz w:val="26"/>
          <w:szCs w:val="26"/>
          <w:vertAlign w:val="subscript"/>
        </w:rPr>
        <w:t xml:space="preserve">F </w:t>
      </w:r>
      <w:r w:rsidRPr="006234AA">
        <w:rPr>
          <w:sz w:val="26"/>
          <w:szCs w:val="26"/>
        </w:rPr>
        <w:t xml:space="preserve">: </w:t>
      </w:r>
      <w:r w:rsidRPr="006234AA">
        <w:rPr>
          <w:sz w:val="26"/>
          <w:szCs w:val="26"/>
          <w:lang w:val="nl-NL"/>
        </w:rPr>
        <w:t>là số lượng hợp đồng tương lai trái phiếu nắm giữ để phòng ngừa rủi ro cho danh mục tài sản cơ sở</w:t>
      </w:r>
    </w:p>
    <w:p w:rsidR="00735649" w:rsidRPr="006234AA" w:rsidRDefault="00735649" w:rsidP="003C0546">
      <w:pPr>
        <w:spacing w:after="120"/>
        <w:ind w:firstLine="0"/>
        <w:rPr>
          <w:sz w:val="26"/>
          <w:szCs w:val="26"/>
          <w:lang w:val="nl-NL"/>
        </w:rPr>
      </w:pPr>
      <w:r w:rsidRPr="006234AA">
        <w:rPr>
          <w:sz w:val="26"/>
          <w:szCs w:val="26"/>
          <w:lang w:val="nl-NL"/>
        </w:rPr>
        <w:t>N</w:t>
      </w:r>
      <w:r w:rsidRPr="006234AA">
        <w:rPr>
          <w:sz w:val="26"/>
          <w:szCs w:val="26"/>
          <w:vertAlign w:val="subscript"/>
          <w:lang w:val="nl-NL"/>
        </w:rPr>
        <w:t>S</w:t>
      </w:r>
      <w:r w:rsidRPr="006234AA">
        <w:rPr>
          <w:sz w:val="26"/>
          <w:szCs w:val="26"/>
          <w:lang w:val="nl-NL"/>
        </w:rPr>
        <w:t>.S</w:t>
      </w:r>
      <w:r w:rsidRPr="006234AA">
        <w:rPr>
          <w:sz w:val="26"/>
          <w:szCs w:val="26"/>
          <w:vertAlign w:val="subscript"/>
          <w:lang w:val="nl-NL"/>
        </w:rPr>
        <w:t xml:space="preserve">t </w:t>
      </w:r>
      <w:r w:rsidRPr="006234AA">
        <w:rPr>
          <w:sz w:val="26"/>
          <w:szCs w:val="26"/>
          <w:lang w:val="nl-NL"/>
        </w:rPr>
        <w:t>: là giá trị danh mục trái phiếu cần được phòng ngừa rủi ro, xác định tại thời điểm t</w:t>
      </w:r>
    </w:p>
    <w:p w:rsidR="00735649" w:rsidRPr="006234AA" w:rsidRDefault="00735649" w:rsidP="003C0546">
      <w:pPr>
        <w:spacing w:after="120"/>
        <w:ind w:firstLine="0"/>
        <w:rPr>
          <w:sz w:val="26"/>
          <w:szCs w:val="26"/>
          <w:lang w:val="nl-NL"/>
        </w:rPr>
      </w:pPr>
      <w:r w:rsidRPr="006234AA">
        <w:rPr>
          <w:sz w:val="26"/>
          <w:szCs w:val="26"/>
          <w:lang w:val="nl-NL"/>
        </w:rPr>
        <w:t>k : là quy mô (hay là hệ số nhân) của hợp đồng trái phiếu chính phủ được sử dụng</w:t>
      </w:r>
    </w:p>
    <w:p w:rsidR="00735649" w:rsidRPr="006234AA" w:rsidRDefault="00735649" w:rsidP="003C0546">
      <w:pPr>
        <w:spacing w:after="120"/>
        <w:ind w:firstLine="0"/>
        <w:rPr>
          <w:sz w:val="26"/>
          <w:szCs w:val="26"/>
          <w:lang w:val="nl-NL"/>
        </w:rPr>
      </w:pPr>
      <w:r w:rsidRPr="006234AA">
        <w:rPr>
          <w:sz w:val="26"/>
          <w:szCs w:val="26"/>
          <w:lang w:val="nl-NL"/>
        </w:rPr>
        <w:t>F</w:t>
      </w:r>
      <w:r w:rsidRPr="006234AA">
        <w:rPr>
          <w:sz w:val="26"/>
          <w:szCs w:val="26"/>
          <w:vertAlign w:val="subscript"/>
          <w:lang w:val="nl-NL"/>
        </w:rPr>
        <w:softHyphen/>
        <w:t xml:space="preserve">t,T </w:t>
      </w:r>
      <w:r w:rsidRPr="006234AA">
        <w:rPr>
          <w:sz w:val="26"/>
          <w:szCs w:val="26"/>
          <w:lang w:val="nl-NL"/>
        </w:rPr>
        <w:t>: là giá tại thời điểm t của hợp đồng tương lai trái phiếu chính phủ có thời gian đáo hạn T</w:t>
      </w:r>
    </w:p>
    <w:p w:rsidR="00735649" w:rsidRPr="006234AA" w:rsidRDefault="00735649" w:rsidP="003C0546">
      <w:pPr>
        <w:spacing w:after="120"/>
        <w:ind w:firstLine="0"/>
        <w:rPr>
          <w:sz w:val="26"/>
          <w:szCs w:val="26"/>
          <w:lang w:val="nl-NL"/>
        </w:rPr>
      </w:pPr>
      <w:r w:rsidRPr="006234AA">
        <w:rPr>
          <w:sz w:val="26"/>
          <w:szCs w:val="26"/>
          <w:lang w:val="nl-NL"/>
        </w:rPr>
        <w:t>MD</w:t>
      </w:r>
      <w:r w:rsidRPr="006234AA">
        <w:rPr>
          <w:sz w:val="26"/>
          <w:szCs w:val="26"/>
          <w:vertAlign w:val="subscript"/>
          <w:lang w:val="nl-NL"/>
        </w:rPr>
        <w:t xml:space="preserve">S </w:t>
      </w:r>
      <w:r w:rsidRPr="006234AA">
        <w:rPr>
          <w:sz w:val="26"/>
          <w:szCs w:val="26"/>
          <w:lang w:val="nl-NL"/>
        </w:rPr>
        <w:t>: là thời gian đáo hạn bình quân điều chỉnh (modified duration) của danh mục được phòng ngừa rủi ro</w:t>
      </w:r>
    </w:p>
    <w:p w:rsidR="00735649" w:rsidRPr="006234AA" w:rsidRDefault="00735649" w:rsidP="003C0546">
      <w:pPr>
        <w:spacing w:after="120"/>
        <w:ind w:firstLine="0"/>
        <w:rPr>
          <w:sz w:val="26"/>
          <w:szCs w:val="26"/>
          <w:lang w:val="nl-NL"/>
        </w:rPr>
      </w:pPr>
      <w:r w:rsidRPr="006234AA">
        <w:rPr>
          <w:sz w:val="26"/>
          <w:szCs w:val="26"/>
          <w:lang w:val="nl-NL"/>
        </w:rPr>
        <w:t>MD</w:t>
      </w:r>
      <w:r w:rsidRPr="006234AA">
        <w:rPr>
          <w:sz w:val="26"/>
          <w:szCs w:val="26"/>
          <w:vertAlign w:val="subscript"/>
          <w:lang w:val="nl-NL"/>
        </w:rPr>
        <w:t xml:space="preserve">F </w:t>
      </w:r>
      <w:r w:rsidRPr="006234AA">
        <w:rPr>
          <w:sz w:val="26"/>
          <w:szCs w:val="26"/>
          <w:lang w:val="nl-NL"/>
        </w:rPr>
        <w:t>: là thời gian đáo hạn bình quân điều chỉnh (modified duration) của trái phiếu rẻ nhất để giao (cheapest-to-deliver) cho hợp đồng tương lai trái phiếu sử dụng.</w:t>
      </w:r>
    </w:p>
    <w:p w:rsidR="00735649" w:rsidRPr="006234AA" w:rsidRDefault="00735649" w:rsidP="003C0546">
      <w:pPr>
        <w:spacing w:after="120"/>
        <w:ind w:firstLine="0"/>
        <w:rPr>
          <w:sz w:val="26"/>
          <w:szCs w:val="26"/>
          <w:lang w:val="nl-NL"/>
        </w:rPr>
      </w:pPr>
      <w:r w:rsidRPr="006234AA">
        <w:rPr>
          <w:sz w:val="26"/>
          <w:szCs w:val="26"/>
          <w:lang w:val="nl-NL"/>
        </w:rPr>
        <w:t>CTD : là trái phiếu rẻ nhất để giao cho hợp đồng tương lai trái phiếu sử dụng</w:t>
      </w:r>
    </w:p>
    <w:p w:rsidR="00735649" w:rsidRPr="006234AA" w:rsidRDefault="00735649" w:rsidP="00D36937">
      <w:pPr>
        <w:pStyle w:val="ListParagraph"/>
        <w:numPr>
          <w:ilvl w:val="0"/>
          <w:numId w:val="51"/>
        </w:numPr>
        <w:spacing w:after="120"/>
        <w:ind w:left="360"/>
        <w:rPr>
          <w:sz w:val="26"/>
          <w:szCs w:val="26"/>
        </w:rPr>
      </w:pPr>
      <w:r w:rsidRPr="006234AA">
        <w:rPr>
          <w:sz w:val="26"/>
          <w:szCs w:val="26"/>
        </w:rPr>
        <w:t>Đối với trường hợp sử dụng hợp đồng tương lai chỉ số cổ phiếu để tạo ra quyền chọn bán giả định (synthetic put option) nhằm phục vụ mục tiêu bảo hiểm danh mục theo nguyên lý động (dynamic portfolio insurance), vị thế hợp đồng tương lai chỉ số nắm giữ được xác định theo công thức:</w:t>
      </w:r>
    </w:p>
    <w:p w:rsidR="00735649" w:rsidRPr="006234AA" w:rsidRDefault="007965E6" w:rsidP="003C0546">
      <w:pPr>
        <w:spacing w:after="120"/>
        <w:ind w:firstLine="0"/>
        <w:rPr>
          <w:sz w:val="26"/>
          <w:szCs w:val="26"/>
        </w:rPr>
      </w:pPr>
      <m:oMathPara>
        <m:oMath>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F</m:t>
              </m:r>
            </m:sub>
          </m:sSub>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y×(</m:t>
              </m:r>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m:t>
                  </m:r>
                </m:sup>
              </m:sSup>
              <m:r>
                <w:rPr>
                  <w:rFonts w:ascii="Cambria Math" w:hAnsi="Cambria Math"/>
                  <w:sz w:val="26"/>
                  <w:szCs w:val="26"/>
                </w:rPr>
                <m:t>-T)</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e</m:t>
              </m:r>
            </m:e>
            <m:sup>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f</m:t>
                  </m:r>
                </m:sub>
              </m:sSub>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m:t>
                  </m:r>
                </m:sup>
              </m:sSup>
              <m:r>
                <w:rPr>
                  <w:rFonts w:ascii="Cambria Math" w:hAnsi="Cambria Math"/>
                  <w:sz w:val="26"/>
                  <w:szCs w:val="26"/>
                </w:rPr>
                <m:t>-t)</m:t>
              </m:r>
            </m:sup>
          </m:sSup>
          <m:r>
            <w:rPr>
              <w:rFonts w:ascii="Cambria Math" w:hAnsi="Cambria Math"/>
              <w:sz w:val="26"/>
              <w:szCs w:val="26"/>
            </w:rPr>
            <m:t>×</m:t>
          </m:r>
          <m:d>
            <m:dPr>
              <m:begChr m:val="["/>
              <m:endChr m:val="]"/>
              <m:ctrlPr>
                <w:rPr>
                  <w:rFonts w:ascii="Cambria Math" w:hAnsi="Cambria Math"/>
                  <w:i/>
                  <w:sz w:val="26"/>
                  <w:szCs w:val="26"/>
                </w:rPr>
              </m:ctrlPr>
            </m:dPr>
            <m:e>
              <m:r>
                <w:rPr>
                  <w:rFonts w:ascii="Cambria Math" w:hAnsi="Cambria Math"/>
                  <w:sz w:val="26"/>
                  <w:szCs w:val="26"/>
                </w:rPr>
                <m:t>1-N(</m:t>
              </m:r>
              <m:sSub>
                <m:sSubPr>
                  <m:ctrlPr>
                    <w:rPr>
                      <w:rFonts w:ascii="Cambria Math" w:hAnsi="Cambria Math"/>
                      <w:i/>
                      <w:sz w:val="26"/>
                      <w:szCs w:val="26"/>
                    </w:rPr>
                  </m:ctrlPr>
                </m:sSubPr>
                <m:e>
                  <m:r>
                    <w:rPr>
                      <w:rFonts w:ascii="Cambria Math" w:hAnsi="Cambria Math"/>
                      <w:sz w:val="26"/>
                      <w:szCs w:val="26"/>
                    </w:rPr>
                    <m:t>d</m:t>
                  </m:r>
                </m:e>
                <m:sub>
                  <m:r>
                    <w:rPr>
                      <w:rFonts w:ascii="Cambria Math" w:hAnsi="Cambria Math"/>
                      <w:sz w:val="26"/>
                      <w:szCs w:val="26"/>
                    </w:rPr>
                    <m:t>1</m:t>
                  </m:r>
                </m:sub>
              </m:sSub>
              <m:r>
                <w:rPr>
                  <w:rFonts w:ascii="Cambria Math" w:hAnsi="Cambria Math"/>
                  <w:sz w:val="26"/>
                  <w:szCs w:val="26"/>
                </w:rPr>
                <m:t>)</m:t>
              </m:r>
            </m:e>
          </m:d>
        </m:oMath>
      </m:oMathPara>
    </w:p>
    <w:p w:rsidR="00735649" w:rsidRPr="006234AA" w:rsidRDefault="00735649" w:rsidP="003C0546">
      <w:pPr>
        <w:spacing w:after="120"/>
        <w:ind w:firstLine="0"/>
        <w:rPr>
          <w:i/>
          <w:sz w:val="26"/>
          <w:szCs w:val="26"/>
        </w:rPr>
      </w:pPr>
      <w:r w:rsidRPr="006234AA">
        <w:rPr>
          <w:i/>
          <w:sz w:val="26"/>
          <w:szCs w:val="26"/>
        </w:rPr>
        <w:t xml:space="preserve">Trong đó: </w:t>
      </w:r>
    </w:p>
    <w:p w:rsidR="00735649" w:rsidRPr="006234AA" w:rsidRDefault="00735649" w:rsidP="003C0546">
      <w:pPr>
        <w:spacing w:after="120"/>
        <w:ind w:firstLine="0"/>
        <w:rPr>
          <w:sz w:val="26"/>
          <w:szCs w:val="26"/>
        </w:rPr>
      </w:pPr>
      <w:r w:rsidRPr="006234AA">
        <w:rPr>
          <w:sz w:val="26"/>
          <w:szCs w:val="26"/>
        </w:rPr>
        <w:t>N</w:t>
      </w:r>
      <w:r w:rsidRPr="006234AA">
        <w:rPr>
          <w:sz w:val="26"/>
          <w:szCs w:val="26"/>
          <w:vertAlign w:val="subscript"/>
        </w:rPr>
        <w:t>F</w:t>
      </w:r>
      <w:r w:rsidRPr="006234AA">
        <w:rPr>
          <w:sz w:val="26"/>
          <w:szCs w:val="26"/>
        </w:rPr>
        <w:t>: là số lượng hợp đồng tương lai nắm giữ</w:t>
      </w:r>
    </w:p>
    <w:p w:rsidR="00735649" w:rsidRPr="006234AA" w:rsidRDefault="00735649" w:rsidP="003C0546">
      <w:pPr>
        <w:spacing w:after="120"/>
        <w:ind w:firstLine="0"/>
        <w:rPr>
          <w:sz w:val="26"/>
          <w:szCs w:val="26"/>
        </w:rPr>
      </w:pPr>
      <w:r w:rsidRPr="006234AA">
        <w:rPr>
          <w:sz w:val="26"/>
          <w:szCs w:val="26"/>
        </w:rPr>
        <w:t>T</w:t>
      </w:r>
      <w:r w:rsidRPr="006234AA">
        <w:rPr>
          <w:sz w:val="26"/>
          <w:szCs w:val="26"/>
          <w:vertAlign w:val="superscript"/>
        </w:rPr>
        <w:t>*</w:t>
      </w:r>
      <w:r w:rsidRPr="006234AA">
        <w:rPr>
          <w:sz w:val="26"/>
          <w:szCs w:val="26"/>
        </w:rPr>
        <w:t>: là thời gian đáo hạn của hợp đồng tương lai chỉ số sử dụng</w:t>
      </w:r>
    </w:p>
    <w:p w:rsidR="00735649" w:rsidRPr="006234AA" w:rsidRDefault="00735649" w:rsidP="003C0546">
      <w:pPr>
        <w:spacing w:after="120"/>
        <w:ind w:firstLine="0"/>
        <w:rPr>
          <w:sz w:val="26"/>
          <w:szCs w:val="26"/>
        </w:rPr>
      </w:pPr>
      <w:r w:rsidRPr="006234AA">
        <w:rPr>
          <w:sz w:val="26"/>
          <w:szCs w:val="26"/>
        </w:rPr>
        <w:t>T : là thời gian đáo hạn của hợp đồng quyền chọn chỉ số được mô phỏng</w:t>
      </w:r>
    </w:p>
    <w:p w:rsidR="00735649" w:rsidRPr="006234AA" w:rsidRDefault="00735649" w:rsidP="003C0546">
      <w:pPr>
        <w:spacing w:after="120"/>
        <w:ind w:firstLine="0"/>
        <w:rPr>
          <w:sz w:val="26"/>
          <w:szCs w:val="26"/>
        </w:rPr>
      </w:pPr>
      <w:r w:rsidRPr="006234AA">
        <w:rPr>
          <w:sz w:val="26"/>
          <w:szCs w:val="26"/>
        </w:rPr>
        <w:t>t : là thời điểm thiết lập vị thế hợp đồng tương lai</w:t>
      </w:r>
    </w:p>
    <w:p w:rsidR="00735649" w:rsidRPr="006234AA" w:rsidRDefault="00735649" w:rsidP="003C0546">
      <w:pPr>
        <w:spacing w:after="120"/>
        <w:ind w:firstLine="0"/>
        <w:rPr>
          <w:sz w:val="26"/>
          <w:szCs w:val="26"/>
        </w:rPr>
      </w:pPr>
      <w:r w:rsidRPr="006234AA">
        <w:rPr>
          <w:sz w:val="26"/>
          <w:szCs w:val="26"/>
        </w:rPr>
        <w:t>r</w:t>
      </w:r>
      <w:r w:rsidRPr="006234AA">
        <w:rPr>
          <w:sz w:val="26"/>
          <w:szCs w:val="26"/>
          <w:vertAlign w:val="subscript"/>
        </w:rPr>
        <w:t xml:space="preserve">f </w:t>
      </w:r>
      <w:r w:rsidRPr="006234AA">
        <w:rPr>
          <w:sz w:val="26"/>
          <w:szCs w:val="26"/>
        </w:rPr>
        <w:t>: là lãi suất phi rủi ro (tính gộp liên tục)</w:t>
      </w:r>
    </w:p>
    <w:p w:rsidR="00735649" w:rsidRPr="006234AA" w:rsidRDefault="00735649" w:rsidP="003C0546">
      <w:pPr>
        <w:spacing w:after="120"/>
        <w:ind w:firstLine="0"/>
        <w:rPr>
          <w:sz w:val="26"/>
          <w:szCs w:val="26"/>
        </w:rPr>
      </w:pPr>
      <w:r w:rsidRPr="006234AA">
        <w:rPr>
          <w:sz w:val="26"/>
          <w:szCs w:val="26"/>
        </w:rPr>
        <w:lastRenderedPageBreak/>
        <w:t>y : là lợi suất cổ tức (tính gộp liên tục) của chỉ số cổ phiếu cơ sở</w:t>
      </w:r>
    </w:p>
    <w:p w:rsidR="00735649" w:rsidRPr="006234AA" w:rsidRDefault="00735649" w:rsidP="003C0546">
      <w:pPr>
        <w:spacing w:after="120"/>
        <w:ind w:firstLine="0"/>
        <w:rPr>
          <w:sz w:val="26"/>
          <w:szCs w:val="26"/>
        </w:rPr>
      </w:pPr>
      <w:r w:rsidRPr="006234AA">
        <w:rPr>
          <w:sz w:val="26"/>
          <w:szCs w:val="26"/>
        </w:rPr>
        <w:t>N(d</w:t>
      </w:r>
      <w:r w:rsidRPr="006234AA">
        <w:rPr>
          <w:sz w:val="26"/>
          <w:szCs w:val="26"/>
          <w:vertAlign w:val="subscript"/>
        </w:rPr>
        <w:t>1</w:t>
      </w:r>
      <w:r w:rsidRPr="006234AA">
        <w:rPr>
          <w:sz w:val="26"/>
          <w:szCs w:val="26"/>
        </w:rPr>
        <w:t>): là hàm phân phối xác suất tích lũy cho một biến phân phối chuẩn chuẩn hóa (hay là xác suất để một biến mang tính chất này có giá trị nhỏ hơn d</w:t>
      </w:r>
      <w:r w:rsidRPr="006234AA">
        <w:rPr>
          <w:sz w:val="26"/>
          <w:szCs w:val="26"/>
          <w:vertAlign w:val="subscript"/>
        </w:rPr>
        <w:t>1</w:t>
      </w:r>
      <w:r w:rsidRPr="006234AA">
        <w:rPr>
          <w:sz w:val="26"/>
          <w:szCs w:val="26"/>
        </w:rPr>
        <w:t>), với</w:t>
      </w:r>
    </w:p>
    <w:p w:rsidR="00735649" w:rsidRPr="006234AA" w:rsidRDefault="007965E6" w:rsidP="003C0546">
      <w:pPr>
        <w:spacing w:after="120"/>
        <w:ind w:firstLine="0"/>
        <w:rPr>
          <w:sz w:val="26"/>
          <w:szCs w:val="26"/>
        </w:rPr>
      </w:pPr>
      <m:oMathPara>
        <m:oMath>
          <m:sSub>
            <m:sSubPr>
              <m:ctrlPr>
                <w:rPr>
                  <w:rFonts w:ascii="Cambria Math" w:hAnsi="Cambria Math"/>
                  <w:i/>
                  <w:sz w:val="26"/>
                  <w:szCs w:val="26"/>
                </w:rPr>
              </m:ctrlPr>
            </m:sSubPr>
            <m:e>
              <m:r>
                <w:rPr>
                  <w:rFonts w:ascii="Cambria Math" w:hAnsi="Cambria Math"/>
                  <w:sz w:val="26"/>
                  <w:szCs w:val="26"/>
                </w:rPr>
                <m:t>d</m:t>
              </m:r>
            </m:e>
            <m:sub>
              <m:r>
                <w:rPr>
                  <w:rFonts w:ascii="Cambria Math" w:hAnsi="Cambria Math"/>
                  <w:sz w:val="26"/>
                  <w:szCs w:val="26"/>
                </w:rPr>
                <m:t>1</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ln</m:t>
              </m:r>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S</m:t>
                      </m:r>
                    </m:num>
                    <m:den>
                      <m:r>
                        <w:rPr>
                          <w:rFonts w:ascii="Cambria Math" w:hAnsi="Cambria Math"/>
                          <w:sz w:val="26"/>
                          <w:szCs w:val="26"/>
                        </w:rPr>
                        <m:t>K</m:t>
                      </m:r>
                    </m:den>
                  </m:f>
                </m:e>
              </m:d>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f</m:t>
                      </m:r>
                    </m:sub>
                  </m:sSub>
                  <m:r>
                    <w:rPr>
                      <w:rFonts w:ascii="Cambria Math" w:hAnsi="Cambria Math"/>
                      <w:sz w:val="26"/>
                      <w:szCs w:val="26"/>
                    </w:rPr>
                    <m:t>-y</m:t>
                  </m:r>
                </m:e>
              </m:d>
              <m:r>
                <w:rPr>
                  <w:rFonts w:ascii="Cambria Math" w:hAnsi="Cambria Math"/>
                  <w:sz w:val="26"/>
                  <w:szCs w:val="26"/>
                </w:rPr>
                <m:t>×τ</m:t>
              </m:r>
            </m:num>
            <m:den>
              <m:r>
                <w:rPr>
                  <w:rFonts w:ascii="Cambria Math" w:hAnsi="Cambria Math"/>
                  <w:sz w:val="26"/>
                  <w:szCs w:val="26"/>
                </w:rPr>
                <m:t>σ×</m:t>
              </m:r>
              <m:rad>
                <m:radPr>
                  <m:degHide m:val="on"/>
                  <m:ctrlPr>
                    <w:rPr>
                      <w:rFonts w:ascii="Cambria Math" w:hAnsi="Cambria Math"/>
                      <w:i/>
                      <w:sz w:val="26"/>
                      <w:szCs w:val="26"/>
                    </w:rPr>
                  </m:ctrlPr>
                </m:radPr>
                <m:deg/>
                <m:e>
                  <m:r>
                    <w:rPr>
                      <w:rFonts w:ascii="Cambria Math" w:hAnsi="Cambria Math"/>
                      <w:sz w:val="26"/>
                      <w:szCs w:val="26"/>
                    </w:rPr>
                    <m:t>τ</m:t>
                  </m:r>
                </m:e>
              </m:rad>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sz w:val="26"/>
              <w:szCs w:val="26"/>
            </w:rPr>
            <m:t>×σ×</m:t>
          </m:r>
          <m:rad>
            <m:radPr>
              <m:degHide m:val="on"/>
              <m:ctrlPr>
                <w:rPr>
                  <w:rFonts w:ascii="Cambria Math" w:hAnsi="Cambria Math"/>
                  <w:i/>
                  <w:sz w:val="26"/>
                  <w:szCs w:val="26"/>
                </w:rPr>
              </m:ctrlPr>
            </m:radPr>
            <m:deg/>
            <m:e>
              <m:r>
                <w:rPr>
                  <w:rFonts w:ascii="Cambria Math" w:hAnsi="Cambria Math"/>
                  <w:sz w:val="26"/>
                  <w:szCs w:val="26"/>
                </w:rPr>
                <m:t>τ</m:t>
              </m:r>
            </m:e>
          </m:rad>
        </m:oMath>
      </m:oMathPara>
    </w:p>
    <w:p w:rsidR="00735649" w:rsidRPr="006234AA" w:rsidRDefault="00735649" w:rsidP="003C0546">
      <w:pPr>
        <w:spacing w:after="120"/>
        <w:ind w:firstLine="0"/>
        <w:rPr>
          <w:i/>
          <w:sz w:val="26"/>
          <w:szCs w:val="26"/>
        </w:rPr>
      </w:pPr>
      <w:r w:rsidRPr="006234AA">
        <w:rPr>
          <w:i/>
          <w:sz w:val="26"/>
          <w:szCs w:val="26"/>
        </w:rPr>
        <w:t>Trong đó:</w:t>
      </w:r>
    </w:p>
    <w:p w:rsidR="00735649" w:rsidRPr="006234AA" w:rsidRDefault="00735649" w:rsidP="003C0546">
      <w:pPr>
        <w:spacing w:after="120"/>
        <w:ind w:firstLine="0"/>
        <w:rPr>
          <w:sz w:val="26"/>
          <w:szCs w:val="26"/>
        </w:rPr>
      </w:pPr>
      <w:r w:rsidRPr="006234AA">
        <w:rPr>
          <w:sz w:val="26"/>
          <w:szCs w:val="26"/>
        </w:rPr>
        <w:t>S: là giá trị chỉ số tại thời điểm t</w:t>
      </w:r>
    </w:p>
    <w:p w:rsidR="00735649" w:rsidRPr="006234AA" w:rsidRDefault="00735649" w:rsidP="003C0546">
      <w:pPr>
        <w:spacing w:after="120"/>
        <w:ind w:firstLine="0"/>
        <w:rPr>
          <w:sz w:val="26"/>
          <w:szCs w:val="26"/>
        </w:rPr>
      </w:pPr>
      <w:r w:rsidRPr="006234AA">
        <w:rPr>
          <w:sz w:val="26"/>
          <w:szCs w:val="26"/>
        </w:rPr>
        <w:t>K: là giá thực hiện của quyền chọn chỉ số được mô phỏng</w:t>
      </w:r>
    </w:p>
    <w:p w:rsidR="00735649" w:rsidRPr="006234AA" w:rsidRDefault="00735649" w:rsidP="003C0546">
      <w:pPr>
        <w:spacing w:after="120"/>
        <w:ind w:firstLine="0"/>
        <w:rPr>
          <w:sz w:val="26"/>
          <w:szCs w:val="26"/>
        </w:rPr>
      </w:pPr>
      <w:r w:rsidRPr="006234AA">
        <w:rPr>
          <w:sz w:val="26"/>
          <w:szCs w:val="26"/>
        </w:rPr>
        <w:sym w:font="Symbol" w:char="F073"/>
      </w:r>
      <w:r w:rsidRPr="006234AA">
        <w:rPr>
          <w:sz w:val="26"/>
          <w:szCs w:val="26"/>
        </w:rPr>
        <w:t>: là độ lệch chuẩn của mức sinh lời chỉ số cổ phiếu (mức sinh lời tính gộp liên tục)</w:t>
      </w:r>
    </w:p>
    <w:p w:rsidR="00735649" w:rsidRPr="006234AA" w:rsidRDefault="00735649" w:rsidP="003C0546">
      <w:pPr>
        <w:spacing w:after="120"/>
        <w:ind w:firstLine="0"/>
        <w:rPr>
          <w:sz w:val="26"/>
          <w:szCs w:val="26"/>
        </w:rPr>
      </w:pPr>
      <w:r w:rsidRPr="006234AA">
        <w:rPr>
          <w:sz w:val="26"/>
          <w:szCs w:val="26"/>
        </w:rPr>
        <w:sym w:font="Symbol" w:char="F074"/>
      </w:r>
      <w:r w:rsidRPr="006234AA">
        <w:rPr>
          <w:sz w:val="26"/>
          <w:szCs w:val="26"/>
        </w:rPr>
        <w:t>: là thời gian còn lại đến khi đáo hạn quyền chọn được mô phỏng</w:t>
      </w: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pPr>
    </w:p>
    <w:p w:rsidR="00331349" w:rsidRPr="006234AA" w:rsidRDefault="00331349" w:rsidP="003C0546">
      <w:pPr>
        <w:pStyle w:val="Heading5"/>
        <w:spacing w:after="120"/>
        <w:ind w:left="2552" w:hanging="1843"/>
      </w:pPr>
      <w:bookmarkStart w:id="278" w:name="_Toc422672044"/>
      <w:r w:rsidRPr="006234AA">
        <w:t>Đánh giá khả năng khách hàng để gi</w:t>
      </w:r>
      <w:r w:rsidR="00735649" w:rsidRPr="006234AA">
        <w:t>ao dịch các sản phẩm chứng khoán phái sinh</w:t>
      </w:r>
      <w:bookmarkEnd w:id="278"/>
    </w:p>
    <w:p w:rsidR="00735649" w:rsidRPr="006234AA" w:rsidRDefault="00735649" w:rsidP="003C0546">
      <w:pPr>
        <w:spacing w:after="120"/>
        <w:ind w:firstLine="0"/>
        <w:jc w:val="center"/>
        <w:rPr>
          <w:i/>
          <w:iCs/>
          <w:lang w:val="nl-NL"/>
        </w:rPr>
      </w:pPr>
      <w:r w:rsidRPr="006234AA">
        <w:rPr>
          <w:sz w:val="26"/>
          <w:szCs w:val="26"/>
        </w:rPr>
        <w:tab/>
      </w:r>
      <w:r w:rsidRPr="006234AA">
        <w:rPr>
          <w:i/>
          <w:iCs/>
          <w:lang w:val="nl-NL"/>
        </w:rPr>
        <w:t>(Ban hành kèm theo Thông tư số /2014/TT-BTC ngày tháng năm 2014 của Bộ Tài chính về chứng khoán phái sinh và thị trường chứng khoán phái sinh)</w:t>
      </w:r>
    </w:p>
    <w:p w:rsidR="00735649" w:rsidRPr="006234AA" w:rsidRDefault="00735649" w:rsidP="003C0546">
      <w:pPr>
        <w:pStyle w:val="ListParagraph"/>
        <w:numPr>
          <w:ilvl w:val="0"/>
          <w:numId w:val="0"/>
        </w:numPr>
        <w:spacing w:after="120"/>
        <w:ind w:left="426"/>
        <w:rPr>
          <w:sz w:val="26"/>
          <w:szCs w:val="26"/>
        </w:rPr>
      </w:pPr>
    </w:p>
    <w:p w:rsidR="00735649" w:rsidRPr="006234AA" w:rsidRDefault="00027C44" w:rsidP="003C0546">
      <w:pPr>
        <w:spacing w:after="120"/>
        <w:ind w:firstLine="0"/>
        <w:rPr>
          <w:b/>
          <w:lang w:val="nl-NL"/>
        </w:rPr>
      </w:pPr>
      <w:r w:rsidRPr="006234AA">
        <w:rPr>
          <w:b/>
          <w:lang w:val="nl-NL"/>
        </w:rPr>
        <w:t>I. Thông tin cá nhân</w:t>
      </w:r>
    </w:p>
    <w:p w:rsidR="00735649" w:rsidRPr="006234AA" w:rsidRDefault="00027C44" w:rsidP="003C0546">
      <w:pPr>
        <w:spacing w:after="120"/>
        <w:rPr>
          <w:lang w:val="nl-NL"/>
        </w:rPr>
      </w:pPr>
      <w:r w:rsidRPr="006234AA">
        <w:rPr>
          <w:lang w:val="nl-NL"/>
        </w:rPr>
        <w:lastRenderedPageBreak/>
        <w:t>Họ và tên (như trên CMND/hộ chiếu): …</w:t>
      </w:r>
    </w:p>
    <w:p w:rsidR="00735649" w:rsidRPr="006234AA" w:rsidRDefault="00027C44" w:rsidP="003C0546">
      <w:pPr>
        <w:spacing w:after="120"/>
        <w:rPr>
          <w:lang w:val="nl-NL"/>
        </w:rPr>
      </w:pPr>
      <w:r w:rsidRPr="006234AA">
        <w:rPr>
          <w:lang w:val="nl-NL"/>
        </w:rPr>
        <w:t>Số CMND/hộ chiếu: …</w:t>
      </w:r>
    </w:p>
    <w:p w:rsidR="00735649" w:rsidRPr="006234AA" w:rsidRDefault="00027C44" w:rsidP="003C0546">
      <w:pPr>
        <w:spacing w:after="120"/>
        <w:rPr>
          <w:lang w:val="nl-NL"/>
        </w:rPr>
      </w:pPr>
      <w:r w:rsidRPr="006234AA">
        <w:rPr>
          <w:lang w:val="nl-NL"/>
        </w:rPr>
        <w:t>Số hợp đồng: …</w:t>
      </w:r>
    </w:p>
    <w:p w:rsidR="00735649" w:rsidRPr="006234AA" w:rsidRDefault="00027C44" w:rsidP="003C0546">
      <w:pPr>
        <w:spacing w:after="120"/>
        <w:rPr>
          <w:lang w:val="nl-NL"/>
        </w:rPr>
      </w:pPr>
      <w:r w:rsidRPr="006234AA">
        <w:rPr>
          <w:lang w:val="nl-NL"/>
        </w:rPr>
        <w:t>Email: …</w:t>
      </w:r>
    </w:p>
    <w:p w:rsidR="00735649" w:rsidRPr="006234AA" w:rsidRDefault="00027C44" w:rsidP="003C0546">
      <w:pPr>
        <w:spacing w:after="120"/>
        <w:ind w:firstLine="0"/>
        <w:rPr>
          <w:b/>
          <w:lang w:val="nl-NL"/>
        </w:rPr>
      </w:pPr>
      <w:r w:rsidRPr="006234AA">
        <w:rPr>
          <w:b/>
          <w:lang w:val="nl-NL"/>
        </w:rPr>
        <w:t>II. Giới thiệu</w:t>
      </w:r>
    </w:p>
    <w:p w:rsidR="00735649" w:rsidRPr="006234AA" w:rsidRDefault="00027C44" w:rsidP="003C0546">
      <w:pPr>
        <w:spacing w:after="120"/>
        <w:rPr>
          <w:lang w:val="nl-NL"/>
        </w:rPr>
      </w:pPr>
      <w:r w:rsidRPr="006234AA">
        <w:rPr>
          <w:lang w:val="nl-NL"/>
        </w:rPr>
        <w:t>UBCKNN yêu cầu các thành viên giao dịch đánh giá mức độ hiểu biết và kinh nghiệm của các khách hàng là nhà nhà đầu tư cá nhân trước khi môi giới các sản phẩm chứng khoán phái sinh cho khách hàng. Do đó chúng tôi, Công ty …, phải đánh giá những kiến thức và kinh nghiệm của khách hàng có phù hợp để hiểu rủi ro của sản phẩm phái sinh được niêm yết hoặc không được niêm yết trên Sở giao dịch chứng khoán. Việc đánh giá này cũng giúp chúng tôi tìm hiểu để có thể cung cấp dịch vụ tốt hơn cho khách hàng.</w:t>
      </w:r>
    </w:p>
    <w:p w:rsidR="00735649" w:rsidRPr="006234AA" w:rsidRDefault="00735649" w:rsidP="003C0546">
      <w:pPr>
        <w:spacing w:after="120"/>
        <w:rPr>
          <w:lang w:val="nl-NL"/>
        </w:rPr>
      </w:pPr>
      <w:r w:rsidRPr="006234AA">
        <w:rPr>
          <w:lang w:val="nl-NL"/>
        </w:rPr>
        <w:t>Xin vui lòng điền vào mẫu dưới đây và gửi cho chúng tôi về địa chỉ: ...</w:t>
      </w:r>
    </w:p>
    <w:p w:rsidR="00735649" w:rsidRPr="006234AA" w:rsidRDefault="00735649" w:rsidP="003C0546">
      <w:pPr>
        <w:spacing w:after="120"/>
        <w:rPr>
          <w:lang w:val="nl-NL"/>
        </w:rPr>
      </w:pPr>
      <w:r w:rsidRPr="006234AA">
        <w:rPr>
          <w:lang w:val="nl-NL"/>
        </w:rPr>
        <w:t>Ghi chú quan trọng:</w:t>
      </w:r>
    </w:p>
    <w:p w:rsidR="00735649" w:rsidRPr="006234AA" w:rsidRDefault="00735649" w:rsidP="003C0546">
      <w:pPr>
        <w:spacing w:after="120"/>
        <w:rPr>
          <w:lang w:val="nl-NL"/>
        </w:rPr>
      </w:pPr>
      <w:r w:rsidRPr="006234AA">
        <w:rPr>
          <w:lang w:val="nl-NL"/>
        </w:rPr>
        <w:t xml:space="preserve">1) Nhà đầu tư không trả lời phù hợp và chính xác cho các câu hỏi có thể đối mặt với rủi ro được cung cấp, giao dịch các sản phẩm </w:t>
      </w:r>
      <w:r w:rsidR="00027C44" w:rsidRPr="006234AA">
        <w:rPr>
          <w:lang w:val="nl-NL"/>
        </w:rPr>
        <w:t>chứng khoán phái sinh</w:t>
      </w:r>
      <w:r w:rsidRPr="006234AA">
        <w:rPr>
          <w:lang w:val="nl-NL"/>
        </w:rPr>
        <w:t xml:space="preserve"> không phù hợp với hiểu biết và kinh nghiệm của mình, không am hiểu các rủi ro và các đặc trưng của sản phẩm </w:t>
      </w:r>
      <w:r w:rsidR="00027C44" w:rsidRPr="006234AA">
        <w:rPr>
          <w:lang w:val="nl-NL"/>
        </w:rPr>
        <w:t>chứng khoán phái sinh</w:t>
      </w:r>
      <w:r w:rsidRPr="006234AA">
        <w:rPr>
          <w:lang w:val="nl-NL"/>
        </w:rPr>
        <w:t>. Do đó xin vui lòng trả lời các câu hỏi một cách cẩn trọng và cung cấp các thông tin chính xác theo yêu cầu.</w:t>
      </w:r>
    </w:p>
    <w:p w:rsidR="00735649" w:rsidRPr="006234AA" w:rsidRDefault="00735649" w:rsidP="003C0546">
      <w:pPr>
        <w:spacing w:after="120"/>
        <w:rPr>
          <w:lang w:val="nl-NL"/>
        </w:rPr>
      </w:pPr>
      <w:r w:rsidRPr="006234AA">
        <w:rPr>
          <w:lang w:val="nl-NL"/>
        </w:rPr>
        <w:t xml:space="preserve">2) Xin đặc biệt chú ý đảm bảo các câu trả lời và thông tin cung cấp là đầy đủ và chính xác. Nếu các ông/bà không cung cấp bất cứ thông tin nào về trình độ học vấn, kinh nghiệm đầu tư và kinh nghiệm công tác, chúng tôi sẽ coi như ông/bà không có đủ hiểu biết và kinh nghiệm để giao dịch các sản phẩm </w:t>
      </w:r>
      <w:r w:rsidR="00027C44" w:rsidRPr="006234AA">
        <w:rPr>
          <w:lang w:val="nl-NL"/>
        </w:rPr>
        <w:t>chứng khoán phái sinh</w:t>
      </w:r>
      <w:r w:rsidRPr="006234AA">
        <w:rPr>
          <w:lang w:val="nl-NL"/>
        </w:rPr>
        <w:t>.</w:t>
      </w:r>
    </w:p>
    <w:p w:rsidR="00735649" w:rsidRPr="006234AA" w:rsidRDefault="00735649" w:rsidP="003C0546">
      <w:pPr>
        <w:spacing w:after="120"/>
        <w:rPr>
          <w:lang w:val="nl-NL"/>
        </w:rPr>
      </w:pPr>
      <w:r w:rsidRPr="006234AA">
        <w:rPr>
          <w:lang w:val="nl-NL"/>
        </w:rPr>
        <w:t xml:space="preserve">Chú ý việc đánh giá khả năng khách hàng cho các sản phẩm đầu tư </w:t>
      </w:r>
      <w:r w:rsidR="00027C44" w:rsidRPr="006234AA">
        <w:rPr>
          <w:lang w:val="nl-NL"/>
        </w:rPr>
        <w:t>chứng khoán phái sinh</w:t>
      </w:r>
      <w:r w:rsidRPr="006234AA">
        <w:rPr>
          <w:lang w:val="nl-NL"/>
        </w:rPr>
        <w:t xml:space="preserve"> dành cho các nhà đầu tư cá nhân nhưng không bao gồm các nhà đầu tư sau:</w:t>
      </w:r>
    </w:p>
    <w:p w:rsidR="00735649" w:rsidRPr="006234AA" w:rsidRDefault="00735649" w:rsidP="003C0546">
      <w:pPr>
        <w:spacing w:after="120"/>
        <w:rPr>
          <w:lang w:val="nl-NL"/>
        </w:rPr>
      </w:pPr>
      <w:r w:rsidRPr="006234AA">
        <w:rPr>
          <w:lang w:val="nl-NL"/>
        </w:rPr>
        <w:t xml:space="preserve">- Các nhà đầu tư có chứng chỉ hành nghề </w:t>
      </w:r>
      <w:r w:rsidR="00027C44" w:rsidRPr="006234AA">
        <w:rPr>
          <w:lang w:val="nl-NL"/>
        </w:rPr>
        <w:t>chứng khoán phái sinh</w:t>
      </w:r>
      <w:r w:rsidRPr="006234AA">
        <w:rPr>
          <w:lang w:val="nl-NL"/>
        </w:rPr>
        <w:t xml:space="preserve"> phù hợp</w:t>
      </w:r>
    </w:p>
    <w:p w:rsidR="00735649" w:rsidRPr="006234AA" w:rsidRDefault="00735649" w:rsidP="003C0546">
      <w:pPr>
        <w:spacing w:after="120"/>
        <w:rPr>
          <w:lang w:val="nl-NL"/>
        </w:rPr>
      </w:pPr>
      <w:r w:rsidRPr="006234AA">
        <w:rPr>
          <w:lang w:val="nl-NL"/>
        </w:rPr>
        <w:t xml:space="preserve">- Các nhà đầu tư tổ chức </w:t>
      </w:r>
    </w:p>
    <w:p w:rsidR="00735649" w:rsidRPr="006234AA" w:rsidRDefault="00735649" w:rsidP="003C0546">
      <w:pPr>
        <w:spacing w:after="120"/>
        <w:rPr>
          <w:lang w:val="nl-NL"/>
        </w:rPr>
      </w:pPr>
      <w:r w:rsidRPr="006234AA">
        <w:rPr>
          <w:lang w:val="nl-NL"/>
        </w:rPr>
        <w:t>- Các chuyên gia đầu tư</w:t>
      </w:r>
    </w:p>
    <w:p w:rsidR="00735649" w:rsidRPr="006234AA" w:rsidRDefault="00735649" w:rsidP="003C0546">
      <w:pPr>
        <w:spacing w:after="120"/>
        <w:rPr>
          <w:lang w:val="nl-NL"/>
        </w:rPr>
      </w:pPr>
      <w:r w:rsidRPr="006234AA">
        <w:rPr>
          <w:lang w:val="nl-NL"/>
        </w:rPr>
        <w:t>- Các nhà đầu tư nước ngoài</w:t>
      </w:r>
    </w:p>
    <w:p w:rsidR="00735649" w:rsidRPr="006234AA" w:rsidRDefault="00735649" w:rsidP="003C0546">
      <w:pPr>
        <w:spacing w:after="120"/>
        <w:rPr>
          <w:lang w:val="nl-NL"/>
        </w:rPr>
      </w:pPr>
    </w:p>
    <w:p w:rsidR="00735649" w:rsidRPr="006234AA" w:rsidRDefault="00735649" w:rsidP="003C0546">
      <w:pPr>
        <w:spacing w:after="120"/>
        <w:rPr>
          <w:lang w:val="nl-NL"/>
        </w:rPr>
      </w:pPr>
      <w:r w:rsidRPr="006234AA">
        <w:rPr>
          <w:lang w:val="nl-NL"/>
        </w:rPr>
        <w:t>Nếu ông/bà thuộc một trong các nhà đầu tư trên thì không cần điền vào form này. Nếu ông/bà là nhà đầu tư có chứng chỉ hành nghề, chuyên gia, nhà đầu tư nước ngoài, xin vui lòng điền vào mẫu công bố tại trụ sở của chúng tôi.</w:t>
      </w:r>
    </w:p>
    <w:p w:rsidR="00735649" w:rsidRPr="006234AA" w:rsidRDefault="00735649" w:rsidP="003C0546">
      <w:pPr>
        <w:spacing w:after="120"/>
        <w:ind w:firstLine="0"/>
        <w:jc w:val="left"/>
        <w:rPr>
          <w:lang w:val="nl-NL"/>
        </w:rPr>
      </w:pPr>
    </w:p>
    <w:p w:rsidR="00735649" w:rsidRPr="006234AA" w:rsidRDefault="00735649" w:rsidP="003C0546">
      <w:pPr>
        <w:spacing w:after="120"/>
        <w:ind w:firstLine="0"/>
        <w:jc w:val="left"/>
        <w:rPr>
          <w:b/>
          <w:lang w:val="nl-NL"/>
        </w:rPr>
      </w:pPr>
      <w:r w:rsidRPr="006234AA">
        <w:rPr>
          <w:b/>
          <w:lang w:val="nl-NL"/>
        </w:rPr>
        <w:lastRenderedPageBreak/>
        <w:t>III. Trình độ học vấn</w:t>
      </w:r>
    </w:p>
    <w:p w:rsidR="00735649" w:rsidRPr="006234AA" w:rsidRDefault="00735649" w:rsidP="003C0546">
      <w:pPr>
        <w:spacing w:after="120"/>
        <w:ind w:firstLine="720"/>
        <w:jc w:val="left"/>
        <w:rPr>
          <w:lang w:val="nl-NL"/>
        </w:rPr>
      </w:pPr>
      <w:r w:rsidRPr="006234AA">
        <w:rPr>
          <w:lang w:val="nl-NL"/>
        </w:rPr>
        <w:t>Xin vui lòng lựa chọn trình độ học vấn phù hợp như sau:</w:t>
      </w:r>
    </w:p>
    <w:p w:rsidR="00735649" w:rsidRPr="006234AA" w:rsidRDefault="00735649" w:rsidP="003C0546">
      <w:pPr>
        <w:spacing w:after="120"/>
        <w:ind w:firstLine="0"/>
        <w:jc w:val="left"/>
        <w:rPr>
          <w:lang w:val="nl-NL"/>
        </w:rPr>
      </w:pPr>
      <w:r w:rsidRPr="006234AA">
        <w:rPr>
          <w:lang w:val="nl-NL"/>
        </w:rPr>
        <w:t xml:space="preserve">A. </w:t>
      </w:r>
      <w:r w:rsidR="00027C44" w:rsidRPr="006234AA">
        <w:rPr>
          <w:lang w:val="nl-NL"/>
        </w:rPr>
        <w:t>Chứng chỉ hoặc trình độ cao hơn</w:t>
      </w:r>
    </w:p>
    <w:tbl>
      <w:tblPr>
        <w:tblStyle w:val="TableGrid"/>
        <w:tblW w:w="0" w:type="auto"/>
        <w:tblLook w:val="04A0"/>
      </w:tblPr>
      <w:tblGrid>
        <w:gridCol w:w="4643"/>
        <w:gridCol w:w="4644"/>
      </w:tblGrid>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Kế toán</w:t>
            </w:r>
          </w:p>
        </w:tc>
        <w:tc>
          <w:tcPr>
            <w:tcW w:w="4644"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Tài chính điện toán</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Khoa học bảo hiểm</w:t>
            </w:r>
          </w:p>
        </w:tc>
        <w:tc>
          <w:tcPr>
            <w:tcW w:w="4644"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 xml:space="preserve">Kinh tế </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Quản trị kinh doanh/Quản lý</w:t>
            </w:r>
          </w:p>
        </w:tc>
        <w:tc>
          <w:tcPr>
            <w:tcW w:w="4644"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Tài chính/Kỹ sư tài chính</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Thị trường tài chính</w:t>
            </w:r>
          </w:p>
        </w:tc>
        <w:tc>
          <w:tcPr>
            <w:tcW w:w="4644"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Lập kế hoạch tài chính/Bảo hiểm</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Thương mại</w:t>
            </w:r>
          </w:p>
        </w:tc>
        <w:tc>
          <w:tcPr>
            <w:tcW w:w="4644"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Khác: ...</w:t>
            </w:r>
          </w:p>
        </w:tc>
      </w:tr>
    </w:tbl>
    <w:p w:rsidR="00735649" w:rsidRPr="006234AA" w:rsidRDefault="00735649" w:rsidP="003C0546">
      <w:pPr>
        <w:spacing w:after="120"/>
        <w:ind w:firstLine="0"/>
        <w:jc w:val="left"/>
        <w:rPr>
          <w:lang w:val="nl-NL"/>
        </w:rPr>
      </w:pPr>
      <w:r w:rsidRPr="006234AA">
        <w:rPr>
          <w:lang w:val="nl-NL"/>
        </w:rPr>
        <w:t>Tên trường/tổ chức: ...</w:t>
      </w:r>
    </w:p>
    <w:p w:rsidR="00735649" w:rsidRPr="006234AA" w:rsidRDefault="00735649" w:rsidP="003C0546">
      <w:pPr>
        <w:spacing w:after="120"/>
        <w:ind w:firstLine="0"/>
        <w:jc w:val="left"/>
        <w:rPr>
          <w:lang w:val="nl-NL"/>
        </w:rPr>
      </w:pPr>
      <w:r w:rsidRPr="006234AA">
        <w:rPr>
          <w:lang w:val="nl-NL"/>
        </w:rPr>
        <w:t>Năm tốt nghiệp: ...</w:t>
      </w:r>
    </w:p>
    <w:p w:rsidR="00735649" w:rsidRPr="006234AA" w:rsidRDefault="00735649" w:rsidP="003C0546">
      <w:pPr>
        <w:spacing w:after="120"/>
        <w:ind w:firstLine="0"/>
        <w:jc w:val="left"/>
        <w:rPr>
          <w:lang w:val="nl-NL"/>
        </w:rPr>
      </w:pPr>
    </w:p>
    <w:p w:rsidR="00735649" w:rsidRPr="006234AA" w:rsidRDefault="00735649" w:rsidP="003C0546">
      <w:pPr>
        <w:spacing w:after="120"/>
        <w:ind w:firstLine="0"/>
        <w:jc w:val="left"/>
        <w:rPr>
          <w:lang w:val="nl-NL"/>
        </w:rPr>
      </w:pPr>
      <w:r w:rsidRPr="006234AA">
        <w:rPr>
          <w:lang w:val="nl-NL"/>
        </w:rPr>
        <w:t>B. Chứng chỉ nghề nghiệp</w:t>
      </w:r>
    </w:p>
    <w:tbl>
      <w:tblPr>
        <w:tblStyle w:val="TableGrid"/>
        <w:tblW w:w="0" w:type="auto"/>
        <w:tblLook w:val="04A0"/>
      </w:tblPr>
      <w:tblGrid>
        <w:gridCol w:w="4643"/>
        <w:gridCol w:w="4643"/>
      </w:tblGrid>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CPA/ACCA (kế toán, kiểm toán)</w:t>
            </w:r>
          </w:p>
        </w:tc>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Chứng chỉ hành nghề (CCHN) kiểm toán viên</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CFA (đầu tư tài chính)</w:t>
            </w:r>
          </w:p>
        </w:tc>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CCHN chứng khoán/chứng khoán phái sinh: ... (ghi rõ loại CCHN)</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FRM/PRM (quản trị rủi ro)</w:t>
            </w:r>
          </w:p>
        </w:tc>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Khác: ...</w:t>
            </w:r>
          </w:p>
        </w:tc>
      </w:tr>
    </w:tbl>
    <w:p w:rsidR="00735649" w:rsidRPr="006234AA" w:rsidRDefault="00735649" w:rsidP="003C0546">
      <w:pPr>
        <w:spacing w:after="120"/>
        <w:ind w:firstLine="0"/>
        <w:jc w:val="left"/>
        <w:rPr>
          <w:lang w:val="nl-NL"/>
        </w:rPr>
      </w:pPr>
      <w:r w:rsidRPr="006234AA">
        <w:rPr>
          <w:lang w:val="nl-NL"/>
        </w:rPr>
        <w:t>Năm tốt nghiệp: ...</w:t>
      </w:r>
    </w:p>
    <w:p w:rsidR="00735649" w:rsidRPr="006234AA" w:rsidRDefault="00735649" w:rsidP="003C0546">
      <w:pPr>
        <w:spacing w:after="120"/>
        <w:ind w:firstLine="0"/>
        <w:jc w:val="left"/>
      </w:pPr>
    </w:p>
    <w:p w:rsidR="00735649" w:rsidRPr="006234AA" w:rsidRDefault="00735649" w:rsidP="003C0546">
      <w:pPr>
        <w:spacing w:after="120"/>
        <w:ind w:firstLine="0"/>
        <w:jc w:val="left"/>
        <w:rPr>
          <w:b/>
        </w:rPr>
      </w:pPr>
      <w:r w:rsidRPr="006234AA">
        <w:rPr>
          <w:b/>
        </w:rPr>
        <w:t>IV. Kinh nghiệm làm việc</w:t>
      </w:r>
    </w:p>
    <w:p w:rsidR="00735649" w:rsidRPr="006234AA" w:rsidRDefault="00735649" w:rsidP="003C0546">
      <w:pPr>
        <w:spacing w:after="120"/>
        <w:ind w:firstLine="720"/>
        <w:jc w:val="left"/>
      </w:pPr>
      <w:r w:rsidRPr="006234AA">
        <w:t>Xin vui lòng chọn kinh nghiệm làm việc của ông/bà trong 10 năm gần đây với ít nhất 03 năm liên tục trong các lĩnh vực sau. Lưu ý rằng các chức năng hỗ trợ như quản lý và văn phòng sẽ không được coi là kinh nghiệm phù hợp.</w:t>
      </w:r>
    </w:p>
    <w:p w:rsidR="00735649" w:rsidRPr="006234AA" w:rsidRDefault="00735649" w:rsidP="003C0546">
      <w:pPr>
        <w:spacing w:after="120"/>
        <w:ind w:firstLine="0"/>
        <w:jc w:val="left"/>
      </w:pPr>
    </w:p>
    <w:tbl>
      <w:tblPr>
        <w:tblStyle w:val="TableGrid"/>
        <w:tblW w:w="0" w:type="auto"/>
        <w:tblLook w:val="04A0"/>
      </w:tblPr>
      <w:tblGrid>
        <w:gridCol w:w="4643"/>
        <w:gridCol w:w="4644"/>
      </w:tblGrid>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Phát triển/cấu trúc sản phẩm đầu tư</w:t>
            </w:r>
          </w:p>
        </w:tc>
        <w:tc>
          <w:tcPr>
            <w:tcW w:w="4644"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Kinh nghiệm làm việc về khoa học bào hiểm</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Quản lý sản phẩm đầu tư</w:t>
            </w:r>
          </w:p>
        </w:tc>
        <w:tc>
          <w:tcPr>
            <w:tcW w:w="4644"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Kinh nghiệm làm việc về quản trị rủi ro tài chính</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 xml:space="preserve">Nghiên cứu/phân tích sản phẩm đầu </w:t>
            </w:r>
            <w:r w:rsidR="00735649" w:rsidRPr="006234AA">
              <w:rPr>
                <w:lang w:val="nl-NL"/>
              </w:rPr>
              <w:lastRenderedPageBreak/>
              <w:t>tư</w:t>
            </w:r>
          </w:p>
        </w:tc>
        <w:tc>
          <w:tcPr>
            <w:tcW w:w="4644" w:type="dxa"/>
          </w:tcPr>
          <w:p w:rsidR="00735649" w:rsidRPr="006234AA" w:rsidRDefault="007965E6" w:rsidP="003C0546">
            <w:pPr>
              <w:spacing w:after="120"/>
              <w:ind w:firstLine="0"/>
              <w:jc w:val="left"/>
              <w:rPr>
                <w:lang w:val="nl-NL"/>
              </w:rPr>
            </w:pPr>
            <w:r w:rsidRPr="006234AA">
              <w:rPr>
                <w:sz w:val="20"/>
                <w:szCs w:val="20"/>
                <w:lang w:val="nl-NL"/>
              </w:rPr>
              <w:lastRenderedPageBreak/>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 xml:space="preserve">Kinh nghiệm làm việc về ngân </w:t>
            </w:r>
            <w:r w:rsidR="00735649" w:rsidRPr="006234AA">
              <w:rPr>
                <w:lang w:val="nl-NL"/>
              </w:rPr>
              <w:lastRenderedPageBreak/>
              <w:t>khố/kho bạc</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lastRenderedPageBreak/>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Đào tạo về sản phẩm đầu tư</w:t>
            </w:r>
          </w:p>
        </w:tc>
        <w:tc>
          <w:tcPr>
            <w:tcW w:w="4644"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Kinh nghiệm làm việc về luật</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Bán hàng/giao dịch sản phẩm đầu tư</w:t>
            </w:r>
          </w:p>
        </w:tc>
        <w:tc>
          <w:tcPr>
            <w:tcW w:w="4644"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Khác: Liệt kê chi tiết</w:t>
            </w:r>
          </w:p>
        </w:tc>
      </w:tr>
      <w:tr w:rsidR="00735649" w:rsidRPr="006234AA" w:rsidTr="00A15B69">
        <w:tc>
          <w:tcPr>
            <w:tcW w:w="4643" w:type="dxa"/>
          </w:tcPr>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Kinh nghiệm làm việc về kế toán</w:t>
            </w:r>
          </w:p>
        </w:tc>
        <w:tc>
          <w:tcPr>
            <w:tcW w:w="4644" w:type="dxa"/>
          </w:tcPr>
          <w:p w:rsidR="00735649" w:rsidRPr="006234AA" w:rsidRDefault="00735649" w:rsidP="003C0546">
            <w:pPr>
              <w:spacing w:after="120"/>
              <w:ind w:firstLine="0"/>
              <w:jc w:val="left"/>
              <w:rPr>
                <w:lang w:val="nl-NL"/>
              </w:rPr>
            </w:pPr>
          </w:p>
        </w:tc>
      </w:tr>
    </w:tbl>
    <w:p w:rsidR="00735649" w:rsidRPr="006234AA" w:rsidRDefault="00735649" w:rsidP="003C0546">
      <w:pPr>
        <w:spacing w:after="120"/>
        <w:ind w:firstLine="0"/>
        <w:jc w:val="left"/>
        <w:rPr>
          <w:lang w:val="nl-NL"/>
        </w:rPr>
      </w:pPr>
    </w:p>
    <w:p w:rsidR="00735649" w:rsidRPr="006234AA" w:rsidRDefault="00027C44" w:rsidP="003C0546">
      <w:pPr>
        <w:spacing w:after="120"/>
        <w:ind w:firstLine="0"/>
        <w:jc w:val="left"/>
        <w:rPr>
          <w:b/>
          <w:lang w:val="nl-NL"/>
        </w:rPr>
      </w:pPr>
      <w:r w:rsidRPr="006234AA">
        <w:rPr>
          <w:b/>
          <w:lang w:val="nl-NL"/>
        </w:rPr>
        <w:t>V. Kinh nghiệm đầu tư</w:t>
      </w:r>
    </w:p>
    <w:p w:rsidR="00735649" w:rsidRPr="006234AA" w:rsidRDefault="00027C44" w:rsidP="003C0546">
      <w:pPr>
        <w:spacing w:after="120"/>
        <w:ind w:firstLine="720"/>
        <w:jc w:val="left"/>
        <w:rPr>
          <w:lang w:val="nl-NL"/>
        </w:rPr>
      </w:pPr>
      <w:r w:rsidRPr="006234AA">
        <w:rPr>
          <w:lang w:val="nl-NL"/>
        </w:rPr>
        <w:t>Xin vui lòng chọn sản phẩm đầu tư ông/bà đã có ít nhất 06 giao dịch trong 03 năm trước đây:</w:t>
      </w:r>
    </w:p>
    <w:p w:rsidR="00735649" w:rsidRPr="006234AA" w:rsidRDefault="007965E6" w:rsidP="003C0546">
      <w:pPr>
        <w:spacing w:after="120"/>
        <w:ind w:firstLine="0"/>
        <w:jc w:val="left"/>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 xml:space="preserve">Hợp đồng tương lai </w:t>
      </w:r>
      <w:r w:rsidR="00735649" w:rsidRPr="006234AA">
        <w:rPr>
          <w:lang w:val="nl-NL"/>
        </w:rPr>
        <w:tab/>
      </w:r>
      <w:r w:rsidR="00735649" w:rsidRPr="006234AA">
        <w:rPr>
          <w:lang w:val="nl-NL"/>
        </w:rPr>
        <w:tab/>
      </w: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Ngoại tệ</w:t>
      </w:r>
      <w:r w:rsidR="00735649" w:rsidRPr="006234AA">
        <w:rPr>
          <w:lang w:val="nl-NL"/>
        </w:rPr>
        <w:tab/>
      </w:r>
      <w:r w:rsidR="00735649" w:rsidRPr="006234AA">
        <w:rPr>
          <w:lang w:val="nl-NL"/>
        </w:rPr>
        <w:tab/>
      </w: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Khác</w:t>
      </w:r>
    </w:p>
    <w:p w:rsidR="00735649" w:rsidRPr="006234AA" w:rsidRDefault="00735649" w:rsidP="003C0546">
      <w:pPr>
        <w:spacing w:after="120"/>
        <w:ind w:firstLine="0"/>
        <w:jc w:val="left"/>
        <w:rPr>
          <w:lang w:val="nl-NL"/>
        </w:rPr>
      </w:pPr>
      <w:r w:rsidRPr="006234AA">
        <w:rPr>
          <w:lang w:val="nl-NL"/>
        </w:rPr>
        <w:t>Tên các sản phẩm đầu tư: ...</w:t>
      </w:r>
      <w:r w:rsidRPr="006234AA">
        <w:rPr>
          <w:lang w:val="nl-NL"/>
        </w:rPr>
        <w:tab/>
        <w:t>Năm giao dịch gần nhất: ...</w:t>
      </w:r>
    </w:p>
    <w:p w:rsidR="00735649" w:rsidRPr="006234AA" w:rsidRDefault="00735649" w:rsidP="003C0546">
      <w:pPr>
        <w:spacing w:after="120"/>
        <w:ind w:firstLine="0"/>
        <w:jc w:val="left"/>
        <w:rPr>
          <w:lang w:val="nl-NL"/>
        </w:rPr>
      </w:pPr>
    </w:p>
    <w:p w:rsidR="00735649" w:rsidRPr="006234AA" w:rsidRDefault="00735649" w:rsidP="003C0546">
      <w:pPr>
        <w:spacing w:after="120"/>
        <w:ind w:firstLine="0"/>
        <w:jc w:val="left"/>
        <w:rPr>
          <w:b/>
          <w:lang w:val="nl-NL"/>
        </w:rPr>
      </w:pPr>
      <w:r w:rsidRPr="006234AA">
        <w:rPr>
          <w:b/>
          <w:lang w:val="nl-NL"/>
        </w:rPr>
        <w:t>VI. Các khóa đào tạo đã tham gia</w:t>
      </w:r>
    </w:p>
    <w:p w:rsidR="00735649" w:rsidRPr="006234AA" w:rsidRDefault="00735649" w:rsidP="003C0546">
      <w:pPr>
        <w:spacing w:after="120"/>
        <w:ind w:firstLine="720"/>
        <w:jc w:val="left"/>
        <w:rPr>
          <w:lang w:val="nl-NL"/>
        </w:rPr>
      </w:pPr>
      <w:r w:rsidRPr="006234AA">
        <w:rPr>
          <w:lang w:val="nl-NL"/>
        </w:rPr>
        <w:t>Liệt kê cụ thể: ...</w:t>
      </w:r>
    </w:p>
    <w:p w:rsidR="00735649" w:rsidRPr="006234AA" w:rsidRDefault="00735649" w:rsidP="003C0546">
      <w:pPr>
        <w:spacing w:after="120"/>
        <w:ind w:firstLine="0"/>
        <w:jc w:val="left"/>
        <w:rPr>
          <w:lang w:val="nl-NL"/>
        </w:rPr>
      </w:pPr>
    </w:p>
    <w:p w:rsidR="00735649" w:rsidRPr="006234AA" w:rsidRDefault="00735649" w:rsidP="003C0546">
      <w:pPr>
        <w:spacing w:after="120"/>
        <w:ind w:firstLine="720"/>
        <w:jc w:val="left"/>
        <w:rPr>
          <w:lang w:val="nl-NL"/>
        </w:rPr>
      </w:pPr>
      <w:r w:rsidRPr="006234AA">
        <w:rPr>
          <w:lang w:val="nl-NL"/>
        </w:rPr>
        <w:t>Tôi cam kết các thông tin cung cấp trên đây là chính xác và phù hợp.</w:t>
      </w:r>
    </w:p>
    <w:p w:rsidR="00735649" w:rsidRPr="006234AA" w:rsidRDefault="00735649" w:rsidP="003C0546">
      <w:pPr>
        <w:spacing w:after="120"/>
        <w:ind w:firstLine="0"/>
        <w:jc w:val="left"/>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735649" w:rsidRPr="006234AA" w:rsidTr="00A15B69">
        <w:tc>
          <w:tcPr>
            <w:tcW w:w="4643" w:type="dxa"/>
          </w:tcPr>
          <w:p w:rsidR="00735649" w:rsidRPr="006234AA" w:rsidRDefault="00735649" w:rsidP="003C0546">
            <w:pPr>
              <w:spacing w:after="120"/>
              <w:ind w:firstLine="0"/>
              <w:jc w:val="left"/>
              <w:rPr>
                <w:lang w:val="nl-NL"/>
              </w:rPr>
            </w:pPr>
          </w:p>
        </w:tc>
        <w:tc>
          <w:tcPr>
            <w:tcW w:w="4644" w:type="dxa"/>
          </w:tcPr>
          <w:p w:rsidR="00735649" w:rsidRPr="006234AA" w:rsidRDefault="00735649" w:rsidP="003C0546">
            <w:pPr>
              <w:spacing w:after="120"/>
              <w:ind w:firstLine="0"/>
              <w:jc w:val="right"/>
              <w:rPr>
                <w:i/>
                <w:lang w:val="nl-NL"/>
              </w:rPr>
            </w:pPr>
            <w:r w:rsidRPr="006234AA">
              <w:rPr>
                <w:i/>
                <w:lang w:val="nl-NL"/>
              </w:rPr>
              <w:t>..., ngày ... tháng ... năm ...</w:t>
            </w:r>
          </w:p>
          <w:p w:rsidR="00735649" w:rsidRPr="006234AA" w:rsidRDefault="00735649" w:rsidP="003C0546">
            <w:pPr>
              <w:spacing w:after="120"/>
              <w:ind w:firstLine="0"/>
              <w:jc w:val="center"/>
              <w:rPr>
                <w:b/>
                <w:lang w:val="nl-NL"/>
              </w:rPr>
            </w:pPr>
            <w:r w:rsidRPr="006234AA">
              <w:rPr>
                <w:b/>
                <w:lang w:val="nl-NL"/>
              </w:rPr>
              <w:t>Người khai</w:t>
            </w:r>
          </w:p>
          <w:p w:rsidR="00735649" w:rsidRPr="006234AA" w:rsidRDefault="00735649" w:rsidP="003C0546">
            <w:pPr>
              <w:spacing w:after="120"/>
              <w:ind w:firstLine="0"/>
              <w:jc w:val="center"/>
              <w:rPr>
                <w:i/>
                <w:lang w:val="nl-NL"/>
              </w:rPr>
            </w:pPr>
            <w:r w:rsidRPr="006234AA">
              <w:rPr>
                <w:i/>
                <w:lang w:val="nl-NL"/>
              </w:rPr>
              <w:t>(ký và ghi rõ họ tên)</w:t>
            </w:r>
          </w:p>
          <w:p w:rsidR="00735649" w:rsidRPr="006234AA" w:rsidRDefault="00735649" w:rsidP="003C0546">
            <w:pPr>
              <w:spacing w:after="120"/>
              <w:ind w:firstLine="0"/>
              <w:jc w:val="center"/>
              <w:rPr>
                <w:lang w:val="nl-NL"/>
              </w:rPr>
            </w:pPr>
          </w:p>
        </w:tc>
      </w:tr>
    </w:tbl>
    <w:p w:rsidR="00735649" w:rsidRPr="006234AA" w:rsidRDefault="00735649" w:rsidP="003C0546">
      <w:pPr>
        <w:spacing w:after="120"/>
        <w:ind w:firstLine="0"/>
        <w:jc w:val="left"/>
        <w:rPr>
          <w:lang w:val="nl-NL"/>
        </w:rPr>
      </w:pPr>
    </w:p>
    <w:p w:rsidR="00735649" w:rsidRPr="006234AA" w:rsidRDefault="00735649" w:rsidP="003C0546">
      <w:pPr>
        <w:spacing w:after="120"/>
        <w:ind w:firstLine="0"/>
        <w:jc w:val="left"/>
      </w:pPr>
      <w:r w:rsidRPr="006234AA">
        <w:t>PHẦN DÀNH CHO NHÂN VIÊN</w:t>
      </w:r>
    </w:p>
    <w:tbl>
      <w:tblPr>
        <w:tblStyle w:val="TableGrid"/>
        <w:tblW w:w="0" w:type="auto"/>
        <w:tblLook w:val="04A0"/>
      </w:tblPr>
      <w:tblGrid>
        <w:gridCol w:w="3095"/>
        <w:gridCol w:w="3096"/>
        <w:gridCol w:w="3096"/>
      </w:tblGrid>
      <w:tr w:rsidR="00735649" w:rsidRPr="006234AA" w:rsidTr="00A15B69">
        <w:tc>
          <w:tcPr>
            <w:tcW w:w="9287" w:type="dxa"/>
            <w:gridSpan w:val="3"/>
          </w:tcPr>
          <w:p w:rsidR="00735649" w:rsidRPr="006234AA" w:rsidRDefault="00735649" w:rsidP="003C0546">
            <w:pPr>
              <w:spacing w:after="120"/>
              <w:ind w:firstLine="0"/>
              <w:jc w:val="center"/>
            </w:pPr>
            <w:r w:rsidRPr="006234AA">
              <w:t>Kết quả: Đạt yêu cầu/Không đạt yêu cầu</w:t>
            </w:r>
          </w:p>
        </w:tc>
      </w:tr>
      <w:tr w:rsidR="00735649" w:rsidRPr="006234AA" w:rsidTr="00A15B69">
        <w:tc>
          <w:tcPr>
            <w:tcW w:w="3095" w:type="dxa"/>
          </w:tcPr>
          <w:p w:rsidR="00735649" w:rsidRPr="006234AA" w:rsidRDefault="00735649" w:rsidP="003C0546">
            <w:pPr>
              <w:spacing w:after="120"/>
              <w:ind w:firstLine="0"/>
              <w:jc w:val="left"/>
              <w:rPr>
                <w:b/>
              </w:rPr>
            </w:pPr>
            <w:r w:rsidRPr="006234AA">
              <w:rPr>
                <w:b/>
              </w:rPr>
              <w:t>Kiểm soát chữ ký</w:t>
            </w:r>
          </w:p>
          <w:p w:rsidR="00735649" w:rsidRPr="006234AA" w:rsidRDefault="00735649" w:rsidP="003C0546">
            <w:pPr>
              <w:spacing w:after="120"/>
              <w:ind w:firstLine="0"/>
              <w:jc w:val="left"/>
              <w:rPr>
                <w:b/>
              </w:rPr>
            </w:pPr>
          </w:p>
          <w:p w:rsidR="00735649" w:rsidRPr="006234AA" w:rsidRDefault="00735649" w:rsidP="003C0546">
            <w:pPr>
              <w:spacing w:after="120"/>
              <w:ind w:firstLine="0"/>
              <w:jc w:val="left"/>
              <w:rPr>
                <w:b/>
              </w:rPr>
            </w:pPr>
          </w:p>
        </w:tc>
        <w:tc>
          <w:tcPr>
            <w:tcW w:w="3096" w:type="dxa"/>
          </w:tcPr>
          <w:p w:rsidR="00735649" w:rsidRPr="006234AA" w:rsidRDefault="00735649" w:rsidP="003C0546">
            <w:pPr>
              <w:spacing w:after="120"/>
              <w:ind w:firstLine="0"/>
              <w:jc w:val="left"/>
              <w:rPr>
                <w:b/>
              </w:rPr>
            </w:pPr>
            <w:r w:rsidRPr="006234AA">
              <w:rPr>
                <w:b/>
              </w:rPr>
              <w:t>Nhập liệu</w:t>
            </w:r>
          </w:p>
        </w:tc>
        <w:tc>
          <w:tcPr>
            <w:tcW w:w="3096" w:type="dxa"/>
          </w:tcPr>
          <w:p w:rsidR="00735649" w:rsidRPr="006234AA" w:rsidRDefault="00735649" w:rsidP="003C0546">
            <w:pPr>
              <w:spacing w:after="120"/>
              <w:ind w:firstLine="0"/>
              <w:jc w:val="left"/>
              <w:rPr>
                <w:b/>
              </w:rPr>
            </w:pPr>
            <w:r w:rsidRPr="006234AA">
              <w:rPr>
                <w:b/>
              </w:rPr>
              <w:t>Kiểm tra</w:t>
            </w:r>
          </w:p>
        </w:tc>
      </w:tr>
      <w:tr w:rsidR="00735649" w:rsidRPr="006234AA" w:rsidTr="00A15B69">
        <w:tc>
          <w:tcPr>
            <w:tcW w:w="3095" w:type="dxa"/>
          </w:tcPr>
          <w:p w:rsidR="00735649" w:rsidRPr="006234AA" w:rsidRDefault="00735649" w:rsidP="003C0546">
            <w:pPr>
              <w:spacing w:after="120"/>
              <w:ind w:firstLine="0"/>
              <w:jc w:val="left"/>
            </w:pPr>
            <w:r w:rsidRPr="006234AA">
              <w:t>Ký, ghi rõ họ tên:</w:t>
            </w:r>
          </w:p>
          <w:p w:rsidR="00735649" w:rsidRPr="006234AA" w:rsidRDefault="00735649" w:rsidP="003C0546">
            <w:pPr>
              <w:spacing w:after="120"/>
              <w:ind w:firstLine="0"/>
              <w:jc w:val="left"/>
            </w:pPr>
          </w:p>
          <w:p w:rsidR="00735649" w:rsidRPr="006234AA" w:rsidRDefault="00735649" w:rsidP="003C0546">
            <w:pPr>
              <w:spacing w:after="120"/>
              <w:ind w:firstLine="0"/>
              <w:jc w:val="left"/>
            </w:pPr>
            <w:r w:rsidRPr="006234AA">
              <w:t>Ngày:</w:t>
            </w:r>
          </w:p>
        </w:tc>
        <w:tc>
          <w:tcPr>
            <w:tcW w:w="3096" w:type="dxa"/>
          </w:tcPr>
          <w:p w:rsidR="00735649" w:rsidRPr="006234AA" w:rsidRDefault="00735649" w:rsidP="003C0546">
            <w:pPr>
              <w:spacing w:after="120"/>
              <w:ind w:firstLine="0"/>
              <w:jc w:val="left"/>
            </w:pPr>
            <w:r w:rsidRPr="006234AA">
              <w:t>Ký, ghi rõ họ tên:</w:t>
            </w:r>
          </w:p>
          <w:p w:rsidR="00735649" w:rsidRPr="006234AA" w:rsidRDefault="00735649" w:rsidP="003C0546">
            <w:pPr>
              <w:spacing w:after="120"/>
              <w:ind w:firstLine="0"/>
              <w:jc w:val="left"/>
            </w:pPr>
          </w:p>
          <w:p w:rsidR="00735649" w:rsidRPr="006234AA" w:rsidRDefault="00735649" w:rsidP="003C0546">
            <w:pPr>
              <w:spacing w:after="120"/>
              <w:ind w:firstLine="0"/>
              <w:jc w:val="left"/>
            </w:pPr>
            <w:r w:rsidRPr="006234AA">
              <w:t>Ngày:</w:t>
            </w:r>
          </w:p>
        </w:tc>
        <w:tc>
          <w:tcPr>
            <w:tcW w:w="3096" w:type="dxa"/>
          </w:tcPr>
          <w:p w:rsidR="00735649" w:rsidRPr="006234AA" w:rsidRDefault="00735649" w:rsidP="003C0546">
            <w:pPr>
              <w:spacing w:after="120"/>
              <w:ind w:firstLine="0"/>
              <w:jc w:val="left"/>
            </w:pPr>
            <w:r w:rsidRPr="006234AA">
              <w:t>Ký, ghi rõ họ tên:</w:t>
            </w:r>
          </w:p>
          <w:p w:rsidR="00735649" w:rsidRPr="006234AA" w:rsidRDefault="00735649" w:rsidP="003C0546">
            <w:pPr>
              <w:spacing w:after="120"/>
              <w:ind w:firstLine="0"/>
              <w:jc w:val="left"/>
            </w:pPr>
          </w:p>
          <w:p w:rsidR="00735649" w:rsidRPr="006234AA" w:rsidRDefault="00735649" w:rsidP="003C0546">
            <w:pPr>
              <w:spacing w:after="120"/>
              <w:ind w:firstLine="0"/>
              <w:jc w:val="left"/>
              <w:rPr>
                <w:b/>
              </w:rPr>
            </w:pPr>
            <w:r w:rsidRPr="006234AA">
              <w:t>Ngày:</w:t>
            </w:r>
          </w:p>
        </w:tc>
      </w:tr>
    </w:tbl>
    <w:p w:rsidR="00735649" w:rsidRPr="006234AA" w:rsidRDefault="00735649" w:rsidP="003C0546">
      <w:pPr>
        <w:spacing w:after="120"/>
        <w:ind w:firstLine="0"/>
        <w:jc w:val="left"/>
      </w:pPr>
    </w:p>
    <w:p w:rsidR="00735649" w:rsidRPr="006234AA" w:rsidRDefault="00735649" w:rsidP="003C0546">
      <w:pPr>
        <w:spacing w:after="120"/>
        <w:ind w:firstLine="0"/>
        <w:jc w:val="left"/>
      </w:pPr>
      <w:r w:rsidRPr="006234AA">
        <w:br w:type="page"/>
      </w:r>
    </w:p>
    <w:p w:rsidR="00331349" w:rsidRPr="006234AA" w:rsidRDefault="00331349" w:rsidP="003C0546">
      <w:pPr>
        <w:pStyle w:val="ListParagraph"/>
        <w:numPr>
          <w:ilvl w:val="0"/>
          <w:numId w:val="0"/>
        </w:numPr>
        <w:tabs>
          <w:tab w:val="left" w:pos="2901"/>
        </w:tabs>
        <w:spacing w:after="120"/>
        <w:ind w:left="426"/>
        <w:rPr>
          <w:sz w:val="26"/>
          <w:szCs w:val="26"/>
        </w:rPr>
      </w:pPr>
    </w:p>
    <w:p w:rsidR="00C7299A" w:rsidRPr="006234AA" w:rsidRDefault="00C7299A" w:rsidP="003C0546">
      <w:pPr>
        <w:pStyle w:val="Heading5"/>
        <w:spacing w:after="120"/>
        <w:ind w:hanging="2203"/>
      </w:pPr>
      <w:bookmarkStart w:id="279" w:name="_Toc422672045"/>
      <w:r w:rsidRPr="006234AA">
        <w:t>Bản tuyên bố rủi ro</w:t>
      </w:r>
      <w:bookmarkEnd w:id="279"/>
    </w:p>
    <w:p w:rsidR="00C7299A" w:rsidRPr="006234AA" w:rsidRDefault="00C7299A"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C7299A" w:rsidRPr="006234AA" w:rsidRDefault="00C7299A" w:rsidP="003C0546">
      <w:pPr>
        <w:spacing w:after="120"/>
        <w:ind w:firstLine="0"/>
        <w:rPr>
          <w:lang w:val="nl-NL"/>
        </w:rPr>
      </w:pPr>
    </w:p>
    <w:p w:rsidR="00C7299A" w:rsidRPr="006234AA" w:rsidRDefault="00C7299A" w:rsidP="003C0546">
      <w:pPr>
        <w:spacing w:after="120"/>
        <w:ind w:firstLine="0"/>
        <w:jc w:val="center"/>
        <w:rPr>
          <w:b/>
          <w:lang w:val="nl-NL"/>
        </w:rPr>
      </w:pPr>
      <w:r w:rsidRPr="006234AA">
        <w:rPr>
          <w:b/>
          <w:lang w:val="nl-NL"/>
        </w:rPr>
        <w:t>BẢN TUYÊN BỐ RỦI RO</w:t>
      </w:r>
    </w:p>
    <w:p w:rsidR="00C7299A" w:rsidRPr="006234AA" w:rsidRDefault="00C7299A" w:rsidP="003C0546">
      <w:pPr>
        <w:spacing w:after="120"/>
        <w:ind w:firstLine="0"/>
        <w:rPr>
          <w:lang w:val="nl-NL"/>
        </w:rPr>
      </w:pPr>
    </w:p>
    <w:p w:rsidR="00C7299A" w:rsidRPr="006234AA" w:rsidRDefault="00C7299A" w:rsidP="003C0546">
      <w:pPr>
        <w:spacing w:after="120"/>
        <w:rPr>
          <w:lang w:val="nl-NL"/>
        </w:rPr>
      </w:pPr>
      <w:r w:rsidRPr="006234AA">
        <w:rPr>
          <w:lang w:val="nl-NL"/>
        </w:rPr>
        <w:t>1. Bản tuyên bố này được cung cấp cho nhà đầu tư theo quy định tại … Thông tư số /2014/TT-BTC ngày … của Bộ trưởng Bộ Tài chính.</w:t>
      </w:r>
    </w:p>
    <w:p w:rsidR="00C7299A" w:rsidRPr="006234AA" w:rsidRDefault="00C7299A" w:rsidP="003C0546">
      <w:pPr>
        <w:spacing w:after="120"/>
        <w:rPr>
          <w:lang w:val="nl-NL"/>
        </w:rPr>
      </w:pPr>
      <w:r w:rsidRPr="006234AA">
        <w:rPr>
          <w:lang w:val="nl-NL"/>
        </w:rPr>
        <w:t>2. Mục đích của tuyên bố này là thông báo cho cho nhà đầu tư biết rủi ro tổn thất trong các giao dịch hợp đồng tương lai có thể rất lớn.</w:t>
      </w:r>
    </w:p>
    <w:p w:rsidR="00C7299A" w:rsidRPr="006234AA" w:rsidRDefault="00C7299A" w:rsidP="003C0546">
      <w:pPr>
        <w:spacing w:after="120"/>
        <w:rPr>
          <w:lang w:val="nl-NL"/>
        </w:rPr>
      </w:pPr>
      <w:r w:rsidRPr="006234AA">
        <w:rPr>
          <w:lang w:val="nl-NL"/>
        </w:rPr>
        <w:t>3. Nhà đầu tư cần cẩn trọng xem xét các giao dịch chứng khoán phái sinh có phù hợp với các điều kiện tài chính của mình hay không.</w:t>
      </w:r>
    </w:p>
    <w:p w:rsidR="00C7299A" w:rsidRPr="006234AA" w:rsidRDefault="00C7299A" w:rsidP="003C0546">
      <w:pPr>
        <w:spacing w:after="120"/>
        <w:rPr>
          <w:lang w:val="nl-NL"/>
        </w:rPr>
      </w:pPr>
      <w:r w:rsidRPr="006234AA">
        <w:rPr>
          <w:lang w:val="nl-NL"/>
        </w:rPr>
        <w:t>4. Khi cân nhắc việc có giao dịch chứng khoán phái sinh hay không, nhà đầu tư cần lưu ý những điều sau:</w:t>
      </w:r>
    </w:p>
    <w:p w:rsidR="00C7299A" w:rsidRPr="006234AA" w:rsidRDefault="00C7299A" w:rsidP="003C0546">
      <w:pPr>
        <w:spacing w:after="120"/>
        <w:rPr>
          <w:lang w:val="nl-NL"/>
        </w:rPr>
      </w:pPr>
      <w:r w:rsidRPr="006234AA">
        <w:rPr>
          <w:lang w:val="nl-NL"/>
        </w:rPr>
        <w:t>a) Ký quỹ: Nhà đầu tư có thể phải chịu một khoản lỗ tổng thể từ ký quỹ ban đầu và các khoản ký quỹ bổ sung mà nhà đầu tư nộp vào để thiết lập hoặc duy trì các vị thế của mình trên thị trường chứng khoán phái sinh. Nếu điều kiện thị trường không thuận lợi đối với các vị thế của nhà đầu tư, Trung tâm thanh toánbù trừ có thể yêu cầu nhà đầu tư phải đóng thêm một khoản ký quỹ bổ sung để duy trì các vị thế của mình. Nếu nhà đầu tư không nộp ký quỹ theo yêu cầu trong khoảng thời gian theo quy định thì các vị thế của nhà đầu tư có thể bị thanh lý và có thể bị lỗ, nhà đầu tư cũng có nghĩa vụ đối với mọi kết quả thâm hụt trên các tài khoản của mình.</w:t>
      </w:r>
    </w:p>
    <w:p w:rsidR="00C7299A" w:rsidRPr="006234AA" w:rsidRDefault="00C7299A" w:rsidP="003C0546">
      <w:pPr>
        <w:spacing w:after="120"/>
        <w:rPr>
          <w:lang w:val="nl-NL"/>
        </w:rPr>
      </w:pPr>
      <w:r w:rsidRPr="006234AA">
        <w:rPr>
          <w:lang w:val="nl-NL"/>
        </w:rPr>
        <w:t>b) Thanh lý vị thế: Nhà đầu tư có thể gặp khó khăn hoặc không thể thanh lý được vị thế của mình dưới những điều kiện thị trường nhất định.</w:t>
      </w:r>
    </w:p>
    <w:p w:rsidR="00C7299A" w:rsidRPr="006234AA" w:rsidRDefault="00C7299A" w:rsidP="003C0546">
      <w:pPr>
        <w:spacing w:after="120"/>
        <w:rPr>
          <w:lang w:val="nl-NL"/>
        </w:rPr>
      </w:pPr>
      <w:r w:rsidRPr="006234AA">
        <w:rPr>
          <w:lang w:val="nl-NL"/>
        </w:rPr>
        <w:t>c) Lệnh phụ thuộc: Việc đặt các lệnh phụ thuộc như lệnh cắt lỗ (stop-loss), lệnh giới hạn dừng (stop-limit)... có thể không giới hạn được các tổn thất của nhà đầu tư như mong muốn do các lệnh này có thể không thực hiện được do các điều kiện của thị trường.</w:t>
      </w:r>
    </w:p>
    <w:p w:rsidR="00C7299A" w:rsidRPr="006234AA" w:rsidRDefault="00C7299A" w:rsidP="003C0546">
      <w:pPr>
        <w:spacing w:after="120"/>
        <w:rPr>
          <w:lang w:val="nl-NL"/>
        </w:rPr>
      </w:pPr>
      <w:r w:rsidRPr="006234AA">
        <w:rPr>
          <w:lang w:val="nl-NL"/>
        </w:rPr>
        <w:t>d) Đòn bẩy: Mức đòn bẩy cao trong các giao dịch hợp đồng tương lai, thể hiện ở mức ký quỹ tương đối thấp, có thể có lợi hoặc gây hại cho nhà đầu tư. Việc sử dụng đòn bẩy có thể mang đến những khoản lợi nhuận hoặc tổn thất lớn.</w:t>
      </w:r>
    </w:p>
    <w:p w:rsidR="00C7299A" w:rsidRPr="006234AA" w:rsidRDefault="00C7299A" w:rsidP="003C0546">
      <w:pPr>
        <w:spacing w:after="120"/>
        <w:rPr>
          <w:lang w:val="nl-NL"/>
        </w:rPr>
      </w:pPr>
      <w:r w:rsidRPr="006234AA">
        <w:rPr>
          <w:lang w:val="nl-NL"/>
        </w:rPr>
        <w:t>5. Bản tuyên bố rủi ro này chưa thể liệt kê tất cả các rủi ro và tất cả những khía cạnh quan trọng khác của thị trường chứng khoán phái sinh. Do đó nhà đầu tư cần nghiên cứu một cách cẩn trọng trước khi thực hiện các giao dịch hợp đồng tương lai.</w:t>
      </w:r>
    </w:p>
    <w:p w:rsidR="00C7299A" w:rsidRPr="006234AA" w:rsidRDefault="00C7299A" w:rsidP="003C0546">
      <w:pPr>
        <w:spacing w:after="120"/>
        <w:ind w:firstLine="0"/>
        <w:jc w:val="left"/>
        <w:rPr>
          <w:lang w:val="nl-NL"/>
        </w:rPr>
      </w:pPr>
      <w:r w:rsidRPr="006234AA">
        <w:rPr>
          <w:lang w:val="nl-NL"/>
        </w:rPr>
        <w:br w:type="page"/>
      </w:r>
    </w:p>
    <w:p w:rsidR="00C7299A" w:rsidRPr="006234AA" w:rsidRDefault="00C7299A" w:rsidP="003C0546">
      <w:pPr>
        <w:spacing w:after="120"/>
        <w:rPr>
          <w:lang w:val="nl-NL"/>
        </w:rPr>
      </w:pPr>
      <w:r w:rsidRPr="006234AA">
        <w:rPr>
          <w:lang w:val="nl-NL"/>
        </w:rPr>
        <w:lastRenderedPageBreak/>
        <w:t>XÁC NHẬN ĐÃ NHẬN BẢN TUYÊN BỐ RỦI RO</w:t>
      </w:r>
    </w:p>
    <w:p w:rsidR="00C7299A" w:rsidRPr="006234AA" w:rsidRDefault="00C7299A" w:rsidP="003C0546">
      <w:pPr>
        <w:spacing w:after="120"/>
        <w:rPr>
          <w:lang w:val="nl-NL"/>
        </w:rPr>
      </w:pPr>
      <w:r w:rsidRPr="006234AA">
        <w:rPr>
          <w:lang w:val="nl-NL"/>
        </w:rPr>
        <w:t>Tôi xác nhận rằng tôi đã nhận được bản tuyên bố rủi ro, đã đọc và hiểu rõ các nội dung trong bản tuyên bố này.</w:t>
      </w:r>
    </w:p>
    <w:tbl>
      <w:tblPr>
        <w:tblStyle w:val="TableGrid"/>
        <w:tblW w:w="0" w:type="auto"/>
        <w:tblLook w:val="04A0"/>
      </w:tblPr>
      <w:tblGrid>
        <w:gridCol w:w="4643"/>
        <w:gridCol w:w="4644"/>
      </w:tblGrid>
      <w:tr w:rsidR="00C7299A" w:rsidRPr="006234AA" w:rsidTr="0047051C">
        <w:tc>
          <w:tcPr>
            <w:tcW w:w="4643" w:type="dxa"/>
          </w:tcPr>
          <w:p w:rsidR="00C7299A" w:rsidRPr="006234AA" w:rsidRDefault="00C7299A" w:rsidP="003C0546">
            <w:pPr>
              <w:spacing w:after="120"/>
              <w:ind w:firstLine="0"/>
              <w:jc w:val="right"/>
              <w:rPr>
                <w:i/>
                <w:lang w:val="nl-NL"/>
              </w:rPr>
            </w:pPr>
          </w:p>
        </w:tc>
        <w:tc>
          <w:tcPr>
            <w:tcW w:w="4644" w:type="dxa"/>
          </w:tcPr>
          <w:p w:rsidR="00C7299A" w:rsidRPr="006234AA" w:rsidRDefault="00C7299A" w:rsidP="003C0546">
            <w:pPr>
              <w:spacing w:after="120"/>
              <w:ind w:firstLine="0"/>
              <w:jc w:val="right"/>
              <w:rPr>
                <w:i/>
              </w:rPr>
            </w:pPr>
            <w:r w:rsidRPr="006234AA">
              <w:rPr>
                <w:i/>
              </w:rPr>
              <w:t>…, ngày … tháng … năm …</w:t>
            </w:r>
          </w:p>
        </w:tc>
      </w:tr>
      <w:tr w:rsidR="00C7299A" w:rsidRPr="006234AA" w:rsidTr="0047051C">
        <w:tc>
          <w:tcPr>
            <w:tcW w:w="4643" w:type="dxa"/>
          </w:tcPr>
          <w:p w:rsidR="00C7299A" w:rsidRPr="006234AA" w:rsidRDefault="00C7299A" w:rsidP="003C0546">
            <w:pPr>
              <w:spacing w:after="120"/>
              <w:ind w:firstLine="0"/>
              <w:jc w:val="center"/>
              <w:rPr>
                <w:b/>
              </w:rPr>
            </w:pPr>
            <w:r w:rsidRPr="006234AA">
              <w:rPr>
                <w:b/>
              </w:rPr>
              <w:t>Người làm chứng</w:t>
            </w:r>
          </w:p>
          <w:p w:rsidR="00C7299A" w:rsidRPr="006234AA" w:rsidRDefault="00C7299A" w:rsidP="003C0546">
            <w:pPr>
              <w:spacing w:after="120"/>
              <w:ind w:firstLine="0"/>
              <w:jc w:val="center"/>
              <w:rPr>
                <w:i/>
              </w:rPr>
            </w:pPr>
            <w:r w:rsidRPr="006234AA">
              <w:rPr>
                <w:i/>
              </w:rPr>
              <w:t>(ký và ghi rõ họ tên)</w:t>
            </w:r>
          </w:p>
          <w:p w:rsidR="00C7299A" w:rsidRPr="006234AA" w:rsidRDefault="00C7299A" w:rsidP="003C0546">
            <w:pPr>
              <w:spacing w:after="120"/>
              <w:ind w:firstLine="0"/>
              <w:jc w:val="center"/>
            </w:pPr>
          </w:p>
        </w:tc>
        <w:tc>
          <w:tcPr>
            <w:tcW w:w="4644" w:type="dxa"/>
          </w:tcPr>
          <w:p w:rsidR="00C7299A" w:rsidRPr="006234AA" w:rsidRDefault="00C7299A" w:rsidP="003C0546">
            <w:pPr>
              <w:spacing w:after="120"/>
              <w:ind w:firstLine="0"/>
              <w:jc w:val="center"/>
              <w:rPr>
                <w:b/>
              </w:rPr>
            </w:pPr>
            <w:r w:rsidRPr="006234AA">
              <w:rPr>
                <w:b/>
              </w:rPr>
              <w:t>Khách hàng</w:t>
            </w:r>
          </w:p>
          <w:p w:rsidR="00C7299A" w:rsidRPr="006234AA" w:rsidRDefault="00C7299A" w:rsidP="003C0546">
            <w:pPr>
              <w:spacing w:after="120"/>
              <w:ind w:firstLine="0"/>
              <w:jc w:val="center"/>
              <w:rPr>
                <w:i/>
              </w:rPr>
            </w:pPr>
            <w:r w:rsidRPr="006234AA">
              <w:rPr>
                <w:i/>
              </w:rPr>
              <w:t>(ký và ghi rõ họ tên)</w:t>
            </w:r>
          </w:p>
          <w:p w:rsidR="00C7299A" w:rsidRPr="006234AA" w:rsidRDefault="00C7299A" w:rsidP="003C0546">
            <w:pPr>
              <w:spacing w:after="120"/>
              <w:ind w:firstLine="0"/>
              <w:jc w:val="center"/>
            </w:pPr>
          </w:p>
          <w:p w:rsidR="00C7299A" w:rsidRPr="006234AA" w:rsidRDefault="00C7299A" w:rsidP="003C0546">
            <w:pPr>
              <w:spacing w:after="120"/>
              <w:ind w:firstLine="0"/>
              <w:jc w:val="center"/>
              <w:rPr>
                <w:b/>
              </w:rPr>
            </w:pPr>
            <w:r w:rsidRPr="006234AA">
              <w:rPr>
                <w:b/>
              </w:rPr>
              <w:t>Người đại diện* (designation): …</w:t>
            </w:r>
          </w:p>
          <w:p w:rsidR="00C7299A" w:rsidRPr="006234AA" w:rsidRDefault="00C7299A" w:rsidP="003C0546">
            <w:pPr>
              <w:spacing w:after="120"/>
              <w:ind w:firstLine="0"/>
              <w:jc w:val="center"/>
              <w:rPr>
                <w:b/>
              </w:rPr>
            </w:pPr>
            <w:r w:rsidRPr="006234AA">
              <w:rPr>
                <w:b/>
              </w:rPr>
              <w:t>Tên công ty*: ...</w:t>
            </w:r>
          </w:p>
          <w:p w:rsidR="00C7299A" w:rsidRPr="006234AA" w:rsidRDefault="00C7299A" w:rsidP="003C0546">
            <w:pPr>
              <w:spacing w:after="120"/>
              <w:ind w:firstLine="0"/>
              <w:jc w:val="center"/>
            </w:pPr>
          </w:p>
        </w:tc>
      </w:tr>
    </w:tbl>
    <w:p w:rsidR="00C7299A" w:rsidRPr="006234AA" w:rsidRDefault="00C7299A" w:rsidP="003C0546">
      <w:pPr>
        <w:spacing w:after="120"/>
      </w:pPr>
    </w:p>
    <w:p w:rsidR="00C7299A" w:rsidRPr="006234AA" w:rsidRDefault="00C7299A" w:rsidP="003C0546">
      <w:pPr>
        <w:spacing w:after="120"/>
      </w:pPr>
      <w:r w:rsidRPr="006234AA">
        <w:t>* Chỉ dùng cho các công ty (corporations)</w:t>
      </w:r>
    </w:p>
    <w:p w:rsidR="00C7299A" w:rsidRPr="006234AA" w:rsidRDefault="00C7299A" w:rsidP="003C0546">
      <w:pPr>
        <w:spacing w:after="120"/>
        <w:ind w:firstLine="0"/>
      </w:pPr>
      <w:r w:rsidRPr="006234AA">
        <w:br w:type="page"/>
      </w:r>
    </w:p>
    <w:p w:rsidR="00735649" w:rsidRPr="006234AA" w:rsidRDefault="00C7299A" w:rsidP="003C0546">
      <w:pPr>
        <w:pStyle w:val="Heading5"/>
        <w:spacing w:after="120"/>
        <w:ind w:hanging="2203"/>
      </w:pPr>
      <w:bookmarkStart w:id="280" w:name="_Toc422672046"/>
      <w:r w:rsidRPr="006234AA">
        <w:lastRenderedPageBreak/>
        <w:t>Đơn đề nghị mở tài khoản giao dịch</w:t>
      </w:r>
      <w:bookmarkEnd w:id="280"/>
    </w:p>
    <w:p w:rsidR="00735649" w:rsidRPr="006234AA" w:rsidRDefault="00735649" w:rsidP="003C0546">
      <w:pPr>
        <w:spacing w:after="120"/>
        <w:ind w:firstLine="0"/>
        <w:jc w:val="center"/>
        <w:rPr>
          <w:i/>
          <w:iCs/>
          <w:lang w:val="nl-NL"/>
        </w:rPr>
      </w:pPr>
      <w:r w:rsidRPr="006234AA">
        <w:rPr>
          <w:i/>
          <w:iCs/>
          <w:lang w:val="nl-NL"/>
        </w:rPr>
        <w:t>(Ban hành kèm theo Thông tư số /2014/TT-BTC ngày tháng năm 2014 của Bộ Tài chính về chứng khoán phái sinh và thị trường chứng khoán phái sinh)</w:t>
      </w:r>
    </w:p>
    <w:p w:rsidR="00735649" w:rsidRPr="006234AA" w:rsidRDefault="00735649" w:rsidP="003C0546">
      <w:pPr>
        <w:spacing w:after="120"/>
        <w:ind w:firstLine="0"/>
        <w:rPr>
          <w:lang w:val="nl-NL"/>
        </w:rPr>
      </w:pPr>
    </w:p>
    <w:p w:rsidR="00735649" w:rsidRPr="006234AA" w:rsidRDefault="00735649" w:rsidP="003C0546">
      <w:pPr>
        <w:spacing w:after="120"/>
        <w:ind w:firstLine="0"/>
        <w:rPr>
          <w:lang w:val="nl-NL"/>
        </w:rPr>
      </w:pPr>
      <w:r w:rsidRPr="006234AA">
        <w:rPr>
          <w:lang w:val="nl-NL"/>
        </w:rPr>
        <w:t>Người làm đơn phải nộp một bản sao hợp lệ CMND/hộ chiếu kèm theo.</w:t>
      </w:r>
    </w:p>
    <w:p w:rsidR="00735649" w:rsidRPr="006234AA" w:rsidRDefault="00735649" w:rsidP="003C0546">
      <w:pPr>
        <w:spacing w:after="120"/>
        <w:ind w:firstLine="0"/>
        <w:rPr>
          <w:lang w:val="nl-NL"/>
        </w:rPr>
      </w:pPr>
      <w:r w:rsidRPr="006234AA">
        <w:rPr>
          <w:lang w:val="nl-NL"/>
        </w:rPr>
        <w:t>Xin vui lòng chọn các sản phẩm ông/bà muốn giao dịch và các dịch vụ ông/bà muốn được cung cấp</w:t>
      </w:r>
    </w:p>
    <w:p w:rsidR="00735649" w:rsidRPr="006234AA" w:rsidRDefault="00735649" w:rsidP="003C0546">
      <w:pPr>
        <w:spacing w:after="120"/>
        <w:ind w:firstLine="0"/>
        <w:rPr>
          <w:lang w:val="nl-NL"/>
        </w:rPr>
      </w:pPr>
      <w:r w:rsidRPr="006234AA">
        <w:rPr>
          <w:lang w:val="nl-NL"/>
        </w:rPr>
        <w:t>SẢN PHẨM VÀ DỊCH VỤ</w:t>
      </w:r>
    </w:p>
    <w:tbl>
      <w:tblPr>
        <w:tblStyle w:val="TableGrid"/>
        <w:tblW w:w="0" w:type="auto"/>
        <w:tblLook w:val="04A0"/>
      </w:tblPr>
      <w:tblGrid>
        <w:gridCol w:w="3369"/>
        <w:gridCol w:w="3827"/>
        <w:gridCol w:w="2091"/>
      </w:tblGrid>
      <w:tr w:rsidR="00735649" w:rsidRPr="006234AA" w:rsidTr="00A15B69">
        <w:tc>
          <w:tcPr>
            <w:tcW w:w="3369" w:type="dxa"/>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Sản phẩm đầu tư cơ sở: Cổ phiếu niêm yết &amp; cổ phiếu ưu đãi, trái phiếu, chứng quyền, quỹ đầu tư bất động sản (REIT)...</w:t>
            </w:r>
          </w:p>
        </w:tc>
        <w:tc>
          <w:tcPr>
            <w:tcW w:w="3827" w:type="dxa"/>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Quỹ ETF</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Hợp đồng tương lai</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Vay/cho vay cổ phiếu (SBL)</w:t>
            </w:r>
          </w:p>
        </w:tc>
        <w:tc>
          <w:tcPr>
            <w:tcW w:w="2091" w:type="dxa"/>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 xml:space="preserve">Khác: </w:t>
            </w:r>
          </w:p>
          <w:p w:rsidR="00735649" w:rsidRPr="006234AA" w:rsidRDefault="00735649" w:rsidP="003C0546">
            <w:pPr>
              <w:spacing w:after="120"/>
              <w:ind w:firstLine="0"/>
              <w:rPr>
                <w:lang w:val="nl-NL"/>
              </w:rPr>
            </w:pPr>
            <w:r w:rsidRPr="006234AA">
              <w:rPr>
                <w:lang w:val="nl-NL"/>
              </w:rPr>
              <w:t>(liệt kê đầy đủ)</w:t>
            </w:r>
          </w:p>
          <w:p w:rsidR="00735649" w:rsidRPr="006234AA" w:rsidRDefault="00735649" w:rsidP="003C0546">
            <w:pPr>
              <w:spacing w:after="120"/>
              <w:ind w:firstLine="0"/>
              <w:rPr>
                <w:lang w:val="nl-NL"/>
              </w:rPr>
            </w:pPr>
            <w:r w:rsidRPr="006234AA">
              <w:rPr>
                <w:lang w:val="nl-NL"/>
              </w:rPr>
              <w:t>...</w:t>
            </w:r>
          </w:p>
        </w:tc>
      </w:tr>
    </w:tbl>
    <w:p w:rsidR="00735649" w:rsidRPr="006234AA" w:rsidRDefault="00735649" w:rsidP="003C0546">
      <w:pPr>
        <w:spacing w:after="120"/>
        <w:ind w:firstLine="0"/>
        <w:rPr>
          <w:lang w:val="nl-NL"/>
        </w:rPr>
      </w:pPr>
    </w:p>
    <w:tbl>
      <w:tblPr>
        <w:tblStyle w:val="TableGrid"/>
        <w:tblW w:w="0" w:type="auto"/>
        <w:tblLayout w:type="fixed"/>
        <w:tblLook w:val="04A0"/>
      </w:tblPr>
      <w:tblGrid>
        <w:gridCol w:w="959"/>
        <w:gridCol w:w="2136"/>
        <w:gridCol w:w="3096"/>
        <w:gridCol w:w="3096"/>
      </w:tblGrid>
      <w:tr w:rsidR="00735649" w:rsidRPr="006234AA" w:rsidTr="00A15B69">
        <w:tc>
          <w:tcPr>
            <w:tcW w:w="3095" w:type="dxa"/>
            <w:gridSpan w:val="2"/>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r w:rsidRPr="006234AA">
              <w:rPr>
                <w:lang w:val="nl-NL"/>
              </w:rPr>
              <w:t>Người mở TK chính</w:t>
            </w:r>
          </w:p>
        </w:tc>
        <w:tc>
          <w:tcPr>
            <w:tcW w:w="3096" w:type="dxa"/>
          </w:tcPr>
          <w:p w:rsidR="00735649" w:rsidRPr="006234AA" w:rsidRDefault="00735649" w:rsidP="003C0546">
            <w:pPr>
              <w:spacing w:after="120"/>
              <w:ind w:firstLine="0"/>
              <w:rPr>
                <w:lang w:val="nl-NL"/>
              </w:rPr>
            </w:pPr>
            <w:r w:rsidRPr="006234AA">
              <w:rPr>
                <w:lang w:val="nl-NL"/>
              </w:rPr>
              <w:t xml:space="preserve">Người cùng mở TK </w:t>
            </w: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Họ và tên</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Giới tính</w:t>
            </w:r>
          </w:p>
        </w:tc>
        <w:tc>
          <w:tcPr>
            <w:tcW w:w="3096" w:type="dxa"/>
          </w:tcPr>
          <w:p w:rsidR="00735649" w:rsidRPr="006234AA" w:rsidRDefault="00735649" w:rsidP="003C0546">
            <w:pPr>
              <w:spacing w:after="120"/>
              <w:ind w:firstLine="0"/>
              <w:rPr>
                <w:lang w:val="nl-NL"/>
              </w:rPr>
            </w:pPr>
            <w:r w:rsidRPr="006234AA">
              <w:rPr>
                <w:lang w:val="nl-NL"/>
              </w:rPr>
              <w:t>Nam/nữ</w:t>
            </w:r>
          </w:p>
        </w:tc>
        <w:tc>
          <w:tcPr>
            <w:tcW w:w="3096" w:type="dxa"/>
          </w:tcPr>
          <w:p w:rsidR="00735649" w:rsidRPr="006234AA" w:rsidRDefault="00735649" w:rsidP="003C0546">
            <w:pPr>
              <w:spacing w:after="120"/>
              <w:ind w:firstLine="0"/>
              <w:rPr>
                <w:lang w:val="nl-NL"/>
              </w:rPr>
            </w:pPr>
            <w:r w:rsidRPr="006234AA">
              <w:rPr>
                <w:lang w:val="nl-NL"/>
              </w:rPr>
              <w:t>Nam/nữ</w:t>
            </w: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Số CMND/hộ chiếu</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Ngày hết hạn (đối với hộ chiếu)</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Nơi sinh</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Quốc tịch</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Địa chỉ nơi cư trú/thường trú tại Việt Nam</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Địa chỉ liên lạc (nếu khác địa chỉ nơi cư trú)</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Loại địa chỉ nơi cư trú</w:t>
            </w:r>
          </w:p>
        </w:tc>
        <w:tc>
          <w:tcPr>
            <w:tcW w:w="3096" w:type="dxa"/>
          </w:tcPr>
          <w:p w:rsidR="00735649" w:rsidRPr="006234AA" w:rsidRDefault="00735649" w:rsidP="003C0546">
            <w:pPr>
              <w:spacing w:after="120"/>
              <w:ind w:firstLine="0"/>
              <w:rPr>
                <w:lang w:val="nl-NL"/>
              </w:rPr>
            </w:pPr>
            <w:r w:rsidRPr="006234AA">
              <w:rPr>
                <w:lang w:val="nl-NL"/>
              </w:rPr>
              <w:t>Nhà riêng/gia đình/thuê</w:t>
            </w:r>
          </w:p>
        </w:tc>
        <w:tc>
          <w:tcPr>
            <w:tcW w:w="3096" w:type="dxa"/>
          </w:tcPr>
          <w:p w:rsidR="00735649" w:rsidRPr="006234AA" w:rsidRDefault="00735649" w:rsidP="003C0546">
            <w:pPr>
              <w:spacing w:after="120"/>
              <w:ind w:firstLine="0"/>
              <w:rPr>
                <w:lang w:val="nl-NL"/>
              </w:rPr>
            </w:pPr>
            <w:r w:rsidRPr="006234AA">
              <w:rPr>
                <w:lang w:val="nl-NL"/>
              </w:rPr>
              <w:t>Nhà riêng/gia đình/thuê</w:t>
            </w: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Số liên lạc</w:t>
            </w:r>
          </w:p>
        </w:tc>
        <w:tc>
          <w:tcPr>
            <w:tcW w:w="3096" w:type="dxa"/>
          </w:tcPr>
          <w:p w:rsidR="00735649" w:rsidRPr="006234AA" w:rsidRDefault="00735649" w:rsidP="003C0546">
            <w:pPr>
              <w:spacing w:after="120"/>
              <w:ind w:firstLine="0"/>
              <w:rPr>
                <w:lang w:val="nl-NL"/>
              </w:rPr>
            </w:pPr>
            <w:r w:rsidRPr="006234AA">
              <w:rPr>
                <w:lang w:val="nl-NL"/>
              </w:rPr>
              <w:t>Di động:</w:t>
            </w:r>
          </w:p>
          <w:p w:rsidR="00735649" w:rsidRPr="006234AA" w:rsidRDefault="00735649" w:rsidP="003C0546">
            <w:pPr>
              <w:spacing w:after="120"/>
              <w:ind w:firstLine="0"/>
              <w:rPr>
                <w:lang w:val="nl-NL"/>
              </w:rPr>
            </w:pPr>
            <w:r w:rsidRPr="006234AA">
              <w:rPr>
                <w:lang w:val="nl-NL"/>
              </w:rPr>
              <w:t>Cố định:</w:t>
            </w:r>
          </w:p>
          <w:p w:rsidR="00735649" w:rsidRPr="006234AA" w:rsidRDefault="00735649" w:rsidP="003C0546">
            <w:pPr>
              <w:spacing w:after="120"/>
              <w:ind w:firstLine="0"/>
              <w:rPr>
                <w:lang w:val="nl-NL"/>
              </w:rPr>
            </w:pPr>
            <w:r w:rsidRPr="006234AA">
              <w:rPr>
                <w:lang w:val="nl-NL"/>
              </w:rPr>
              <w:t xml:space="preserve">Cơ quan: </w:t>
            </w:r>
          </w:p>
        </w:tc>
        <w:tc>
          <w:tcPr>
            <w:tcW w:w="3096" w:type="dxa"/>
          </w:tcPr>
          <w:p w:rsidR="00735649" w:rsidRPr="006234AA" w:rsidRDefault="00735649" w:rsidP="003C0546">
            <w:pPr>
              <w:spacing w:after="120"/>
              <w:ind w:firstLine="0"/>
              <w:rPr>
                <w:lang w:val="nl-NL"/>
              </w:rPr>
            </w:pPr>
            <w:r w:rsidRPr="006234AA">
              <w:rPr>
                <w:lang w:val="nl-NL"/>
              </w:rPr>
              <w:t>Di động:</w:t>
            </w:r>
          </w:p>
          <w:p w:rsidR="00735649" w:rsidRPr="006234AA" w:rsidRDefault="00735649" w:rsidP="003C0546">
            <w:pPr>
              <w:spacing w:after="120"/>
              <w:ind w:firstLine="0"/>
              <w:rPr>
                <w:lang w:val="nl-NL"/>
              </w:rPr>
            </w:pPr>
            <w:r w:rsidRPr="006234AA">
              <w:rPr>
                <w:lang w:val="nl-NL"/>
              </w:rPr>
              <w:t>Cố định:</w:t>
            </w:r>
          </w:p>
          <w:p w:rsidR="00735649" w:rsidRPr="006234AA" w:rsidRDefault="00735649" w:rsidP="003C0546">
            <w:pPr>
              <w:spacing w:after="120"/>
              <w:ind w:firstLine="0"/>
              <w:rPr>
                <w:lang w:val="nl-NL"/>
              </w:rPr>
            </w:pPr>
            <w:r w:rsidRPr="006234AA">
              <w:rPr>
                <w:lang w:val="nl-NL"/>
              </w:rPr>
              <w:t>Cơ quan:</w:t>
            </w: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lastRenderedPageBreak/>
              <w:t>Email</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Nghề nghiệp (nếu đã nghỉ hưu ghi rõ nghề nghiệp trước khi nghỉ)</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Cơ quan/doanh nghiệp (nếu thất nghiệp/ nghỉ hưu ghi rõ cơ quan/ doanh nghiệp trước khi thất nghiệp/ nghỉ)</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Mức tổng thu nhập năm</w:t>
            </w:r>
          </w:p>
        </w:tc>
        <w:tc>
          <w:tcPr>
            <w:tcW w:w="3096" w:type="dxa"/>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Dưới 50tr</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Từ 50tr - dưới 100tr</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Từ 100tr - dưới 200tr</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Từ 200tr - dưới 500tr</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Từ 500tr trở lên</w:t>
            </w:r>
          </w:p>
        </w:tc>
        <w:tc>
          <w:tcPr>
            <w:tcW w:w="3096" w:type="dxa"/>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Dưới 50tr</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Từ 50tr - dưới 100tr</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Từ 100tr - dưới 200tr</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Từ 200tr - dưới 500tr</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Từ 500tr trở lên</w:t>
            </w: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Nguồn vốn dùng để đầu tư</w:t>
            </w:r>
          </w:p>
        </w:tc>
        <w:tc>
          <w:tcPr>
            <w:tcW w:w="3096" w:type="dxa"/>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Lương</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Quà tặng/lãi đầu tư</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Kinh doanh riêng</w:t>
            </w:r>
          </w:p>
          <w:p w:rsidR="00735649" w:rsidRPr="006234AA" w:rsidRDefault="007965E6" w:rsidP="003C0546">
            <w:pPr>
              <w:spacing w:after="120"/>
              <w:ind w:firstLine="0"/>
              <w:rPr>
                <w:sz w:val="20"/>
                <w:szCs w:val="20"/>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Khác: ...</w:t>
            </w:r>
          </w:p>
        </w:tc>
        <w:tc>
          <w:tcPr>
            <w:tcW w:w="3096" w:type="dxa"/>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Lương</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Quà tặng/lãi đầu tư</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Kinh doanh riêng</w:t>
            </w:r>
          </w:p>
          <w:p w:rsidR="00735649" w:rsidRPr="006234AA" w:rsidRDefault="007965E6" w:rsidP="003C0546">
            <w:pPr>
              <w:spacing w:after="120"/>
              <w:ind w:firstLine="0"/>
              <w:rPr>
                <w:sz w:val="20"/>
                <w:szCs w:val="20"/>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Khác: ...</w:t>
            </w: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Ông/bà có đóng thuế ở nước ngoài không? Nếu có, xin vui lòng liệt kê đầy đủ.</w:t>
            </w:r>
          </w:p>
        </w:tc>
        <w:tc>
          <w:tcPr>
            <w:tcW w:w="3096" w:type="dxa"/>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Có</w:t>
            </w:r>
            <w:r w:rsidR="00735649" w:rsidRPr="006234AA">
              <w:rPr>
                <w:lang w:val="nl-NL"/>
              </w:rPr>
              <w:tab/>
            </w:r>
            <w:r w:rsidR="00735649" w:rsidRPr="006234AA">
              <w:rPr>
                <w:lang w:val="nl-NL"/>
              </w:rPr>
              <w:tab/>
            </w: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Không</w:t>
            </w:r>
          </w:p>
          <w:p w:rsidR="00735649" w:rsidRPr="006234AA" w:rsidRDefault="00735649" w:rsidP="003C0546">
            <w:pPr>
              <w:spacing w:after="120"/>
              <w:ind w:firstLine="0"/>
              <w:rPr>
                <w:lang w:val="nl-NL"/>
              </w:rPr>
            </w:pPr>
            <w:r w:rsidRPr="006234AA">
              <w:rPr>
                <w:lang w:val="nl-NL"/>
              </w:rPr>
              <w:t>Nước: ... Mã số thuế: ...</w:t>
            </w:r>
          </w:p>
          <w:p w:rsidR="00735649" w:rsidRPr="006234AA" w:rsidRDefault="00735649" w:rsidP="003C0546">
            <w:pPr>
              <w:spacing w:after="120"/>
              <w:ind w:firstLine="0"/>
              <w:rPr>
                <w:lang w:val="nl-NL"/>
              </w:rPr>
            </w:pPr>
            <w:r w:rsidRPr="006234AA">
              <w:rPr>
                <w:lang w:val="nl-NL"/>
              </w:rPr>
              <w:t>Nước: ... Mã số thuế: ...</w:t>
            </w:r>
          </w:p>
        </w:tc>
        <w:tc>
          <w:tcPr>
            <w:tcW w:w="3096" w:type="dxa"/>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Có</w:t>
            </w:r>
            <w:r w:rsidR="00735649" w:rsidRPr="006234AA">
              <w:rPr>
                <w:lang w:val="nl-NL"/>
              </w:rPr>
              <w:tab/>
            </w:r>
            <w:r w:rsidR="00735649" w:rsidRPr="006234AA">
              <w:rPr>
                <w:lang w:val="nl-NL"/>
              </w:rPr>
              <w:tab/>
            </w: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Không</w:t>
            </w:r>
          </w:p>
          <w:p w:rsidR="00735649" w:rsidRPr="006234AA" w:rsidRDefault="00735649" w:rsidP="003C0546">
            <w:pPr>
              <w:spacing w:after="120"/>
              <w:ind w:firstLine="0"/>
              <w:rPr>
                <w:lang w:val="nl-NL"/>
              </w:rPr>
            </w:pPr>
            <w:r w:rsidRPr="006234AA">
              <w:rPr>
                <w:lang w:val="nl-NL"/>
              </w:rPr>
              <w:t>Nước: ... Mã số thuế: ...</w:t>
            </w:r>
          </w:p>
          <w:p w:rsidR="00735649" w:rsidRPr="006234AA" w:rsidRDefault="00735649" w:rsidP="003C0546">
            <w:pPr>
              <w:spacing w:after="120"/>
              <w:ind w:firstLine="0"/>
              <w:rPr>
                <w:sz w:val="20"/>
                <w:szCs w:val="20"/>
                <w:lang w:val="nl-NL"/>
              </w:rPr>
            </w:pPr>
            <w:r w:rsidRPr="006234AA">
              <w:rPr>
                <w:lang w:val="nl-NL"/>
              </w:rPr>
              <w:t>Nước: ... Mã số thuế: ...</w:t>
            </w: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Tình trạng hôn nhân</w:t>
            </w:r>
          </w:p>
        </w:tc>
        <w:tc>
          <w:tcPr>
            <w:tcW w:w="3096" w:type="dxa"/>
          </w:tcPr>
          <w:p w:rsidR="00735649" w:rsidRPr="006234AA" w:rsidRDefault="00735649" w:rsidP="003C0546">
            <w:pPr>
              <w:spacing w:after="120"/>
              <w:ind w:firstLine="0"/>
              <w:rPr>
                <w:sz w:val="20"/>
                <w:szCs w:val="20"/>
                <w:lang w:val="nl-NL"/>
              </w:rPr>
            </w:pPr>
            <w:r w:rsidRPr="006234AA">
              <w:rPr>
                <w:lang w:val="nl-NL"/>
              </w:rPr>
              <w:t>Độc thân/đã kết hôn/khác</w:t>
            </w:r>
          </w:p>
        </w:tc>
        <w:tc>
          <w:tcPr>
            <w:tcW w:w="3096" w:type="dxa"/>
          </w:tcPr>
          <w:p w:rsidR="00735649" w:rsidRPr="006234AA" w:rsidRDefault="00735649" w:rsidP="003C0546">
            <w:pPr>
              <w:spacing w:after="120"/>
              <w:ind w:firstLine="0"/>
              <w:rPr>
                <w:sz w:val="20"/>
                <w:szCs w:val="20"/>
                <w:lang w:val="nl-NL"/>
              </w:rPr>
            </w:pPr>
            <w:r w:rsidRPr="006234AA">
              <w:rPr>
                <w:lang w:val="nl-NL"/>
              </w:rPr>
              <w:t>Độc thân/đã kết hôn/khác</w:t>
            </w:r>
          </w:p>
        </w:tc>
      </w:tr>
      <w:tr w:rsidR="00735649" w:rsidRPr="006234AA" w:rsidTr="00A15B69">
        <w:tc>
          <w:tcPr>
            <w:tcW w:w="959" w:type="dxa"/>
            <w:vMerge w:val="restart"/>
          </w:tcPr>
          <w:p w:rsidR="00735649" w:rsidRPr="006234AA" w:rsidRDefault="00735649" w:rsidP="003C0546">
            <w:pPr>
              <w:spacing w:after="120"/>
              <w:ind w:firstLine="0"/>
              <w:rPr>
                <w:lang w:val="nl-NL"/>
              </w:rPr>
            </w:pPr>
            <w:r w:rsidRPr="006234AA">
              <w:rPr>
                <w:lang w:val="nl-NL"/>
              </w:rPr>
              <w:t>Vợ/</w:t>
            </w:r>
          </w:p>
          <w:p w:rsidR="00735649" w:rsidRPr="006234AA" w:rsidRDefault="00735649" w:rsidP="003C0546">
            <w:pPr>
              <w:spacing w:after="120"/>
              <w:ind w:firstLine="0"/>
              <w:rPr>
                <w:lang w:val="nl-NL"/>
              </w:rPr>
            </w:pPr>
            <w:r w:rsidRPr="006234AA">
              <w:rPr>
                <w:lang w:val="nl-NL"/>
              </w:rPr>
              <w:t>chồng</w:t>
            </w:r>
          </w:p>
        </w:tc>
        <w:tc>
          <w:tcPr>
            <w:tcW w:w="2136" w:type="dxa"/>
          </w:tcPr>
          <w:p w:rsidR="00735649" w:rsidRPr="006234AA" w:rsidRDefault="00735649" w:rsidP="003C0546">
            <w:pPr>
              <w:spacing w:after="120"/>
              <w:ind w:firstLine="0"/>
              <w:rPr>
                <w:lang w:val="nl-NL"/>
              </w:rPr>
            </w:pPr>
            <w:r w:rsidRPr="006234AA">
              <w:rPr>
                <w:lang w:val="nl-NL"/>
              </w:rPr>
              <w:t>Tên</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959" w:type="dxa"/>
            <w:vMerge/>
          </w:tcPr>
          <w:p w:rsidR="00735649" w:rsidRPr="006234AA" w:rsidRDefault="00735649" w:rsidP="003C0546">
            <w:pPr>
              <w:spacing w:after="120"/>
              <w:ind w:firstLine="0"/>
              <w:rPr>
                <w:lang w:val="nl-NL"/>
              </w:rPr>
            </w:pPr>
          </w:p>
        </w:tc>
        <w:tc>
          <w:tcPr>
            <w:tcW w:w="2136" w:type="dxa"/>
          </w:tcPr>
          <w:p w:rsidR="00735649" w:rsidRPr="006234AA" w:rsidRDefault="00735649" w:rsidP="003C0546">
            <w:pPr>
              <w:spacing w:after="120"/>
              <w:ind w:firstLine="0"/>
              <w:rPr>
                <w:lang w:val="nl-NL"/>
              </w:rPr>
            </w:pPr>
            <w:r w:rsidRPr="006234AA">
              <w:rPr>
                <w:lang w:val="nl-NL"/>
              </w:rPr>
              <w:t>Số CMND/hộ chiếu</w:t>
            </w:r>
          </w:p>
        </w:tc>
        <w:tc>
          <w:tcPr>
            <w:tcW w:w="3096" w:type="dxa"/>
          </w:tcPr>
          <w:p w:rsidR="00735649" w:rsidRPr="006234AA" w:rsidRDefault="00735649" w:rsidP="003C0546">
            <w:pPr>
              <w:spacing w:after="120"/>
              <w:ind w:firstLine="0"/>
              <w:rPr>
                <w:lang w:val="nl-NL"/>
              </w:rPr>
            </w:pPr>
          </w:p>
        </w:tc>
        <w:tc>
          <w:tcPr>
            <w:tcW w:w="3096" w:type="dxa"/>
          </w:tcPr>
          <w:p w:rsidR="00735649" w:rsidRPr="006234AA" w:rsidRDefault="00735649" w:rsidP="003C0546">
            <w:pPr>
              <w:spacing w:after="120"/>
              <w:ind w:firstLine="0"/>
              <w:rPr>
                <w:lang w:val="nl-NL"/>
              </w:rPr>
            </w:pP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Ông/bà là người có liên quan đến lãnh đạo/nhân viên của chúng tôi?</w:t>
            </w:r>
          </w:p>
        </w:tc>
        <w:tc>
          <w:tcPr>
            <w:tcW w:w="3096" w:type="dxa"/>
          </w:tcPr>
          <w:p w:rsidR="00735649" w:rsidRPr="006234AA" w:rsidRDefault="00735649" w:rsidP="003C0546">
            <w:pPr>
              <w:spacing w:after="120"/>
              <w:ind w:firstLine="0"/>
              <w:rPr>
                <w:lang w:val="nl-NL"/>
              </w:rPr>
            </w:pPr>
            <w:r w:rsidRPr="006234AA">
              <w:rPr>
                <w:lang w:val="nl-NL"/>
              </w:rPr>
              <w:t>Có/không (nếu có xin liệt kê tên lãnh đạo/nhân viên và nêu rõ mối quan hệ)</w:t>
            </w:r>
          </w:p>
        </w:tc>
        <w:tc>
          <w:tcPr>
            <w:tcW w:w="3096" w:type="dxa"/>
          </w:tcPr>
          <w:p w:rsidR="00735649" w:rsidRPr="006234AA" w:rsidRDefault="00735649" w:rsidP="003C0546">
            <w:pPr>
              <w:spacing w:after="120"/>
              <w:ind w:firstLine="0"/>
              <w:rPr>
                <w:lang w:val="nl-NL"/>
              </w:rPr>
            </w:pPr>
            <w:r w:rsidRPr="006234AA">
              <w:rPr>
                <w:lang w:val="nl-NL"/>
              </w:rPr>
              <w:t>Có/không (nếu có xin liệt kê tên lãnh đạo/nhân viên và nêu rõ mối quan hệ)</w:t>
            </w:r>
          </w:p>
        </w:tc>
      </w:tr>
      <w:tr w:rsidR="00735649" w:rsidRPr="006234AA" w:rsidTr="00A15B69">
        <w:tc>
          <w:tcPr>
            <w:tcW w:w="3095" w:type="dxa"/>
            <w:gridSpan w:val="2"/>
          </w:tcPr>
          <w:p w:rsidR="00735649" w:rsidRPr="006234AA" w:rsidRDefault="00735649" w:rsidP="003C0546">
            <w:pPr>
              <w:spacing w:after="120"/>
              <w:ind w:firstLine="0"/>
              <w:rPr>
                <w:lang w:val="nl-NL"/>
              </w:rPr>
            </w:pPr>
            <w:r w:rsidRPr="006234AA">
              <w:rPr>
                <w:lang w:val="nl-NL"/>
              </w:rPr>
              <w:t>Ông/bà hiện đang có tài khoản giao dịch với các công ty môi giới khác?</w:t>
            </w:r>
          </w:p>
        </w:tc>
        <w:tc>
          <w:tcPr>
            <w:tcW w:w="3096" w:type="dxa"/>
          </w:tcPr>
          <w:p w:rsidR="00735649" w:rsidRPr="006234AA" w:rsidRDefault="00735649" w:rsidP="003C0546">
            <w:pPr>
              <w:spacing w:after="120"/>
              <w:ind w:firstLine="0"/>
              <w:rPr>
                <w:lang w:val="nl-NL"/>
              </w:rPr>
            </w:pPr>
            <w:r w:rsidRPr="006234AA">
              <w:rPr>
                <w:lang w:val="nl-NL"/>
              </w:rPr>
              <w:t>Có/không (nếu có xin liệt kê đầy đủ các công ty)</w:t>
            </w:r>
          </w:p>
        </w:tc>
        <w:tc>
          <w:tcPr>
            <w:tcW w:w="3096" w:type="dxa"/>
          </w:tcPr>
          <w:p w:rsidR="00735649" w:rsidRPr="006234AA" w:rsidRDefault="00735649" w:rsidP="003C0546">
            <w:pPr>
              <w:spacing w:after="120"/>
              <w:ind w:firstLine="0"/>
              <w:rPr>
                <w:lang w:val="nl-NL"/>
              </w:rPr>
            </w:pPr>
            <w:r w:rsidRPr="006234AA">
              <w:rPr>
                <w:lang w:val="nl-NL"/>
              </w:rPr>
              <w:t>Có/không (nếu có xin liệt kê đầy đủ các công ty)</w:t>
            </w:r>
          </w:p>
        </w:tc>
      </w:tr>
    </w:tbl>
    <w:p w:rsidR="00735649" w:rsidRPr="006234AA" w:rsidRDefault="00735649" w:rsidP="003C0546">
      <w:pPr>
        <w:spacing w:after="120"/>
        <w:ind w:firstLine="0"/>
        <w:jc w:val="left"/>
        <w:rPr>
          <w:lang w:val="nl-NL"/>
        </w:rPr>
      </w:pPr>
    </w:p>
    <w:p w:rsidR="00735649" w:rsidRPr="006234AA" w:rsidRDefault="00027C44" w:rsidP="003C0546">
      <w:pPr>
        <w:spacing w:after="120"/>
        <w:ind w:firstLine="0"/>
        <w:jc w:val="left"/>
        <w:rPr>
          <w:lang w:val="nl-NL"/>
        </w:rPr>
      </w:pPr>
      <w:r w:rsidRPr="006234AA">
        <w:rPr>
          <w:lang w:val="nl-NL"/>
        </w:rPr>
        <w:t xml:space="preserve">MỐI QUAN HỆ CỦA NGƯỜI CÙNG MỞ TÀI KHOẢN VỚI CHỦ TÀI KHOẢN CHÍNH (nếu mở chung tài khoản): … </w:t>
      </w:r>
    </w:p>
    <w:p w:rsidR="00735649" w:rsidRPr="006234AA" w:rsidRDefault="00735649" w:rsidP="003C0546">
      <w:pPr>
        <w:spacing w:after="120"/>
        <w:ind w:firstLine="0"/>
        <w:jc w:val="left"/>
        <w:rPr>
          <w:lang w:val="nl-NL"/>
        </w:rPr>
      </w:pPr>
    </w:p>
    <w:p w:rsidR="00735649" w:rsidRPr="006234AA" w:rsidRDefault="00027C44" w:rsidP="003C0546">
      <w:pPr>
        <w:spacing w:after="120"/>
        <w:ind w:firstLine="0"/>
        <w:jc w:val="left"/>
        <w:rPr>
          <w:lang w:val="nl-NL"/>
        </w:rPr>
      </w:pPr>
      <w:r w:rsidRPr="006234AA">
        <w:rPr>
          <w:highlight w:val="yellow"/>
          <w:lang w:val="nl-NL"/>
        </w:rPr>
        <w:t>CPF/SRS DETAILS</w:t>
      </w:r>
    </w:p>
    <w:p w:rsidR="00735649" w:rsidRPr="006234AA" w:rsidRDefault="00027C44" w:rsidP="003C0546">
      <w:pPr>
        <w:spacing w:after="120"/>
        <w:ind w:firstLine="0"/>
        <w:jc w:val="left"/>
        <w:rPr>
          <w:lang w:val="nl-NL"/>
        </w:rPr>
      </w:pPr>
      <w:r w:rsidRPr="006234AA">
        <w:rPr>
          <w:lang w:val="nl-NL"/>
        </w:rPr>
        <w:t>(Xin vui lòng lựa chọn và cung cấp chi tiết)</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highlight w:val="yellow"/>
          <w:lang w:val="nl-NL"/>
        </w:rPr>
        <w:t>CPF AIS</w:t>
      </w:r>
      <w:r w:rsidR="00735649" w:rsidRPr="006234AA">
        <w:rPr>
          <w:lang w:val="nl-NL"/>
        </w:rPr>
        <w:t xml:space="preserve">: ... </w:t>
      </w:r>
      <w:r w:rsidR="00735649" w:rsidRPr="006234AA">
        <w:rPr>
          <w:lang w:val="nl-NL"/>
        </w:rPr>
        <w:tab/>
        <w:t>Mã tài khoản: ...</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highlight w:val="yellow"/>
          <w:lang w:val="nl-NL"/>
        </w:rPr>
        <w:t>SRS Agent Bank</w:t>
      </w:r>
      <w:r w:rsidR="00735649" w:rsidRPr="006234AA">
        <w:rPr>
          <w:lang w:val="nl-NL"/>
        </w:rPr>
        <w:t xml:space="preserve">: ... </w:t>
      </w:r>
      <w:r w:rsidR="00735649" w:rsidRPr="006234AA">
        <w:rPr>
          <w:lang w:val="nl-NL"/>
        </w:rPr>
        <w:tab/>
        <w:t>Mã tài khoản: ...</w:t>
      </w:r>
    </w:p>
    <w:p w:rsidR="00735649" w:rsidRPr="006234AA" w:rsidRDefault="00735649" w:rsidP="003C0546">
      <w:pPr>
        <w:spacing w:after="120"/>
        <w:ind w:firstLine="0"/>
        <w:rPr>
          <w:lang w:val="nl-NL"/>
        </w:rPr>
      </w:pPr>
    </w:p>
    <w:p w:rsidR="00735649" w:rsidRPr="006234AA" w:rsidRDefault="00735649" w:rsidP="003C0546">
      <w:pPr>
        <w:spacing w:after="120"/>
        <w:ind w:firstLine="0"/>
        <w:rPr>
          <w:lang w:val="nl-NL"/>
        </w:rPr>
      </w:pPr>
      <w:r w:rsidRPr="006234AA">
        <w:rPr>
          <w:lang w:val="nl-NL"/>
        </w:rPr>
        <w:t>TƯ VẤN TÀI CHÍNH (Không áp dụng cho các nhà đầu tư có chứng chỉ chuyên môn, chuyên gia và nhà đầu tư nước ngoài)</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Có</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Không, tôi/chúng tôi không nhận bất cứ tư vấn nào từ công ty ... Với sự lựa chọn này, tôi/chúng tôi quyết định tự đầu tư theo cách riêng của mình, và chúng tôi tự chịu trách nhiệm về sự phù hợp của các sản phẩm lựa chọn.</w:t>
      </w:r>
    </w:p>
    <w:p w:rsidR="00735649" w:rsidRPr="006234AA" w:rsidRDefault="00735649" w:rsidP="003C0546">
      <w:pPr>
        <w:spacing w:after="120"/>
        <w:ind w:firstLine="0"/>
        <w:rPr>
          <w:lang w:val="nl-NL"/>
        </w:rPr>
      </w:pPr>
    </w:p>
    <w:p w:rsidR="00735649" w:rsidRPr="006234AA" w:rsidRDefault="00735649" w:rsidP="003C0546">
      <w:pPr>
        <w:spacing w:after="120"/>
        <w:ind w:firstLine="0"/>
        <w:rPr>
          <w:lang w:val="nl-NL"/>
        </w:rPr>
      </w:pPr>
      <w:r w:rsidRPr="006234AA">
        <w:rPr>
          <w:lang w:val="nl-NL"/>
        </w:rPr>
        <w:t>THỎA THUẬN BẢO VỆ DỮ LIỆU CÁ NHÂN</w:t>
      </w:r>
    </w:p>
    <w:p w:rsidR="00735649" w:rsidRPr="006234AA" w:rsidRDefault="00735649" w:rsidP="003C0546">
      <w:pPr>
        <w:spacing w:after="120"/>
        <w:ind w:firstLine="0"/>
        <w:rPr>
          <w:lang w:val="nl-NL"/>
        </w:rPr>
      </w:pPr>
      <w:r w:rsidRPr="006234AA">
        <w:rPr>
          <w:lang w:val="nl-NL"/>
        </w:rPr>
        <w:t>Tôi/chúng tôi khẳng định đã hiểu và chấp thuận các điều khoản của thỏa thuận bảo vệ dữ liệu cá nhân trong phần công nhận và tuyên bố trong đơn này và đồng ý rằng các thông điệp tiếp thị có thể được gửi đến số điện thoại liên lạc của tôi/chúng tôi thông qua:</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Cuộc gọi thoại</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Tin nhắn</w:t>
      </w:r>
    </w:p>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Fax</w:t>
      </w:r>
    </w:p>
    <w:p w:rsidR="00735649" w:rsidRPr="006234AA" w:rsidRDefault="00735649" w:rsidP="003C0546">
      <w:pPr>
        <w:spacing w:after="120"/>
        <w:ind w:firstLine="0"/>
        <w:rPr>
          <w:lang w:val="nl-NL"/>
        </w:rPr>
      </w:pPr>
    </w:p>
    <w:p w:rsidR="00735649" w:rsidRPr="006234AA" w:rsidRDefault="00735649" w:rsidP="003C0546">
      <w:pPr>
        <w:spacing w:after="120"/>
        <w:ind w:firstLine="0"/>
        <w:rPr>
          <w:lang w:val="nl-NL"/>
        </w:rPr>
      </w:pPr>
      <w:r w:rsidRPr="006234AA">
        <w:rPr>
          <w:lang w:val="nl-NL"/>
        </w:rPr>
        <w:t>CÔNG NHẬN VÀ TUYÊN BỐ CỦA NGƯỜI VIẾT ĐƠN</w:t>
      </w:r>
    </w:p>
    <w:p w:rsidR="00735649" w:rsidRPr="006234AA" w:rsidRDefault="00735649" w:rsidP="003C0546">
      <w:pPr>
        <w:spacing w:after="120"/>
        <w:ind w:firstLine="0"/>
        <w:rPr>
          <w:lang w:val="nl-NL"/>
        </w:rPr>
      </w:pPr>
      <w:r w:rsidRPr="006234AA">
        <w:rPr>
          <w:lang w:val="nl-NL"/>
        </w:rPr>
        <w:t>Ngoài thỏa thuận trên, tôi/chúng tôi khẳng định đã hiểu và chấp thuận mục công nhận và tuyên bố của đơn đề nghị này.</w:t>
      </w:r>
    </w:p>
    <w:tbl>
      <w:tblPr>
        <w:tblStyle w:val="TableGrid"/>
        <w:tblW w:w="0" w:type="auto"/>
        <w:tblLook w:val="04A0"/>
      </w:tblPr>
      <w:tblGrid>
        <w:gridCol w:w="2321"/>
        <w:gridCol w:w="2322"/>
        <w:gridCol w:w="2322"/>
        <w:gridCol w:w="2322"/>
      </w:tblGrid>
      <w:tr w:rsidR="00735649" w:rsidRPr="006234AA" w:rsidTr="00A15B69">
        <w:tc>
          <w:tcPr>
            <w:tcW w:w="2321" w:type="dxa"/>
          </w:tcPr>
          <w:p w:rsidR="00735649" w:rsidRPr="006234AA" w:rsidRDefault="00735649" w:rsidP="003C0546">
            <w:pPr>
              <w:spacing w:after="120"/>
              <w:ind w:firstLine="0"/>
              <w:jc w:val="center"/>
              <w:rPr>
                <w:b/>
                <w:lang w:val="nl-NL"/>
              </w:rPr>
            </w:pPr>
            <w:r w:rsidRPr="006234AA">
              <w:rPr>
                <w:b/>
                <w:lang w:val="nl-NL"/>
              </w:rPr>
              <w:t>Người viêt đơn chính</w:t>
            </w:r>
          </w:p>
        </w:tc>
        <w:tc>
          <w:tcPr>
            <w:tcW w:w="2322" w:type="dxa"/>
          </w:tcPr>
          <w:p w:rsidR="00735649" w:rsidRPr="006234AA" w:rsidRDefault="00735649" w:rsidP="003C0546">
            <w:pPr>
              <w:spacing w:after="120"/>
              <w:ind w:firstLine="0"/>
              <w:jc w:val="center"/>
              <w:rPr>
                <w:b/>
                <w:lang w:val="nl-NL"/>
              </w:rPr>
            </w:pPr>
            <w:r w:rsidRPr="006234AA">
              <w:rPr>
                <w:b/>
                <w:lang w:val="nl-NL"/>
              </w:rPr>
              <w:t>Người cùng viết đơn</w:t>
            </w:r>
          </w:p>
        </w:tc>
        <w:tc>
          <w:tcPr>
            <w:tcW w:w="2322" w:type="dxa"/>
          </w:tcPr>
          <w:p w:rsidR="00735649" w:rsidRPr="006234AA" w:rsidRDefault="00735649" w:rsidP="003C0546">
            <w:pPr>
              <w:spacing w:after="120"/>
              <w:ind w:firstLine="0"/>
              <w:jc w:val="center"/>
              <w:rPr>
                <w:b/>
                <w:lang w:val="nl-NL"/>
              </w:rPr>
            </w:pPr>
            <w:r w:rsidRPr="006234AA">
              <w:rPr>
                <w:b/>
                <w:lang w:val="nl-NL"/>
              </w:rPr>
              <w:t>Người làm chứng</w:t>
            </w:r>
          </w:p>
        </w:tc>
        <w:tc>
          <w:tcPr>
            <w:tcW w:w="2322" w:type="dxa"/>
          </w:tcPr>
          <w:p w:rsidR="00735649" w:rsidRPr="006234AA" w:rsidRDefault="00735649" w:rsidP="003C0546">
            <w:pPr>
              <w:spacing w:after="120"/>
              <w:ind w:firstLine="0"/>
              <w:jc w:val="center"/>
              <w:rPr>
                <w:b/>
                <w:lang w:val="nl-NL"/>
              </w:rPr>
            </w:pPr>
            <w:r w:rsidRPr="006234AA">
              <w:rPr>
                <w:b/>
                <w:lang w:val="nl-NL"/>
              </w:rPr>
              <w:t>Công chứng viên (nếu có)</w:t>
            </w:r>
          </w:p>
        </w:tc>
      </w:tr>
      <w:tr w:rsidR="00735649" w:rsidRPr="006234AA" w:rsidTr="00A15B69">
        <w:tc>
          <w:tcPr>
            <w:tcW w:w="2321" w:type="dxa"/>
          </w:tcPr>
          <w:p w:rsidR="00735649" w:rsidRPr="006234AA" w:rsidRDefault="00735649" w:rsidP="003C0546">
            <w:pPr>
              <w:spacing w:after="120"/>
              <w:ind w:firstLine="0"/>
              <w:rPr>
                <w:i/>
                <w:lang w:val="nl-NL"/>
              </w:rPr>
            </w:pPr>
            <w:r w:rsidRPr="006234AA">
              <w:rPr>
                <w:i/>
                <w:lang w:val="nl-NL"/>
              </w:rPr>
              <w:t>(Ký, ghi rõ họ tên)</w:t>
            </w:r>
          </w:p>
        </w:tc>
        <w:tc>
          <w:tcPr>
            <w:tcW w:w="2322" w:type="dxa"/>
          </w:tcPr>
          <w:p w:rsidR="00735649" w:rsidRPr="006234AA" w:rsidRDefault="00735649" w:rsidP="003C0546">
            <w:pPr>
              <w:spacing w:after="120"/>
              <w:ind w:firstLine="0"/>
              <w:rPr>
                <w:i/>
                <w:lang w:val="nl-NL"/>
              </w:rPr>
            </w:pPr>
            <w:r w:rsidRPr="006234AA">
              <w:rPr>
                <w:i/>
                <w:lang w:val="nl-NL"/>
              </w:rPr>
              <w:t>(Ký, ghi rõ họ tên)</w:t>
            </w:r>
          </w:p>
        </w:tc>
        <w:tc>
          <w:tcPr>
            <w:tcW w:w="2322" w:type="dxa"/>
          </w:tcPr>
          <w:p w:rsidR="00735649" w:rsidRPr="006234AA" w:rsidRDefault="00735649" w:rsidP="003C0546">
            <w:pPr>
              <w:spacing w:after="120"/>
              <w:ind w:firstLine="0"/>
              <w:rPr>
                <w:i/>
                <w:lang w:val="nl-NL"/>
              </w:rPr>
            </w:pPr>
            <w:r w:rsidRPr="006234AA">
              <w:rPr>
                <w:i/>
                <w:lang w:val="nl-NL"/>
              </w:rPr>
              <w:t>(Ký, ghi rõ họ tên)</w:t>
            </w:r>
          </w:p>
        </w:tc>
        <w:tc>
          <w:tcPr>
            <w:tcW w:w="2322" w:type="dxa"/>
          </w:tcPr>
          <w:p w:rsidR="00735649" w:rsidRPr="006234AA" w:rsidRDefault="00735649" w:rsidP="003C0546">
            <w:pPr>
              <w:spacing w:after="120"/>
              <w:ind w:firstLine="0"/>
              <w:rPr>
                <w:i/>
                <w:lang w:val="nl-NL"/>
              </w:rPr>
            </w:pPr>
            <w:r w:rsidRPr="006234AA">
              <w:rPr>
                <w:i/>
                <w:lang w:val="nl-NL"/>
              </w:rPr>
              <w:t>(Ký, ghi rõ họ tên)</w:t>
            </w:r>
          </w:p>
        </w:tc>
      </w:tr>
      <w:tr w:rsidR="00735649" w:rsidRPr="006234AA" w:rsidTr="00A15B69">
        <w:tc>
          <w:tcPr>
            <w:tcW w:w="2321" w:type="dxa"/>
          </w:tcPr>
          <w:p w:rsidR="00735649" w:rsidRPr="006234AA" w:rsidRDefault="00735649" w:rsidP="003C0546">
            <w:pPr>
              <w:spacing w:after="120"/>
              <w:ind w:firstLine="0"/>
              <w:rPr>
                <w:i/>
                <w:lang w:val="nl-NL"/>
              </w:rPr>
            </w:pPr>
            <w:r w:rsidRPr="006234AA">
              <w:rPr>
                <w:i/>
                <w:lang w:val="nl-NL"/>
              </w:rPr>
              <w:t>Ngày: ...</w:t>
            </w:r>
          </w:p>
        </w:tc>
        <w:tc>
          <w:tcPr>
            <w:tcW w:w="2322" w:type="dxa"/>
          </w:tcPr>
          <w:p w:rsidR="00735649" w:rsidRPr="006234AA" w:rsidRDefault="00735649" w:rsidP="003C0546">
            <w:pPr>
              <w:spacing w:after="120"/>
              <w:ind w:firstLine="0"/>
              <w:rPr>
                <w:i/>
                <w:lang w:val="nl-NL"/>
              </w:rPr>
            </w:pPr>
            <w:r w:rsidRPr="006234AA">
              <w:rPr>
                <w:i/>
                <w:lang w:val="nl-NL"/>
              </w:rPr>
              <w:t>Ngày: ...</w:t>
            </w:r>
          </w:p>
        </w:tc>
        <w:tc>
          <w:tcPr>
            <w:tcW w:w="2322" w:type="dxa"/>
          </w:tcPr>
          <w:p w:rsidR="00735649" w:rsidRPr="006234AA" w:rsidRDefault="00735649" w:rsidP="003C0546">
            <w:pPr>
              <w:spacing w:after="120"/>
              <w:ind w:firstLine="0"/>
              <w:rPr>
                <w:i/>
                <w:lang w:val="nl-NL"/>
              </w:rPr>
            </w:pPr>
            <w:r w:rsidRPr="006234AA">
              <w:rPr>
                <w:i/>
                <w:lang w:val="nl-NL"/>
              </w:rPr>
              <w:t>Ngày: ...</w:t>
            </w:r>
          </w:p>
        </w:tc>
        <w:tc>
          <w:tcPr>
            <w:tcW w:w="2322" w:type="dxa"/>
          </w:tcPr>
          <w:p w:rsidR="00735649" w:rsidRPr="006234AA" w:rsidRDefault="00735649" w:rsidP="003C0546">
            <w:pPr>
              <w:spacing w:after="120"/>
              <w:ind w:firstLine="0"/>
              <w:rPr>
                <w:i/>
                <w:lang w:val="nl-NL"/>
              </w:rPr>
            </w:pPr>
            <w:r w:rsidRPr="006234AA">
              <w:rPr>
                <w:i/>
                <w:lang w:val="nl-NL"/>
              </w:rPr>
              <w:t>Ngày: ...</w:t>
            </w:r>
          </w:p>
        </w:tc>
      </w:tr>
    </w:tbl>
    <w:p w:rsidR="00735649" w:rsidRPr="006234AA" w:rsidRDefault="00735649" w:rsidP="003C0546">
      <w:pPr>
        <w:spacing w:after="120"/>
        <w:ind w:firstLine="0"/>
        <w:rPr>
          <w:lang w:val="nl-NL"/>
        </w:rPr>
      </w:pPr>
    </w:p>
    <w:p w:rsidR="00735649" w:rsidRPr="006234AA" w:rsidRDefault="00735649" w:rsidP="003C0546">
      <w:pPr>
        <w:spacing w:after="120"/>
        <w:ind w:firstLine="0"/>
        <w:rPr>
          <w:lang w:val="nl-NL"/>
        </w:rPr>
      </w:pPr>
      <w:r w:rsidRPr="006234AA">
        <w:rPr>
          <w:lang w:val="nl-NL"/>
        </w:rPr>
        <w:lastRenderedPageBreak/>
        <w:t>PHẦN DÀNH CHO NHÂN VIÊN</w:t>
      </w:r>
    </w:p>
    <w:tbl>
      <w:tblPr>
        <w:tblStyle w:val="TableGrid"/>
        <w:tblW w:w="0" w:type="auto"/>
        <w:tblLook w:val="04A0"/>
      </w:tblPr>
      <w:tblGrid>
        <w:gridCol w:w="2235"/>
        <w:gridCol w:w="992"/>
        <w:gridCol w:w="1984"/>
        <w:gridCol w:w="1276"/>
        <w:gridCol w:w="2800"/>
      </w:tblGrid>
      <w:tr w:rsidR="00735649" w:rsidRPr="006234AA" w:rsidTr="00A15B69">
        <w:tc>
          <w:tcPr>
            <w:tcW w:w="3227" w:type="dxa"/>
            <w:gridSpan w:val="2"/>
          </w:tcPr>
          <w:p w:rsidR="00735649" w:rsidRPr="006234AA" w:rsidRDefault="00735649" w:rsidP="003C0546">
            <w:pPr>
              <w:spacing w:after="120"/>
              <w:ind w:firstLine="0"/>
              <w:jc w:val="left"/>
            </w:pPr>
            <w:r w:rsidRPr="006234AA">
              <w:rPr>
                <w:lang w:val="nl-NL"/>
              </w:rPr>
              <w:t xml:space="preserve">Tên/mã </w:t>
            </w:r>
            <w:r w:rsidRPr="006234AA">
              <w:rPr>
                <w:highlight w:val="yellow"/>
                <w:lang w:val="nl-NL"/>
              </w:rPr>
              <w:t>TR</w:t>
            </w:r>
            <w:r w:rsidRPr="006234AA">
              <w:rPr>
                <w:lang w:val="nl-NL"/>
              </w:rPr>
              <w:t>:</w:t>
            </w:r>
          </w:p>
        </w:tc>
        <w:tc>
          <w:tcPr>
            <w:tcW w:w="3260" w:type="dxa"/>
            <w:gridSpan w:val="2"/>
          </w:tcPr>
          <w:p w:rsidR="00735649" w:rsidRPr="006234AA" w:rsidRDefault="00735649" w:rsidP="003C0546">
            <w:pPr>
              <w:spacing w:after="120"/>
              <w:ind w:firstLine="0"/>
              <w:jc w:val="left"/>
            </w:pPr>
            <w:r w:rsidRPr="006234AA">
              <w:rPr>
                <w:lang w:val="nl-NL"/>
              </w:rPr>
              <w:t xml:space="preserve">Chữ ký </w:t>
            </w:r>
            <w:r w:rsidRPr="006234AA">
              <w:rPr>
                <w:highlight w:val="yellow"/>
                <w:lang w:val="nl-NL"/>
              </w:rPr>
              <w:t>TR</w:t>
            </w:r>
            <w:r w:rsidRPr="006234AA">
              <w:rPr>
                <w:lang w:val="nl-NL"/>
              </w:rPr>
              <w:t>:</w:t>
            </w:r>
          </w:p>
        </w:tc>
        <w:tc>
          <w:tcPr>
            <w:tcW w:w="2800" w:type="dxa"/>
          </w:tcPr>
          <w:p w:rsidR="00735649" w:rsidRPr="006234AA" w:rsidRDefault="00735649" w:rsidP="003C0546">
            <w:pPr>
              <w:spacing w:after="120"/>
              <w:ind w:firstLine="0"/>
              <w:jc w:val="left"/>
            </w:pPr>
            <w:r w:rsidRPr="006234AA">
              <w:rPr>
                <w:lang w:val="nl-NL"/>
              </w:rPr>
              <w:t>Ngày: ...</w:t>
            </w:r>
          </w:p>
        </w:tc>
      </w:tr>
      <w:tr w:rsidR="00735649" w:rsidRPr="006234AA" w:rsidTr="00A15B69">
        <w:tc>
          <w:tcPr>
            <w:tcW w:w="3227" w:type="dxa"/>
            <w:gridSpan w:val="2"/>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Mã tài khoản lưu ký:...</w:t>
            </w:r>
          </w:p>
        </w:tc>
        <w:tc>
          <w:tcPr>
            <w:tcW w:w="3260" w:type="dxa"/>
            <w:gridSpan w:val="2"/>
          </w:tcPr>
          <w:p w:rsidR="00735649" w:rsidRPr="006234AA" w:rsidRDefault="007965E6" w:rsidP="003C0546">
            <w:pPr>
              <w:spacing w:after="120"/>
              <w:ind w:firstLine="0"/>
              <w:rPr>
                <w:lang w:val="nl-NL"/>
              </w:rPr>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Mã tiểu khoản lưu ký:...</w:t>
            </w:r>
          </w:p>
        </w:tc>
        <w:tc>
          <w:tcPr>
            <w:tcW w:w="2800" w:type="dxa"/>
          </w:tcPr>
          <w:p w:rsidR="00735649" w:rsidRPr="006234AA" w:rsidRDefault="00735649" w:rsidP="003C0546">
            <w:pPr>
              <w:spacing w:after="120"/>
              <w:ind w:firstLine="0"/>
              <w:jc w:val="left"/>
              <w:rPr>
                <w:lang w:val="nl-NL"/>
              </w:rPr>
            </w:pPr>
          </w:p>
        </w:tc>
      </w:tr>
      <w:tr w:rsidR="00735649" w:rsidRPr="006234AA" w:rsidTr="00A15B69">
        <w:tc>
          <w:tcPr>
            <w:tcW w:w="2235" w:type="dxa"/>
          </w:tcPr>
          <w:p w:rsidR="00735649" w:rsidRPr="006234AA" w:rsidRDefault="00735649" w:rsidP="003C0546">
            <w:pPr>
              <w:spacing w:after="120"/>
              <w:ind w:firstLine="0"/>
              <w:jc w:val="left"/>
            </w:pPr>
            <w:r w:rsidRPr="006234AA">
              <w:t>Mã tài khoản: …</w:t>
            </w:r>
          </w:p>
        </w:tc>
        <w:tc>
          <w:tcPr>
            <w:tcW w:w="2976" w:type="dxa"/>
            <w:gridSpan w:val="2"/>
          </w:tcPr>
          <w:p w:rsidR="00735649" w:rsidRPr="006234AA" w:rsidRDefault="00735649" w:rsidP="003C0546">
            <w:pPr>
              <w:spacing w:after="120"/>
              <w:ind w:firstLine="0"/>
              <w:jc w:val="left"/>
            </w:pPr>
            <w:r w:rsidRPr="006234AA">
              <w:t>Mã đặc biệt: …</w:t>
            </w:r>
          </w:p>
        </w:tc>
        <w:tc>
          <w:tcPr>
            <w:tcW w:w="4076" w:type="dxa"/>
            <w:gridSpan w:val="2"/>
            <w:vMerge w:val="restart"/>
          </w:tcPr>
          <w:p w:rsidR="00735649" w:rsidRPr="006234AA" w:rsidRDefault="00735649" w:rsidP="003C0546">
            <w:pPr>
              <w:spacing w:after="120"/>
              <w:ind w:firstLine="0"/>
              <w:jc w:val="left"/>
            </w:pPr>
            <w:r w:rsidRPr="006234AA">
              <w:t>Ngày mở TK</w:t>
            </w:r>
          </w:p>
          <w:p w:rsidR="00735649" w:rsidRPr="006234AA" w:rsidRDefault="00735649" w:rsidP="003C0546">
            <w:pPr>
              <w:spacing w:after="120"/>
              <w:ind w:firstLine="0"/>
              <w:jc w:val="left"/>
            </w:pPr>
            <w:r w:rsidRPr="006234AA">
              <w:t xml:space="preserve">Người nhập: … Chữ ký: </w:t>
            </w:r>
          </w:p>
          <w:p w:rsidR="00735649" w:rsidRPr="006234AA" w:rsidRDefault="00735649" w:rsidP="003C0546">
            <w:pPr>
              <w:spacing w:after="120"/>
              <w:ind w:firstLine="0"/>
              <w:jc w:val="left"/>
            </w:pPr>
            <w:r w:rsidRPr="006234AA">
              <w:t>Người kiểm tra: … Chữ ký:</w:t>
            </w:r>
          </w:p>
        </w:tc>
      </w:tr>
      <w:tr w:rsidR="00735649" w:rsidRPr="006234AA" w:rsidTr="00A15B69">
        <w:tc>
          <w:tcPr>
            <w:tcW w:w="2235" w:type="dxa"/>
          </w:tcPr>
          <w:p w:rsidR="00735649" w:rsidRPr="006234AA" w:rsidRDefault="00735649" w:rsidP="003C0546">
            <w:pPr>
              <w:spacing w:after="120"/>
              <w:ind w:firstLine="0"/>
              <w:jc w:val="left"/>
            </w:pPr>
            <w:r w:rsidRPr="006234AA">
              <w:t>Lưu ý: …</w:t>
            </w:r>
          </w:p>
        </w:tc>
        <w:tc>
          <w:tcPr>
            <w:tcW w:w="2976" w:type="dxa"/>
            <w:gridSpan w:val="2"/>
          </w:tcPr>
          <w:p w:rsidR="00735649" w:rsidRPr="006234AA" w:rsidRDefault="007965E6" w:rsidP="003C0546">
            <w:pPr>
              <w:spacing w:after="120"/>
              <w:ind w:firstLine="0"/>
              <w:jc w:val="left"/>
            </w:pPr>
            <w:r w:rsidRPr="006234AA">
              <w:rPr>
                <w:sz w:val="20"/>
                <w:szCs w:val="20"/>
                <w:lang w:val="nl-NL"/>
              </w:rPr>
              <w:fldChar w:fldCharType="begin">
                <w:ffData>
                  <w:name w:val="Check1"/>
                  <w:enabled/>
                  <w:calcOnExit w:val="0"/>
                  <w:checkBox>
                    <w:sizeAuto/>
                    <w:default w:val="0"/>
                  </w:checkBox>
                </w:ffData>
              </w:fldChar>
            </w:r>
            <w:r w:rsidR="00735649" w:rsidRPr="006234AA">
              <w:rPr>
                <w:sz w:val="20"/>
                <w:szCs w:val="20"/>
                <w:lang w:val="nl-NL"/>
              </w:rPr>
              <w:instrText xml:space="preserve"> FORMCHECKBOX </w:instrText>
            </w:r>
            <w:r>
              <w:rPr>
                <w:sz w:val="20"/>
                <w:szCs w:val="20"/>
                <w:lang w:val="nl-NL"/>
              </w:rPr>
            </w:r>
            <w:r>
              <w:rPr>
                <w:sz w:val="20"/>
                <w:szCs w:val="20"/>
                <w:lang w:val="nl-NL"/>
              </w:rPr>
              <w:fldChar w:fldCharType="separate"/>
            </w:r>
            <w:r w:rsidRPr="006234AA">
              <w:rPr>
                <w:sz w:val="20"/>
                <w:szCs w:val="20"/>
                <w:lang w:val="nl-NL"/>
              </w:rPr>
              <w:fldChar w:fldCharType="end"/>
            </w:r>
            <w:r w:rsidR="00735649" w:rsidRPr="006234AA">
              <w:rPr>
                <w:sz w:val="20"/>
                <w:szCs w:val="20"/>
                <w:lang w:val="nl-NL"/>
              </w:rPr>
              <w:t xml:space="preserve"> </w:t>
            </w:r>
            <w:r w:rsidR="00735649" w:rsidRPr="006234AA">
              <w:rPr>
                <w:lang w:val="nl-NL"/>
              </w:rPr>
              <w:t>Mở trực tiếp tại trụ sở</w:t>
            </w:r>
          </w:p>
        </w:tc>
        <w:tc>
          <w:tcPr>
            <w:tcW w:w="4076" w:type="dxa"/>
            <w:gridSpan w:val="2"/>
            <w:vMerge/>
          </w:tcPr>
          <w:p w:rsidR="00735649" w:rsidRPr="006234AA" w:rsidRDefault="00735649" w:rsidP="003C0546">
            <w:pPr>
              <w:spacing w:after="120"/>
              <w:ind w:firstLine="0"/>
              <w:jc w:val="left"/>
            </w:pPr>
          </w:p>
        </w:tc>
      </w:tr>
    </w:tbl>
    <w:p w:rsidR="00735649" w:rsidRPr="006234AA" w:rsidRDefault="00735649" w:rsidP="003C0546">
      <w:pPr>
        <w:spacing w:after="120"/>
        <w:ind w:firstLine="0"/>
        <w:jc w:val="left"/>
      </w:pPr>
    </w:p>
    <w:p w:rsidR="00735649" w:rsidRPr="006234AA" w:rsidRDefault="00735649" w:rsidP="003C0546">
      <w:pPr>
        <w:spacing w:after="120"/>
        <w:ind w:firstLine="0"/>
        <w:rPr>
          <w:lang w:val="nl-NL"/>
        </w:rPr>
      </w:pPr>
      <w:r w:rsidRPr="006234AA">
        <w:rPr>
          <w:lang w:val="nl-NL"/>
        </w:rPr>
        <w:t>CÔNG NHẬN VÀ TUYÊN BỐ CỦA NGƯỜI VIẾT ĐƠN</w:t>
      </w:r>
    </w:p>
    <w:p w:rsidR="00735649" w:rsidRPr="006234AA" w:rsidRDefault="00027C44" w:rsidP="003C0546">
      <w:pPr>
        <w:spacing w:after="120"/>
        <w:ind w:firstLine="0"/>
        <w:jc w:val="left"/>
        <w:rPr>
          <w:lang w:val="nl-NL"/>
        </w:rPr>
      </w:pPr>
      <w:r w:rsidRPr="006234AA">
        <w:rPr>
          <w:lang w:val="nl-NL"/>
        </w:rPr>
        <w:t>Tôi/chúng tôi khẳng định hiểu và chấp thuận:</w:t>
      </w:r>
    </w:p>
    <w:p w:rsidR="00735649" w:rsidRPr="006234AA" w:rsidRDefault="00027C44" w:rsidP="003C0546">
      <w:pPr>
        <w:spacing w:after="120"/>
        <w:ind w:firstLine="720"/>
        <w:rPr>
          <w:lang w:val="nl-NL"/>
        </w:rPr>
      </w:pPr>
      <w:r w:rsidRPr="006234AA">
        <w:rPr>
          <w:lang w:val="nl-NL"/>
        </w:rPr>
        <w:t>a. Các điều khoản và điều kiện của công ty … và hiểu rằng công ty … có thể quản lý tài khoản giao dịch, tài khoản ký quỹ, giao dịch qua Internet và di động, dịch vụ giám sát và các dịch vụ khác của tôi/chúng tôi với công ty …, và</w:t>
      </w:r>
    </w:p>
    <w:p w:rsidR="00735649" w:rsidRPr="006234AA" w:rsidRDefault="00027C44" w:rsidP="003C0546">
      <w:pPr>
        <w:spacing w:after="120"/>
        <w:ind w:firstLine="0"/>
        <w:rPr>
          <w:lang w:val="nl-NL"/>
        </w:rPr>
      </w:pPr>
      <w:r w:rsidRPr="006234AA">
        <w:rPr>
          <w:lang w:val="nl-NL"/>
        </w:rPr>
        <w:t>b. những rủi ro liên quan đến giao dịch những công cụ tài chính trong phần tuyên bố rủi ro của công ty …</w:t>
      </w:r>
    </w:p>
    <w:p w:rsidR="00735649" w:rsidRPr="006234AA" w:rsidRDefault="00735649" w:rsidP="003C0546">
      <w:pPr>
        <w:spacing w:after="120"/>
        <w:ind w:firstLine="0"/>
        <w:rPr>
          <w:lang w:val="nl-NL"/>
        </w:rPr>
      </w:pPr>
    </w:p>
    <w:p w:rsidR="00735649" w:rsidRPr="006234AA" w:rsidRDefault="00027C44" w:rsidP="003C0546">
      <w:pPr>
        <w:spacing w:after="120"/>
        <w:ind w:firstLine="720"/>
        <w:rPr>
          <w:lang w:val="nl-NL"/>
        </w:rPr>
      </w:pPr>
      <w:r w:rsidRPr="006234AA">
        <w:rPr>
          <w:lang w:val="nl-NL"/>
        </w:rPr>
        <w:t>Tôi/chúng tôi công nhận các thông tin trên đã có tại website của công ty … tại địa chỉ … và thông tin in trên giấy cũng sẵn sàng nếu tôi/chúng tôi yêu cầu.</w:t>
      </w:r>
    </w:p>
    <w:p w:rsidR="00735649" w:rsidRPr="006234AA" w:rsidRDefault="00735649" w:rsidP="003C0546">
      <w:pPr>
        <w:spacing w:after="120"/>
        <w:ind w:firstLine="0"/>
        <w:rPr>
          <w:lang w:val="nl-NL"/>
        </w:rPr>
      </w:pPr>
    </w:p>
    <w:p w:rsidR="00735649" w:rsidRPr="006234AA" w:rsidRDefault="00027C44" w:rsidP="003C0546">
      <w:pPr>
        <w:spacing w:after="120"/>
        <w:ind w:firstLine="720"/>
        <w:rPr>
          <w:lang w:val="nl-NL"/>
        </w:rPr>
      </w:pPr>
      <w:r w:rsidRPr="006234AA">
        <w:rPr>
          <w:lang w:val="nl-NL"/>
        </w:rPr>
        <w:t>Tôi/chúng tôi chấp thuận rằng công ty … có toàn quyền từ chối đơn này mà không cần nêu rõ lý do.</w:t>
      </w:r>
    </w:p>
    <w:p w:rsidR="00735649" w:rsidRPr="006234AA" w:rsidRDefault="00735649" w:rsidP="003C0546">
      <w:pPr>
        <w:spacing w:after="120"/>
        <w:ind w:firstLine="0"/>
        <w:rPr>
          <w:lang w:val="nl-NL"/>
        </w:rPr>
      </w:pPr>
    </w:p>
    <w:p w:rsidR="00735649" w:rsidRPr="006234AA" w:rsidRDefault="00027C44" w:rsidP="003C0546">
      <w:pPr>
        <w:spacing w:after="120"/>
        <w:ind w:firstLine="720"/>
        <w:rPr>
          <w:lang w:val="nl-NL"/>
        </w:rPr>
      </w:pPr>
      <w:r w:rsidRPr="006234AA">
        <w:rPr>
          <w:lang w:val="nl-NL"/>
        </w:rPr>
        <w:t>Tôi/chúng tôi hiểu rằng chỉ được thực hiện các giao dịch trên tài khoản của mình đã nêu ở trên, và chỉ được thực hiện các giao dịch phù hợp theo quy định. Tôi/chúng tôi hiểu rằng tôi/chúng tôi cũng có trách nhiệm giám sát tài khoản của mình. Trường hợp phát hiện dấu hiệu có các giao dịch đáng ngờ, sẽ thông báo cho công ty … để điều tra.</w:t>
      </w:r>
    </w:p>
    <w:p w:rsidR="00735649" w:rsidRPr="006234AA" w:rsidRDefault="00735649" w:rsidP="003C0546">
      <w:pPr>
        <w:spacing w:after="120"/>
        <w:ind w:firstLine="0"/>
        <w:rPr>
          <w:lang w:val="nl-NL"/>
        </w:rPr>
      </w:pPr>
    </w:p>
    <w:p w:rsidR="00735649" w:rsidRPr="006234AA" w:rsidRDefault="00027C44" w:rsidP="003C0546">
      <w:pPr>
        <w:spacing w:after="120"/>
        <w:ind w:firstLine="720"/>
        <w:rPr>
          <w:lang w:val="nl-NL"/>
        </w:rPr>
      </w:pPr>
      <w:r w:rsidRPr="006234AA">
        <w:rPr>
          <w:lang w:val="nl-NL"/>
        </w:rPr>
        <w:t>Tôi/chúng tôi đảm bảo và cam kết với công ty … rằng:</w:t>
      </w:r>
    </w:p>
    <w:p w:rsidR="00735649" w:rsidRPr="006234AA" w:rsidRDefault="00027C44" w:rsidP="003C0546">
      <w:pPr>
        <w:spacing w:after="120"/>
        <w:ind w:firstLine="720"/>
        <w:rPr>
          <w:lang w:val="nl-NL"/>
        </w:rPr>
      </w:pPr>
      <w:r w:rsidRPr="006234AA">
        <w:rPr>
          <w:lang w:val="nl-NL"/>
        </w:rPr>
        <w:t>a. Tất cả các chi tiết và thông tin của tôi/chúng tôi đã và sẽ cung cấp cho công ty … là đúng và chính xác cả về nội dung và hình thức, mọi thay đổi liên quan sẽ được thông báo cho công ty … kịp thời và tôi/chúng tôi đã không cố ý giữ lại bất kỳ sự kiện quan trọng nào.</w:t>
      </w:r>
    </w:p>
    <w:p w:rsidR="00735649" w:rsidRPr="006234AA" w:rsidRDefault="00027C44" w:rsidP="003C0546">
      <w:pPr>
        <w:spacing w:after="120"/>
        <w:ind w:firstLine="720"/>
        <w:rPr>
          <w:lang w:val="nl-NL"/>
        </w:rPr>
      </w:pPr>
      <w:r w:rsidRPr="006234AA">
        <w:rPr>
          <w:lang w:val="nl-NL"/>
        </w:rPr>
        <w:lastRenderedPageBreak/>
        <w:t>b. Tôi/chúng tôi đã trên 18 tuổi, chưa bị mất khả năng thanh toán, có đầy đủ năng lực pháp lý, và chưa vi phạm các lỗi nghiêm trọng đối với pháp luật.</w:t>
      </w:r>
    </w:p>
    <w:p w:rsidR="00735649" w:rsidRPr="006234AA" w:rsidRDefault="00027C44" w:rsidP="003C0546">
      <w:pPr>
        <w:spacing w:after="120"/>
        <w:ind w:firstLine="720"/>
        <w:rPr>
          <w:lang w:val="nl-NL"/>
        </w:rPr>
      </w:pPr>
      <w:r w:rsidRPr="006234AA">
        <w:rPr>
          <w:lang w:val="nl-NL"/>
        </w:rPr>
        <w:t>c. Tôi/chúng tôi làm đơn này cho chính mình và không đại diện cho bất kỳ cá nhân nào khác; và tôi/chúng tôi là chủ sở hữu và là người được hưởng lợi của tài khoản giao dịch này.</w:t>
      </w:r>
    </w:p>
    <w:p w:rsidR="00735649" w:rsidRPr="006234AA" w:rsidRDefault="00027C44" w:rsidP="003C0546">
      <w:pPr>
        <w:spacing w:after="120"/>
        <w:ind w:firstLine="720"/>
        <w:rPr>
          <w:lang w:val="nl-NL"/>
        </w:rPr>
      </w:pPr>
      <w:r w:rsidRPr="006234AA">
        <w:rPr>
          <w:lang w:val="nl-NL"/>
        </w:rPr>
        <w:t>d. Tôi/chúng tôi không nằm trong danh sách đen của các sở giao dịch hoặc công ty chứng khoán, cũng không có bất cứ tài khoản vi phạm nào ở các công ty chứng khoán khác.</w:t>
      </w:r>
    </w:p>
    <w:p w:rsidR="00735649" w:rsidRPr="006234AA" w:rsidRDefault="00027C44" w:rsidP="003C0546">
      <w:pPr>
        <w:spacing w:after="120"/>
        <w:ind w:firstLine="720"/>
        <w:rPr>
          <w:lang w:val="nl-NL"/>
        </w:rPr>
      </w:pPr>
      <w:r w:rsidRPr="006234AA">
        <w:rPr>
          <w:lang w:val="nl-NL"/>
        </w:rPr>
        <w:t>e. Tôi/chúng tôi mở tài khoản dựa trên đánh giá của chính tôi/chúng tôi và không dựa vào bất kỳ quan điểm, thông tin hoặc cam kết nào của công ty … cũng như nhân viên hoặc đại diện giao dịch của công ty.</w:t>
      </w:r>
    </w:p>
    <w:p w:rsidR="00735649" w:rsidRPr="006234AA" w:rsidRDefault="00735649" w:rsidP="003C0546">
      <w:pPr>
        <w:spacing w:after="120"/>
        <w:ind w:firstLine="0"/>
        <w:rPr>
          <w:lang w:val="nl-NL"/>
        </w:rPr>
      </w:pPr>
    </w:p>
    <w:p w:rsidR="00735649" w:rsidRPr="006234AA" w:rsidRDefault="00735649" w:rsidP="003C0546">
      <w:pPr>
        <w:spacing w:after="120"/>
        <w:ind w:firstLine="720"/>
      </w:pPr>
      <w:r w:rsidRPr="006234AA">
        <w:t>(DÀNH CHO TÀI KHOẢN CHUNG)</w:t>
      </w:r>
    </w:p>
    <w:p w:rsidR="00735649" w:rsidRPr="006234AA" w:rsidRDefault="00735649" w:rsidP="003C0546">
      <w:pPr>
        <w:spacing w:after="120"/>
        <w:ind w:firstLine="720"/>
      </w:pPr>
      <w:r w:rsidRPr="006234AA">
        <w:t>(i) Chúng tôi yêu cầu công ty … mở tài khoản giao dịch chung dưới tên chúng tôi để bất cứ ai trong chúng tôi đều có thể giao dịch được. Chúng tôi khẳng định rằng tất cả các hướng dẫn (bao gồm cả hướng dẫn giao dịch và hướng dẫn thanh toán), ủy quyền, yêu cầu, hành động, chấp nhận, thỏa thuận, thanh toán hoặc bất cứ điều gì khác liên quan tới hoạt động của tài khoản chung hoặc bất kỳ giao dịch nào do một trong số chúng tôi đưa ra đều có ý nghĩa pháp lý đối với người  còn lại và công ty … có thể xử lý theo quy định.</w:t>
      </w:r>
    </w:p>
    <w:p w:rsidR="00735649" w:rsidRPr="006234AA" w:rsidRDefault="00735649" w:rsidP="003C0546">
      <w:pPr>
        <w:spacing w:after="120"/>
        <w:ind w:firstLine="720"/>
      </w:pPr>
      <w:r w:rsidRPr="006234AA">
        <w:t>(ii) Chúng tôi nhất trí rằng công ty … có thể toàn quyền áp đặt các điều khoản, điều kiện, hạn chế hoặc giới hạn mà công ty … cho là phù hợp đối với hoạt động, giao dịch của tài khoản chung của chúng tôi, bao gồm cả việc giám sát tổng rủi ro của chúng tôi.</w:t>
      </w:r>
    </w:p>
    <w:p w:rsidR="00735649" w:rsidRPr="006234AA" w:rsidRDefault="00735649" w:rsidP="003C0546">
      <w:pPr>
        <w:spacing w:after="120"/>
        <w:ind w:firstLine="0"/>
      </w:pPr>
    </w:p>
    <w:p w:rsidR="00735649" w:rsidRPr="006234AA" w:rsidRDefault="00735649" w:rsidP="003C0546">
      <w:pPr>
        <w:spacing w:after="120"/>
        <w:ind w:firstLine="720"/>
      </w:pPr>
      <w:r w:rsidRPr="006234AA">
        <w:t>THỎA THUẬN BẢO VỆ DỮ LIỆU CÁ NHÂN</w:t>
      </w:r>
    </w:p>
    <w:p w:rsidR="00735649" w:rsidRPr="006234AA" w:rsidRDefault="00735649" w:rsidP="003C0546">
      <w:pPr>
        <w:spacing w:after="120"/>
        <w:ind w:firstLine="720"/>
      </w:pPr>
      <w:r w:rsidRPr="006234AA">
        <w:t>Tôi/chúng tôi đồng ý rằng công ty …, các chi nhánh, các công ty liên quan, các đại lý và các đối tác kinh doanh có thể thu thập, sử dụng, công bố và xử lý dữ liệu cá nhân do tôi/chúng tôi cung cấp hoặc do công ty … đang có cho các mục đích sau:</w:t>
      </w:r>
    </w:p>
    <w:p w:rsidR="00735649" w:rsidRPr="006234AA" w:rsidRDefault="00735649" w:rsidP="003C0546">
      <w:pPr>
        <w:spacing w:after="120"/>
        <w:ind w:firstLine="720"/>
      </w:pPr>
      <w:r w:rsidRPr="006234AA">
        <w:t xml:space="preserve">a. Quản lý quan hệ, tài khoản của tôi/chúng tôi với công ty …, bao gồm cả việc chuyển giao các tài liệu hướng dẫn cho tôi/chúng tôi; </w:t>
      </w:r>
    </w:p>
    <w:p w:rsidR="00735649" w:rsidRPr="006234AA" w:rsidRDefault="00735649" w:rsidP="003C0546">
      <w:pPr>
        <w:spacing w:after="120"/>
        <w:ind w:firstLine="720"/>
      </w:pPr>
      <w:r w:rsidRPr="006234AA">
        <w:t xml:space="preserve">b. Cung cấp cho tôi/chúng tôi các sản phẩm và dịch vụ của công ty … hoặc của các nhà cung cấp khác thông qua công ty …; </w:t>
      </w:r>
    </w:p>
    <w:p w:rsidR="00735649" w:rsidRPr="006234AA" w:rsidRDefault="00735649" w:rsidP="003C0546">
      <w:pPr>
        <w:spacing w:after="120"/>
        <w:ind w:firstLine="720"/>
      </w:pPr>
      <w:r w:rsidRPr="006234AA">
        <w:t xml:space="preserve">c. Gửi cho tôi/chúng tôi các thông tin tiếp thị, quảng cáo, khuyến mại và các tài liệu liên quan đến các sản phẩm và dịch vụ của công ty…, các chi nhánh, các công ty liên quan và các đối tác kinh doanh, có thể là mối quan tâm của tôi/chúng tôi qua đường bưu điện hoặc e-mail (“thư tiếp thị”); </w:t>
      </w:r>
    </w:p>
    <w:p w:rsidR="00735649" w:rsidRPr="006234AA" w:rsidRDefault="00735649" w:rsidP="003C0546">
      <w:pPr>
        <w:spacing w:after="120"/>
        <w:ind w:firstLine="720"/>
      </w:pPr>
      <w:r w:rsidRPr="006234AA">
        <w:lastRenderedPageBreak/>
        <w:t>d. Gửi cho tôi/chúng tôi các thông tin tiếp thị, quảng cáo, khuyến mại và các tài liệu liên quan đến các sản phẩm và dịch vụ của công ty…, các chi nhánh, các công ty liên quan và các đối tác kinh doanh, có thể là mối quan tâm của tôi/chúng tôi qua số điện thoại liên lạc của tôi/chúng tôi với chế độ tôi/chúng tôi đã lựa chọn (“thông điệp tiếp thị”).</w:t>
      </w:r>
    </w:p>
    <w:p w:rsidR="00735649" w:rsidRPr="006234AA" w:rsidRDefault="00735649" w:rsidP="003C0546">
      <w:pPr>
        <w:spacing w:after="120"/>
        <w:ind w:firstLine="0"/>
      </w:pPr>
    </w:p>
    <w:p w:rsidR="00735649" w:rsidRPr="006234AA" w:rsidRDefault="00735649" w:rsidP="003C0546">
      <w:pPr>
        <w:spacing w:after="120"/>
        <w:ind w:firstLine="720"/>
      </w:pPr>
      <w:r w:rsidRPr="006234AA">
        <w:t xml:space="preserve">Tôi/chúng tôi chấp thuận rằng tôi/chúng tôi có thể rút thỏa thuận của tôi/chúng tôi với việc nhận thư tiếp thị và tin nhắn tiếp thị tại trang web của công ty… </w:t>
      </w:r>
    </w:p>
    <w:p w:rsidR="00735649" w:rsidRPr="006234AA" w:rsidRDefault="00735649" w:rsidP="003C0546">
      <w:pPr>
        <w:spacing w:after="120"/>
        <w:ind w:firstLine="0"/>
      </w:pPr>
    </w:p>
    <w:p w:rsidR="00735649" w:rsidRPr="006234AA" w:rsidRDefault="00735649" w:rsidP="003C0546">
      <w:pPr>
        <w:spacing w:after="120"/>
        <w:ind w:firstLine="720"/>
      </w:pPr>
      <w:r w:rsidRPr="006234AA">
        <w:t xml:space="preserve">Tôi/chúng tôi đồng ý rằng dữ liệu cá nhân của tôi/chúng tôi có thể được công bố hoặc chuyển giao cho các nhà cung cấp dịch vụ và sản phẩm, đại lý, hoặc trung gian của công ty … và bên thứ ba khác nêu trên, cho dù ở Việt Nam hay nơi khác, cho các mục đích trên, thống nhất với Chính sách bảo mật của công ty … trên trang web …, hoặc mức độ cần thiết theo pháp luật hiện hành. </w:t>
      </w:r>
    </w:p>
    <w:p w:rsidR="00735649" w:rsidRPr="006234AA" w:rsidRDefault="00735649" w:rsidP="003C0546">
      <w:pPr>
        <w:spacing w:after="120"/>
        <w:ind w:firstLine="0"/>
      </w:pPr>
    </w:p>
    <w:p w:rsidR="00735649" w:rsidRPr="006234AA" w:rsidRDefault="00735649" w:rsidP="003C0546">
      <w:pPr>
        <w:spacing w:after="120"/>
        <w:ind w:firstLine="720"/>
      </w:pPr>
      <w:r w:rsidRPr="006234AA">
        <w:t>Ngoài các mục đích đã nêu trên, công ty …, các chi nhánh, các công ty liên quan, các đại lý và các đối tác kinh doanh không được sử dụng dữ liệu cá nhân của tôi/chúng tôi vào bất cứ mục đích nào khác.</w:t>
      </w:r>
    </w:p>
    <w:p w:rsidR="00735649" w:rsidRPr="006234AA" w:rsidRDefault="00735649" w:rsidP="003C0546">
      <w:pPr>
        <w:spacing w:after="120"/>
        <w:ind w:firstLine="0"/>
      </w:pPr>
    </w:p>
    <w:p w:rsidR="00331349" w:rsidRPr="006234AA" w:rsidRDefault="00331349" w:rsidP="003C0546">
      <w:pPr>
        <w:spacing w:after="120"/>
        <w:ind w:firstLine="0"/>
      </w:pPr>
    </w:p>
    <w:p w:rsidR="00331349" w:rsidRPr="006234AA" w:rsidRDefault="00331349" w:rsidP="003C0546">
      <w:pPr>
        <w:spacing w:after="120"/>
        <w:ind w:firstLine="0"/>
        <w:jc w:val="left"/>
      </w:pPr>
    </w:p>
    <w:sectPr w:rsidR="00331349" w:rsidRPr="006234AA" w:rsidSect="00C2516A">
      <w:footerReference w:type="default" r:id="rId20"/>
      <w:pgSz w:w="11906" w:h="16838" w:code="9"/>
      <w:pgMar w:top="1134"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52" w:rsidRDefault="00581752" w:rsidP="0017306F">
      <w:r>
        <w:separator/>
      </w:r>
    </w:p>
  </w:endnote>
  <w:endnote w:type="continuationSeparator" w:id="0">
    <w:p w:rsidR="00581752" w:rsidRDefault="00581752" w:rsidP="00173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A3"/>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09" w:rsidRDefault="00904409" w:rsidP="00337464">
    <w:pPr>
      <w:pStyle w:val="Footer"/>
      <w:jc w:val="center"/>
      <w:rPr>
        <w:rStyle w:val="PageNumber"/>
        <w:b/>
        <w:bCs/>
      </w:rPr>
    </w:pPr>
  </w:p>
  <w:p w:rsidR="00904409" w:rsidRDefault="00904409" w:rsidP="0017306F">
    <w:pPr>
      <w:pStyle w:val="Footer"/>
      <w:rPr>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09" w:rsidRDefault="007965E6">
    <w:pPr>
      <w:pStyle w:val="Footer"/>
      <w:jc w:val="center"/>
    </w:pPr>
    <w:r>
      <w:fldChar w:fldCharType="begin"/>
    </w:r>
    <w:r w:rsidR="00904409">
      <w:instrText xml:space="preserve"> PAGE   \* MERGEFORMAT </w:instrText>
    </w:r>
    <w:r>
      <w:fldChar w:fldCharType="separate"/>
    </w:r>
    <w:r w:rsidR="006F73E9">
      <w:rPr>
        <w:noProof/>
      </w:rPr>
      <w:t>1</w:t>
    </w:r>
    <w:r>
      <w:rPr>
        <w:noProof/>
      </w:rPr>
      <w:fldChar w:fldCharType="end"/>
    </w:r>
  </w:p>
  <w:p w:rsidR="00904409" w:rsidRDefault="00904409" w:rsidP="0017306F">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52" w:rsidRDefault="00581752" w:rsidP="0017306F">
      <w:r>
        <w:separator/>
      </w:r>
    </w:p>
  </w:footnote>
  <w:footnote w:type="continuationSeparator" w:id="0">
    <w:p w:rsidR="00581752" w:rsidRDefault="00581752" w:rsidP="0017306F">
      <w:r>
        <w:continuationSeparator/>
      </w:r>
    </w:p>
  </w:footnote>
  <w:footnote w:id="1">
    <w:p w:rsidR="00904409" w:rsidRPr="00C2516A" w:rsidRDefault="00904409" w:rsidP="00DB0200">
      <w:pPr>
        <w:pStyle w:val="FootnoteText"/>
        <w:spacing w:before="0"/>
        <w:rPr>
          <w:rFonts w:asciiTheme="majorHAnsi" w:hAnsiTheme="majorHAnsi" w:cstheme="majorHAnsi"/>
        </w:rPr>
      </w:pPr>
      <w:r>
        <w:rPr>
          <w:rStyle w:val="FootnoteReference"/>
        </w:rPr>
        <w:footnoteRef/>
      </w:r>
      <w:r>
        <w:t xml:space="preserve"> </w:t>
      </w:r>
      <w:r w:rsidRPr="00C2516A">
        <w:rPr>
          <w:rFonts w:asciiTheme="majorHAnsi" w:hAnsiTheme="majorHAnsi" w:cstheme="majorHAnsi"/>
        </w:rPr>
        <w:t xml:space="preserve">Dựa trên cơ sở báo cáo tài chính riêng của tổ chức kinh doanh chứng khoán. </w:t>
      </w:r>
    </w:p>
  </w:footnote>
  <w:footnote w:id="2">
    <w:p w:rsidR="00904409" w:rsidRPr="00C2516A" w:rsidRDefault="00904409" w:rsidP="00DB0200">
      <w:pPr>
        <w:pStyle w:val="FootnoteText"/>
        <w:spacing w:before="0"/>
        <w:rPr>
          <w:rFonts w:asciiTheme="majorHAnsi" w:hAnsiTheme="majorHAnsi" w:cstheme="majorHAnsi"/>
        </w:rPr>
      </w:pPr>
      <w:r w:rsidRPr="00C2516A">
        <w:rPr>
          <w:rStyle w:val="FootnoteReference"/>
          <w:rFonts w:asciiTheme="majorHAnsi" w:hAnsiTheme="majorHAnsi" w:cstheme="majorHAnsi"/>
        </w:rPr>
        <w:footnoteRef/>
      </w:r>
      <w:r w:rsidRPr="00C2516A">
        <w:rPr>
          <w:rFonts w:asciiTheme="majorHAnsi" w:hAnsiTheme="majorHAnsi" w:cstheme="majorHAnsi"/>
        </w:rPr>
        <w:t xml:space="preserve"> Số liệu trên báo cáo tài chính hợp nhất gần nhất</w:t>
      </w:r>
    </w:p>
  </w:footnote>
  <w:footnote w:id="3">
    <w:p w:rsidR="00904409" w:rsidRPr="00562738" w:rsidRDefault="00904409" w:rsidP="00E15965">
      <w:pPr>
        <w:adjustRightInd w:val="0"/>
        <w:spacing w:before="0"/>
        <w:ind w:left="240" w:firstLine="0"/>
        <w:rPr>
          <w:rFonts w:asciiTheme="majorHAnsi" w:hAnsiTheme="majorHAnsi" w:cstheme="majorHAnsi"/>
          <w:sz w:val="20"/>
          <w:szCs w:val="20"/>
        </w:rPr>
      </w:pPr>
      <w:r>
        <w:rPr>
          <w:rStyle w:val="FootnoteReference"/>
          <w:rFonts w:eastAsiaTheme="majorEastAsia"/>
        </w:rPr>
        <w:footnoteRef/>
      </w:r>
      <w:r>
        <w:t xml:space="preserve"> </w:t>
      </w:r>
      <w:r>
        <w:rPr>
          <w:rFonts w:asciiTheme="majorHAnsi" w:hAnsiTheme="majorHAnsi" w:cstheme="majorHAnsi"/>
          <w:sz w:val="20"/>
          <w:szCs w:val="20"/>
        </w:rPr>
        <w:t>Giao dich chứng khoán phái sinh có thể được phân theo nhóm sản phẩm, cụ thể</w:t>
      </w:r>
      <w:r w:rsidRPr="00562738">
        <w:rPr>
          <w:rFonts w:asciiTheme="majorHAnsi" w:hAnsiTheme="majorHAnsi" w:cstheme="majorHAnsi"/>
          <w:sz w:val="20"/>
          <w:szCs w:val="20"/>
        </w:rPr>
        <w:t xml:space="preserve">: </w:t>
      </w:r>
    </w:p>
    <w:p w:rsidR="00904409" w:rsidRPr="00562738" w:rsidRDefault="00904409" w:rsidP="00E15965">
      <w:pPr>
        <w:pStyle w:val="ListParagraph"/>
        <w:numPr>
          <w:ilvl w:val="0"/>
          <w:numId w:val="8"/>
        </w:numPr>
        <w:tabs>
          <w:tab w:val="left" w:pos="426"/>
        </w:tabs>
        <w:adjustRightInd w:val="0"/>
        <w:spacing w:before="0"/>
        <w:ind w:left="0" w:firstLine="0"/>
        <w:rPr>
          <w:rFonts w:asciiTheme="majorHAnsi" w:hAnsiTheme="majorHAnsi" w:cstheme="majorHAnsi"/>
          <w:sz w:val="20"/>
          <w:szCs w:val="20"/>
        </w:rPr>
      </w:pPr>
      <w:r w:rsidRPr="00562738">
        <w:rPr>
          <w:rFonts w:asciiTheme="majorHAnsi" w:hAnsiTheme="majorHAnsi" w:cstheme="majorHAnsi"/>
          <w:sz w:val="20"/>
          <w:szCs w:val="20"/>
        </w:rPr>
        <w:t xml:space="preserve">Nhóm chỉ số: Giao dịch các chứng khoán phái sinh dựa trên </w:t>
      </w:r>
      <w:r>
        <w:rPr>
          <w:rFonts w:asciiTheme="majorHAnsi" w:hAnsiTheme="majorHAnsi" w:cstheme="majorHAnsi"/>
          <w:sz w:val="20"/>
          <w:szCs w:val="20"/>
        </w:rPr>
        <w:t xml:space="preserve">các loại </w:t>
      </w:r>
      <w:r w:rsidRPr="00562738">
        <w:rPr>
          <w:rFonts w:asciiTheme="majorHAnsi" w:hAnsiTheme="majorHAnsi" w:cstheme="majorHAnsi"/>
          <w:sz w:val="20"/>
          <w:szCs w:val="20"/>
        </w:rPr>
        <w:t>chỉ số</w:t>
      </w:r>
      <w:r>
        <w:rPr>
          <w:rFonts w:asciiTheme="majorHAnsi" w:hAnsiTheme="majorHAnsi" w:cstheme="majorHAnsi"/>
          <w:sz w:val="20"/>
          <w:szCs w:val="20"/>
        </w:rPr>
        <w:t xml:space="preserve"> thị trường</w:t>
      </w:r>
      <w:r w:rsidRPr="00562738">
        <w:rPr>
          <w:rFonts w:asciiTheme="majorHAnsi" w:hAnsiTheme="majorHAnsi" w:cstheme="majorHAnsi"/>
          <w:sz w:val="20"/>
          <w:szCs w:val="20"/>
        </w:rPr>
        <w:t>;</w:t>
      </w:r>
    </w:p>
    <w:p w:rsidR="00904409" w:rsidRPr="00562738" w:rsidRDefault="00904409" w:rsidP="00E15965">
      <w:pPr>
        <w:pStyle w:val="ListParagraph"/>
        <w:numPr>
          <w:ilvl w:val="0"/>
          <w:numId w:val="8"/>
        </w:numPr>
        <w:tabs>
          <w:tab w:val="left" w:pos="426"/>
        </w:tabs>
        <w:adjustRightInd w:val="0"/>
        <w:spacing w:before="0"/>
        <w:ind w:left="0" w:firstLine="0"/>
        <w:rPr>
          <w:rFonts w:asciiTheme="majorHAnsi" w:hAnsiTheme="majorHAnsi" w:cstheme="majorHAnsi"/>
          <w:sz w:val="20"/>
          <w:szCs w:val="20"/>
        </w:rPr>
      </w:pPr>
      <w:r w:rsidRPr="00562738">
        <w:rPr>
          <w:rFonts w:asciiTheme="majorHAnsi" w:hAnsiTheme="majorHAnsi" w:cstheme="majorHAnsi"/>
          <w:sz w:val="20"/>
          <w:szCs w:val="20"/>
        </w:rPr>
        <w:t xml:space="preserve"> Nhóm </w:t>
      </w:r>
      <w:r>
        <w:rPr>
          <w:rFonts w:asciiTheme="majorHAnsi" w:hAnsiTheme="majorHAnsi" w:cstheme="majorHAnsi"/>
          <w:sz w:val="20"/>
          <w:szCs w:val="20"/>
        </w:rPr>
        <w:t>TPCP</w:t>
      </w:r>
      <w:r w:rsidRPr="00562738">
        <w:rPr>
          <w:rFonts w:asciiTheme="majorHAnsi" w:hAnsiTheme="majorHAnsi" w:cstheme="majorHAnsi"/>
          <w:sz w:val="20"/>
          <w:szCs w:val="20"/>
        </w:rPr>
        <w:t xml:space="preserve">: Giao dịch các chứng khoán phái sinh dựa trên </w:t>
      </w:r>
      <w:r>
        <w:rPr>
          <w:rFonts w:asciiTheme="majorHAnsi" w:hAnsiTheme="majorHAnsi" w:cstheme="majorHAnsi"/>
          <w:sz w:val="20"/>
          <w:szCs w:val="20"/>
        </w:rPr>
        <w:t>các loại TPCP</w:t>
      </w:r>
      <w:r w:rsidRPr="00562738">
        <w:rPr>
          <w:rFonts w:asciiTheme="majorHAnsi" w:hAnsiTheme="majorHAnsi" w:cstheme="majorHAns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96E"/>
    <w:multiLevelType w:val="hybridMultilevel"/>
    <w:tmpl w:val="A7FE4BFA"/>
    <w:lvl w:ilvl="0" w:tplc="1F6A792A">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42123AC"/>
    <w:multiLevelType w:val="hybridMultilevel"/>
    <w:tmpl w:val="8502FF8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6604419"/>
    <w:multiLevelType w:val="hybridMultilevel"/>
    <w:tmpl w:val="27F68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8314D"/>
    <w:multiLevelType w:val="hybridMultilevel"/>
    <w:tmpl w:val="FB687DFE"/>
    <w:lvl w:ilvl="0" w:tplc="3140DCB8">
      <w:start w:val="1"/>
      <w:numFmt w:val="decimal"/>
      <w:pStyle w:val="Heading4"/>
      <w:suff w:val="space"/>
      <w:lvlText w:val="Điều %1."/>
      <w:lvlJc w:val="left"/>
      <w:pPr>
        <w:ind w:left="1211" w:hanging="360"/>
      </w:pPr>
      <w:rPr>
        <w:rFonts w:hint="default"/>
        <w:lang w:val="nl-NL"/>
      </w:rPr>
    </w:lvl>
    <w:lvl w:ilvl="1" w:tplc="042A0019">
      <w:start w:val="1"/>
      <w:numFmt w:val="lowerLetter"/>
      <w:lvlText w:val="%2."/>
      <w:lvlJc w:val="left"/>
      <w:pPr>
        <w:ind w:left="2007" w:hanging="360"/>
      </w:pPr>
    </w:lvl>
    <w:lvl w:ilvl="2" w:tplc="042A001B">
      <w:start w:val="1"/>
      <w:numFmt w:val="lowerRoman"/>
      <w:lvlText w:val="%3."/>
      <w:lvlJc w:val="right"/>
      <w:pPr>
        <w:ind w:left="2727" w:hanging="180"/>
      </w:pPr>
    </w:lvl>
    <w:lvl w:ilvl="3" w:tplc="1D9A14A0">
      <w:start w:val="1"/>
      <w:numFmt w:val="decimal"/>
      <w:lvlText w:val="%4."/>
      <w:lvlJc w:val="left"/>
      <w:pPr>
        <w:ind w:left="1068" w:hanging="360"/>
      </w:pPr>
      <w:rPr>
        <w:rFonts w:ascii="Times New Roman" w:eastAsia="Times New Roman" w:hAnsi="Times New Roman" w:cs="Times New Roman"/>
        <w:b w:val="0"/>
      </w:rPr>
    </w:lvl>
    <w:lvl w:ilvl="4" w:tplc="042A0019">
      <w:start w:val="1"/>
      <w:numFmt w:val="lowerLetter"/>
      <w:lvlText w:val="%5."/>
      <w:lvlJc w:val="left"/>
      <w:pPr>
        <w:ind w:left="4167" w:hanging="360"/>
      </w:pPr>
    </w:lvl>
    <w:lvl w:ilvl="5" w:tplc="042A001B">
      <w:start w:val="1"/>
      <w:numFmt w:val="lowerRoman"/>
      <w:lvlText w:val="%6."/>
      <w:lvlJc w:val="right"/>
      <w:pPr>
        <w:ind w:left="4887" w:hanging="180"/>
      </w:pPr>
    </w:lvl>
    <w:lvl w:ilvl="6" w:tplc="042A000F">
      <w:start w:val="1"/>
      <w:numFmt w:val="decimal"/>
      <w:lvlText w:val="%7."/>
      <w:lvlJc w:val="left"/>
      <w:pPr>
        <w:ind w:left="5607" w:hanging="360"/>
      </w:pPr>
    </w:lvl>
    <w:lvl w:ilvl="7" w:tplc="042A0019">
      <w:start w:val="1"/>
      <w:numFmt w:val="lowerLetter"/>
      <w:lvlText w:val="%8."/>
      <w:lvlJc w:val="left"/>
      <w:pPr>
        <w:ind w:left="6327" w:hanging="360"/>
      </w:pPr>
    </w:lvl>
    <w:lvl w:ilvl="8" w:tplc="042A001B">
      <w:start w:val="1"/>
      <w:numFmt w:val="lowerRoman"/>
      <w:lvlText w:val="%9."/>
      <w:lvlJc w:val="right"/>
      <w:pPr>
        <w:ind w:left="7047" w:hanging="180"/>
      </w:pPr>
    </w:lvl>
  </w:abstractNum>
  <w:abstractNum w:abstractNumId="4">
    <w:nsid w:val="08DE5F32"/>
    <w:multiLevelType w:val="multilevel"/>
    <w:tmpl w:val="61AC96C2"/>
    <w:lvl w:ilvl="0">
      <w:start w:val="1"/>
      <w:numFmt w:val="decimal"/>
      <w:pStyle w:val="ListParagraph"/>
      <w:suff w:val="space"/>
      <w:lvlText w:val="%1."/>
      <w:lvlJc w:val="left"/>
      <w:pPr>
        <w:ind w:left="0" w:firstLine="567"/>
      </w:pPr>
      <w:rPr>
        <w:rFonts w:hint="default"/>
        <w:b w:val="0"/>
        <w:i w:val="0"/>
      </w:rPr>
    </w:lvl>
    <w:lvl w:ilvl="1">
      <w:start w:val="1"/>
      <w:numFmt w:val="decimal"/>
      <w:isLgl/>
      <w:lvlText w:val="%1.%2."/>
      <w:lvlJc w:val="left"/>
      <w:pPr>
        <w:ind w:left="0" w:firstLine="567"/>
      </w:pPr>
      <w:rPr>
        <w:rFonts w:hint="default"/>
      </w:rPr>
    </w:lvl>
    <w:lvl w:ilvl="2">
      <w:start w:val="1"/>
      <w:numFmt w:val="decimal"/>
      <w:isLgl/>
      <w:lvlText w:val="%1.%2.%3."/>
      <w:lvlJc w:val="left"/>
      <w:pPr>
        <w:ind w:left="0" w:firstLine="567"/>
      </w:pPr>
      <w:rPr>
        <w:rFonts w:hint="default"/>
      </w:rPr>
    </w:lvl>
    <w:lvl w:ilvl="3">
      <w:start w:val="1"/>
      <w:numFmt w:val="decimal"/>
      <w:isLgl/>
      <w:lvlText w:val="%1.%2.%3.%4."/>
      <w:lvlJc w:val="left"/>
      <w:pPr>
        <w:ind w:left="0" w:firstLine="567"/>
      </w:pPr>
      <w:rPr>
        <w:rFonts w:hint="default"/>
      </w:rPr>
    </w:lvl>
    <w:lvl w:ilvl="4">
      <w:start w:val="1"/>
      <w:numFmt w:val="decimal"/>
      <w:isLgl/>
      <w:lvlText w:val="%1.%2.%3.%4.%5."/>
      <w:lvlJc w:val="left"/>
      <w:pPr>
        <w:ind w:left="0" w:firstLine="567"/>
      </w:pPr>
      <w:rPr>
        <w:rFonts w:hint="default"/>
      </w:rPr>
    </w:lvl>
    <w:lvl w:ilvl="5">
      <w:start w:val="1"/>
      <w:numFmt w:val="decimal"/>
      <w:isLgl/>
      <w:lvlText w:val="%1.%2.%3.%4.%5.%6."/>
      <w:lvlJc w:val="left"/>
      <w:pPr>
        <w:ind w:left="0" w:firstLine="567"/>
      </w:pPr>
      <w:rPr>
        <w:rFonts w:hint="default"/>
      </w:rPr>
    </w:lvl>
    <w:lvl w:ilvl="6">
      <w:start w:val="1"/>
      <w:numFmt w:val="decimal"/>
      <w:isLgl/>
      <w:lvlText w:val="%1.%2.%3.%4.%5.%6.%7."/>
      <w:lvlJc w:val="left"/>
      <w:pPr>
        <w:ind w:left="0" w:firstLine="567"/>
      </w:pPr>
      <w:rPr>
        <w:rFonts w:hint="default"/>
      </w:rPr>
    </w:lvl>
    <w:lvl w:ilvl="7">
      <w:start w:val="1"/>
      <w:numFmt w:val="decimal"/>
      <w:isLgl/>
      <w:lvlText w:val="%1.%2.%3.%4.%5.%6.%7.%8."/>
      <w:lvlJc w:val="left"/>
      <w:pPr>
        <w:ind w:left="0" w:firstLine="567"/>
      </w:pPr>
      <w:rPr>
        <w:rFonts w:hint="default"/>
      </w:rPr>
    </w:lvl>
    <w:lvl w:ilvl="8">
      <w:start w:val="1"/>
      <w:numFmt w:val="decimal"/>
      <w:isLgl/>
      <w:lvlText w:val="%1.%2.%3.%4.%5.%6.%7.%8.%9."/>
      <w:lvlJc w:val="left"/>
      <w:pPr>
        <w:ind w:left="0" w:firstLine="567"/>
      </w:pPr>
      <w:rPr>
        <w:rFonts w:hint="default"/>
      </w:rPr>
    </w:lvl>
  </w:abstractNum>
  <w:abstractNum w:abstractNumId="5">
    <w:nsid w:val="0A8240DE"/>
    <w:multiLevelType w:val="hybridMultilevel"/>
    <w:tmpl w:val="0E86699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D8E3DA5"/>
    <w:multiLevelType w:val="hybridMultilevel"/>
    <w:tmpl w:val="470C1C16"/>
    <w:lvl w:ilvl="0" w:tplc="8EE09EB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0FD75561"/>
    <w:multiLevelType w:val="hybridMultilevel"/>
    <w:tmpl w:val="8F7862C0"/>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299365A"/>
    <w:multiLevelType w:val="hybridMultilevel"/>
    <w:tmpl w:val="5B96EB1C"/>
    <w:lvl w:ilvl="0" w:tplc="67DAB672">
      <w:start w:val="1"/>
      <w:numFmt w:val="decimal"/>
      <w:pStyle w:val="Heading5"/>
      <w:suff w:val="space"/>
      <w:lvlText w:val="Phụ lục số %1:"/>
      <w:lvlJc w:val="left"/>
      <w:pPr>
        <w:ind w:left="4046" w:hanging="360"/>
      </w:pPr>
      <w:rPr>
        <w:rFonts w:hint="default"/>
      </w:rPr>
    </w:lvl>
    <w:lvl w:ilvl="1" w:tplc="042A0019">
      <w:start w:val="1"/>
      <w:numFmt w:val="lowerLetter"/>
      <w:lvlText w:val="%2."/>
      <w:lvlJc w:val="left"/>
      <w:pPr>
        <w:ind w:left="2016" w:hanging="360"/>
      </w:pPr>
    </w:lvl>
    <w:lvl w:ilvl="2" w:tplc="042A001B">
      <w:start w:val="1"/>
      <w:numFmt w:val="lowerRoman"/>
      <w:lvlText w:val="%3."/>
      <w:lvlJc w:val="right"/>
      <w:pPr>
        <w:ind w:left="2736" w:hanging="180"/>
      </w:pPr>
    </w:lvl>
    <w:lvl w:ilvl="3" w:tplc="BDA03070">
      <w:start w:val="1"/>
      <w:numFmt w:val="decimal"/>
      <w:lvlText w:val="%4."/>
      <w:lvlJc w:val="left"/>
      <w:pPr>
        <w:ind w:left="3456" w:hanging="360"/>
      </w:pPr>
      <w:rPr>
        <w:b/>
      </w:rPr>
    </w:lvl>
    <w:lvl w:ilvl="4" w:tplc="042A0019">
      <w:start w:val="1"/>
      <w:numFmt w:val="lowerLetter"/>
      <w:lvlText w:val="%5."/>
      <w:lvlJc w:val="left"/>
      <w:pPr>
        <w:ind w:left="4176" w:hanging="360"/>
      </w:pPr>
    </w:lvl>
    <w:lvl w:ilvl="5" w:tplc="042A001B">
      <w:start w:val="1"/>
      <w:numFmt w:val="lowerRoman"/>
      <w:lvlText w:val="%6."/>
      <w:lvlJc w:val="right"/>
      <w:pPr>
        <w:ind w:left="4896" w:hanging="180"/>
      </w:pPr>
    </w:lvl>
    <w:lvl w:ilvl="6" w:tplc="042A000F">
      <w:start w:val="1"/>
      <w:numFmt w:val="decimal"/>
      <w:lvlText w:val="%7."/>
      <w:lvlJc w:val="left"/>
      <w:pPr>
        <w:ind w:left="5616" w:hanging="360"/>
      </w:pPr>
    </w:lvl>
    <w:lvl w:ilvl="7" w:tplc="042A0019">
      <w:start w:val="1"/>
      <w:numFmt w:val="lowerLetter"/>
      <w:lvlText w:val="%8."/>
      <w:lvlJc w:val="left"/>
      <w:pPr>
        <w:ind w:left="6336" w:hanging="360"/>
      </w:pPr>
    </w:lvl>
    <w:lvl w:ilvl="8" w:tplc="042A001B">
      <w:start w:val="1"/>
      <w:numFmt w:val="lowerRoman"/>
      <w:lvlText w:val="%9."/>
      <w:lvlJc w:val="right"/>
      <w:pPr>
        <w:ind w:left="7056" w:hanging="180"/>
      </w:pPr>
    </w:lvl>
  </w:abstractNum>
  <w:abstractNum w:abstractNumId="9">
    <w:nsid w:val="14D97320"/>
    <w:multiLevelType w:val="multilevel"/>
    <w:tmpl w:val="04AC7B0C"/>
    <w:styleLink w:val="TTStyle"/>
    <w:lvl w:ilvl="0">
      <w:start w:val="1"/>
      <w:numFmt w:val="decimal"/>
      <w:suff w:val="space"/>
      <w:lvlText w:val="%1."/>
      <w:lvlJc w:val="left"/>
      <w:pPr>
        <w:ind w:firstLine="567"/>
      </w:pPr>
      <w:rPr>
        <w:rFonts w:hint="default"/>
      </w:rPr>
    </w:lvl>
    <w:lvl w:ilvl="1">
      <w:start w:val="1"/>
      <w:numFmt w:val="lowerLetter"/>
      <w:suff w:val="space"/>
      <w:lvlText w:val="%2)"/>
      <w:lvlJc w:val="left"/>
      <w:pPr>
        <w:ind w:firstLine="567"/>
      </w:pPr>
      <w:rPr>
        <w:rFonts w:hint="default"/>
      </w:rPr>
    </w:lvl>
    <w:lvl w:ilvl="2">
      <w:start w:val="1"/>
      <w:numFmt w:val="bullet"/>
      <w:lvlText w:val="-"/>
      <w:lvlJc w:val="left"/>
      <w:pPr>
        <w:tabs>
          <w:tab w:val="num" w:pos="567"/>
        </w:tabs>
        <w:ind w:firstLine="567"/>
      </w:pPr>
      <w:rPr>
        <w:rFonts w:ascii="Times New Roman" w:hAnsi="Times New Roman" w:cs="Times New Roman" w:hint="default"/>
        <w:color w:val="auto"/>
        <w:sz w:val="28"/>
        <w:szCs w:val="28"/>
      </w:rPr>
    </w:lvl>
    <w:lvl w:ilvl="3">
      <w:start w:val="1"/>
      <w:numFmt w:val="lowerRoman"/>
      <w:suff w:val="space"/>
      <w:lvlText w:val="%4)"/>
      <w:lvlJc w:val="left"/>
      <w:pPr>
        <w:ind w:firstLine="567"/>
      </w:pPr>
      <w:rPr>
        <w:rFonts w:hint="default"/>
      </w:rPr>
    </w:lvl>
    <w:lvl w:ilvl="4">
      <w:start w:val="1"/>
      <w:numFmt w:val="lowerLetter"/>
      <w:lvlText w:val="(%5)"/>
      <w:lvlJc w:val="left"/>
      <w:pPr>
        <w:tabs>
          <w:tab w:val="num" w:pos="567"/>
        </w:tabs>
        <w:ind w:firstLine="567"/>
      </w:pPr>
      <w:rPr>
        <w:rFonts w:hint="default"/>
      </w:rPr>
    </w:lvl>
    <w:lvl w:ilvl="5">
      <w:start w:val="1"/>
      <w:numFmt w:val="lowerRoman"/>
      <w:lvlText w:val="%6)"/>
      <w:lvlJc w:val="left"/>
      <w:pPr>
        <w:tabs>
          <w:tab w:val="num" w:pos="567"/>
        </w:tabs>
        <w:ind w:firstLine="567"/>
      </w:pPr>
      <w:rPr>
        <w:rFonts w:hint="default"/>
      </w:rPr>
    </w:lvl>
    <w:lvl w:ilvl="6">
      <w:start w:val="1"/>
      <w:numFmt w:val="decimal"/>
      <w:lvlText w:val="%7."/>
      <w:lvlJc w:val="left"/>
      <w:pPr>
        <w:tabs>
          <w:tab w:val="num" w:pos="567"/>
        </w:tabs>
        <w:ind w:firstLine="567"/>
      </w:pPr>
      <w:rPr>
        <w:rFonts w:hint="default"/>
      </w:rPr>
    </w:lvl>
    <w:lvl w:ilvl="7">
      <w:start w:val="1"/>
      <w:numFmt w:val="lowerLetter"/>
      <w:lvlText w:val="%8."/>
      <w:lvlJc w:val="left"/>
      <w:pPr>
        <w:tabs>
          <w:tab w:val="num" w:pos="567"/>
        </w:tabs>
        <w:ind w:firstLine="567"/>
      </w:pPr>
      <w:rPr>
        <w:rFonts w:hint="default"/>
      </w:rPr>
    </w:lvl>
    <w:lvl w:ilvl="8">
      <w:start w:val="1"/>
      <w:numFmt w:val="lowerRoman"/>
      <w:lvlText w:val="%9."/>
      <w:lvlJc w:val="left"/>
      <w:pPr>
        <w:tabs>
          <w:tab w:val="num" w:pos="567"/>
        </w:tabs>
        <w:ind w:firstLine="567"/>
      </w:pPr>
      <w:rPr>
        <w:rFonts w:hint="default"/>
      </w:rPr>
    </w:lvl>
  </w:abstractNum>
  <w:abstractNum w:abstractNumId="10">
    <w:nsid w:val="16404F37"/>
    <w:multiLevelType w:val="hybridMultilevel"/>
    <w:tmpl w:val="2CD8E92C"/>
    <w:lvl w:ilvl="0" w:tplc="3E747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B555E5"/>
    <w:multiLevelType w:val="hybridMultilevel"/>
    <w:tmpl w:val="C6623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8129E"/>
    <w:multiLevelType w:val="hybridMultilevel"/>
    <w:tmpl w:val="F18E825A"/>
    <w:lvl w:ilvl="0" w:tplc="2700B61E">
      <w:start w:val="1"/>
      <w:numFmt w:val="lowerLetter"/>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DFC73EC"/>
    <w:multiLevelType w:val="hybridMultilevel"/>
    <w:tmpl w:val="7A4EA7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1E1EFB"/>
    <w:multiLevelType w:val="multilevel"/>
    <w:tmpl w:val="0409001D"/>
    <w:styleLink w:val="Khoa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1DB7F2A"/>
    <w:multiLevelType w:val="hybridMultilevel"/>
    <w:tmpl w:val="A6E4053C"/>
    <w:lvl w:ilvl="0" w:tplc="0409000F">
      <w:start w:val="1"/>
      <w:numFmt w:val="decimal"/>
      <w:lvlText w:val="%1."/>
      <w:lvlJc w:val="left"/>
      <w:pPr>
        <w:ind w:left="928" w:hanging="360"/>
      </w:pPr>
      <w:rPr>
        <w:rFonts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6">
    <w:nsid w:val="25B67D59"/>
    <w:multiLevelType w:val="hybridMultilevel"/>
    <w:tmpl w:val="17846CD4"/>
    <w:lvl w:ilvl="0" w:tplc="0409000F">
      <w:start w:val="1"/>
      <w:numFmt w:val="decimal"/>
      <w:lvlText w:val="%1."/>
      <w:lvlJc w:val="left"/>
      <w:pPr>
        <w:ind w:left="3600" w:hanging="360"/>
      </w:pPr>
      <w:rPr>
        <w:rFonts w:hint="default"/>
      </w:rPr>
    </w:lvl>
    <w:lvl w:ilvl="1" w:tplc="163A23C2">
      <w:start w:val="1"/>
      <w:numFmt w:val="lowerLetter"/>
      <w:lvlText w:val="%2)"/>
      <w:lvlJc w:val="left"/>
      <w:pPr>
        <w:ind w:left="1440" w:hanging="360"/>
      </w:pPr>
      <w:rPr>
        <w:rFonts w:hint="default"/>
      </w:rPr>
    </w:lvl>
    <w:lvl w:ilvl="2" w:tplc="7228C818">
      <w:start w:val="1"/>
      <w:numFmt w:val="decimal"/>
      <w:lvlText w:val="%3)"/>
      <w:lvlJc w:val="left"/>
      <w:pPr>
        <w:ind w:left="234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5348E"/>
    <w:multiLevelType w:val="hybridMultilevel"/>
    <w:tmpl w:val="36B416A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40D22D6A">
      <w:start w:val="1"/>
      <w:numFmt w:val="lowerLetter"/>
      <w:lvlText w:val="%3)"/>
      <w:lvlJc w:val="left"/>
      <w:pPr>
        <w:ind w:left="2340" w:hanging="360"/>
      </w:pPr>
      <w:rPr>
        <w:rFonts w:hint="default"/>
      </w:rPr>
    </w:lvl>
    <w:lvl w:ilvl="3" w:tplc="12B2976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321EE"/>
    <w:multiLevelType w:val="hybridMultilevel"/>
    <w:tmpl w:val="98C2D7DE"/>
    <w:lvl w:ilvl="0" w:tplc="F710C74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2B2D1863"/>
    <w:multiLevelType w:val="hybridMultilevel"/>
    <w:tmpl w:val="CD4C6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733C7"/>
    <w:multiLevelType w:val="singleLevel"/>
    <w:tmpl w:val="2FBEF640"/>
    <w:lvl w:ilvl="0">
      <w:start w:val="2"/>
      <w:numFmt w:val="bullet"/>
      <w:lvlText w:val="-"/>
      <w:lvlJc w:val="left"/>
      <w:pPr>
        <w:tabs>
          <w:tab w:val="num" w:pos="720"/>
        </w:tabs>
        <w:ind w:left="720" w:hanging="360"/>
      </w:pPr>
      <w:rPr>
        <w:rFonts w:ascii="Times New Roman" w:hAnsi="Times New Roman" w:hint="default"/>
      </w:rPr>
    </w:lvl>
  </w:abstractNum>
  <w:abstractNum w:abstractNumId="21">
    <w:nsid w:val="31D74544"/>
    <w:multiLevelType w:val="hybridMultilevel"/>
    <w:tmpl w:val="D8827EDE"/>
    <w:lvl w:ilvl="0" w:tplc="265C0A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F32D7E"/>
    <w:multiLevelType w:val="hybridMultilevel"/>
    <w:tmpl w:val="F08EF970"/>
    <w:lvl w:ilvl="0" w:tplc="455AE7F8">
      <w:start w:val="1"/>
      <w:numFmt w:val="bullet"/>
      <w:lvlText w:val="-"/>
      <w:lvlJc w:val="left"/>
      <w:pPr>
        <w:tabs>
          <w:tab w:val="num" w:pos="922"/>
        </w:tabs>
        <w:ind w:left="0" w:firstLine="562"/>
      </w:pPr>
      <w:rPr>
        <w:rFonts w:ascii="Times New Roman" w:hAnsi="Times New Roman" w:hint="default"/>
      </w:rPr>
    </w:lvl>
    <w:lvl w:ilvl="1" w:tplc="04090019">
      <w:start w:val="1"/>
      <w:numFmt w:val="lowerLetter"/>
      <w:lvlText w:val="%2)"/>
      <w:lvlJc w:val="left"/>
      <w:pPr>
        <w:tabs>
          <w:tab w:val="num" w:pos="922"/>
        </w:tabs>
        <w:ind w:left="0" w:firstLine="56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C26968"/>
    <w:multiLevelType w:val="hybridMultilevel"/>
    <w:tmpl w:val="A0C41242"/>
    <w:lvl w:ilvl="0" w:tplc="D3C6E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73DFB"/>
    <w:multiLevelType w:val="hybridMultilevel"/>
    <w:tmpl w:val="C122BE32"/>
    <w:lvl w:ilvl="0" w:tplc="0409000F">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7C537A4"/>
    <w:multiLevelType w:val="hybridMultilevel"/>
    <w:tmpl w:val="F8C66182"/>
    <w:lvl w:ilvl="0" w:tplc="AFF60E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6C2198"/>
    <w:multiLevelType w:val="hybridMultilevel"/>
    <w:tmpl w:val="D2AC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25AF5"/>
    <w:multiLevelType w:val="hybridMultilevel"/>
    <w:tmpl w:val="D2AC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04753D"/>
    <w:multiLevelType w:val="hybridMultilevel"/>
    <w:tmpl w:val="98940686"/>
    <w:lvl w:ilvl="0" w:tplc="AB183628">
      <w:start w:val="1"/>
      <w:numFmt w:val="lowerLetter"/>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946C94"/>
    <w:multiLevelType w:val="hybridMultilevel"/>
    <w:tmpl w:val="FECECF0C"/>
    <w:lvl w:ilvl="0" w:tplc="3BEAD46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0">
    <w:nsid w:val="4D9802B2"/>
    <w:multiLevelType w:val="hybridMultilevel"/>
    <w:tmpl w:val="654A42D6"/>
    <w:lvl w:ilvl="0" w:tplc="5B30A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4736A"/>
    <w:multiLevelType w:val="hybridMultilevel"/>
    <w:tmpl w:val="DB526DE4"/>
    <w:lvl w:ilvl="0" w:tplc="B33EFC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1F32D20"/>
    <w:multiLevelType w:val="multilevel"/>
    <w:tmpl w:val="EE54B3C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53A412A3"/>
    <w:multiLevelType w:val="hybridMultilevel"/>
    <w:tmpl w:val="B506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83BD6"/>
    <w:multiLevelType w:val="hybridMultilevel"/>
    <w:tmpl w:val="6F7AF328"/>
    <w:lvl w:ilvl="0" w:tplc="7C7AD0D0">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5">
    <w:nsid w:val="5C9E5C80"/>
    <w:multiLevelType w:val="hybridMultilevel"/>
    <w:tmpl w:val="CCAEEDAA"/>
    <w:lvl w:ilvl="0" w:tplc="17C4104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B55E82"/>
    <w:multiLevelType w:val="hybridMultilevel"/>
    <w:tmpl w:val="641C1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00B11"/>
    <w:multiLevelType w:val="hybridMultilevel"/>
    <w:tmpl w:val="589236CA"/>
    <w:lvl w:ilvl="0" w:tplc="544678F2">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8">
    <w:nsid w:val="66686645"/>
    <w:multiLevelType w:val="hybridMultilevel"/>
    <w:tmpl w:val="11624416"/>
    <w:lvl w:ilvl="0" w:tplc="5DC01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6263BB"/>
    <w:multiLevelType w:val="hybridMultilevel"/>
    <w:tmpl w:val="9DA8E6AA"/>
    <w:lvl w:ilvl="0" w:tplc="041E6802">
      <w:start w:val="1"/>
      <w:numFmt w:val="lowerRoman"/>
      <w:lvlText w:val="(%1)"/>
      <w:lvlJc w:val="left"/>
      <w:pPr>
        <w:ind w:left="765" w:hanging="72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40">
    <w:nsid w:val="67DF27CF"/>
    <w:multiLevelType w:val="hybridMultilevel"/>
    <w:tmpl w:val="D2AC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21AD6"/>
    <w:multiLevelType w:val="hybridMultilevel"/>
    <w:tmpl w:val="F0CED0E8"/>
    <w:lvl w:ilvl="0" w:tplc="0FF23DA8">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6DCB4DD8"/>
    <w:multiLevelType w:val="hybridMultilevel"/>
    <w:tmpl w:val="7768530E"/>
    <w:lvl w:ilvl="0" w:tplc="B0D2F1F8">
      <w:start w:val="1"/>
      <w:numFmt w:val="lowerLetter"/>
      <w:lvlText w:val="%1)"/>
      <w:lvlJc w:val="left"/>
      <w:pPr>
        <w:ind w:left="927" w:hanging="360"/>
      </w:pPr>
      <w:rPr>
        <w:rFonts w:hint="default"/>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3">
    <w:nsid w:val="6FE56667"/>
    <w:multiLevelType w:val="hybridMultilevel"/>
    <w:tmpl w:val="F1E0CE48"/>
    <w:lvl w:ilvl="0" w:tplc="64FEF0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1F804C5"/>
    <w:multiLevelType w:val="multilevel"/>
    <w:tmpl w:val="41828B2A"/>
    <w:lvl w:ilvl="0">
      <w:start w:val="4"/>
      <w:numFmt w:val="decimal"/>
      <w:lvlText w:val="%1"/>
      <w:lvlJc w:val="left"/>
      <w:pPr>
        <w:ind w:left="375" w:hanging="375"/>
      </w:pPr>
      <w:rPr>
        <w:rFonts w:hint="default"/>
      </w:rPr>
    </w:lvl>
    <w:lvl w:ilvl="1">
      <w:start w:val="1"/>
      <w:numFmt w:val="lowerLetter"/>
      <w:lvlText w:val="%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5">
    <w:nsid w:val="79D11723"/>
    <w:multiLevelType w:val="hybridMultilevel"/>
    <w:tmpl w:val="EA42AC9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AB375FD"/>
    <w:multiLevelType w:val="hybridMultilevel"/>
    <w:tmpl w:val="15C45202"/>
    <w:lvl w:ilvl="0" w:tplc="A73AEE36">
      <w:start w:val="1"/>
      <w:numFmt w:val="lowerLetter"/>
      <w:lvlText w:val="%1)"/>
      <w:lvlJc w:val="left"/>
      <w:pPr>
        <w:ind w:left="786" w:hanging="360"/>
      </w:pPr>
      <w:rPr>
        <w:rFonts w:ascii="Times New Roman" w:eastAsia="Times New Roman" w:hAnsi="Times New Roman" w:cs="Times New Roman"/>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7">
    <w:nsid w:val="7B78744A"/>
    <w:multiLevelType w:val="hybridMultilevel"/>
    <w:tmpl w:val="55F6429C"/>
    <w:lvl w:ilvl="0" w:tplc="FBB60410">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8">
    <w:nsid w:val="7BD73301"/>
    <w:multiLevelType w:val="hybridMultilevel"/>
    <w:tmpl w:val="FE6E82F4"/>
    <w:lvl w:ilvl="0" w:tplc="75966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6900F5"/>
    <w:multiLevelType w:val="hybridMultilevel"/>
    <w:tmpl w:val="3ECA497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4"/>
  </w:num>
  <w:num w:numId="5">
    <w:abstractNumId w:val="4"/>
  </w:num>
  <w:num w:numId="6">
    <w:abstractNumId w:val="41"/>
  </w:num>
  <w:num w:numId="7">
    <w:abstractNumId w:val="7"/>
  </w:num>
  <w:num w:numId="8">
    <w:abstractNumId w:val="39"/>
  </w:num>
  <w:num w:numId="9">
    <w:abstractNumId w:val="4"/>
    <w:lvlOverride w:ilvl="0">
      <w:startOverride w:val="1"/>
    </w:lvlOverride>
  </w:num>
  <w:num w:numId="10">
    <w:abstractNumId w:val="27"/>
  </w:num>
  <w:num w:numId="11">
    <w:abstractNumId w:val="40"/>
  </w:num>
  <w:num w:numId="12">
    <w:abstractNumId w:val="26"/>
  </w:num>
  <w:num w:numId="13">
    <w:abstractNumId w:val="16"/>
  </w:num>
  <w:num w:numId="14">
    <w:abstractNumId w:val="4"/>
    <w:lvlOverride w:ilvl="0">
      <w:startOverride w:val="2"/>
    </w:lvlOverride>
  </w:num>
  <w:num w:numId="15">
    <w:abstractNumId w:val="37"/>
  </w:num>
  <w:num w:numId="16">
    <w:abstractNumId w:val="29"/>
  </w:num>
  <w:num w:numId="17">
    <w:abstractNumId w:val="34"/>
  </w:num>
  <w:num w:numId="18">
    <w:abstractNumId w:val="1"/>
  </w:num>
  <w:num w:numId="19">
    <w:abstractNumId w:val="33"/>
  </w:num>
  <w:num w:numId="20">
    <w:abstractNumId w:val="43"/>
  </w:num>
  <w:num w:numId="21">
    <w:abstractNumId w:val="5"/>
  </w:num>
  <w:num w:numId="22">
    <w:abstractNumId w:val="13"/>
  </w:num>
  <w:num w:numId="23">
    <w:abstractNumId w:val="42"/>
  </w:num>
  <w:num w:numId="24">
    <w:abstractNumId w:val="28"/>
  </w:num>
  <w:num w:numId="25">
    <w:abstractNumId w:val="32"/>
  </w:num>
  <w:num w:numId="26">
    <w:abstractNumId w:val="20"/>
  </w:num>
  <w:num w:numId="27">
    <w:abstractNumId w:val="0"/>
  </w:num>
  <w:num w:numId="28">
    <w:abstractNumId w:val="15"/>
  </w:num>
  <w:num w:numId="29">
    <w:abstractNumId w:val="30"/>
  </w:num>
  <w:num w:numId="30">
    <w:abstractNumId w:val="36"/>
  </w:num>
  <w:num w:numId="31">
    <w:abstractNumId w:val="35"/>
  </w:num>
  <w:num w:numId="32">
    <w:abstractNumId w:val="2"/>
  </w:num>
  <w:num w:numId="33">
    <w:abstractNumId w:val="48"/>
  </w:num>
  <w:num w:numId="34">
    <w:abstractNumId w:val="38"/>
  </w:num>
  <w:num w:numId="35">
    <w:abstractNumId w:val="19"/>
  </w:num>
  <w:num w:numId="36">
    <w:abstractNumId w:val="23"/>
  </w:num>
  <w:num w:numId="37">
    <w:abstractNumId w:val="25"/>
  </w:num>
  <w:num w:numId="38">
    <w:abstractNumId w:val="22"/>
  </w:num>
  <w:num w:numId="39">
    <w:abstractNumId w:val="46"/>
  </w:num>
  <w:num w:numId="40">
    <w:abstractNumId w:val="45"/>
  </w:num>
  <w:num w:numId="41">
    <w:abstractNumId w:val="24"/>
  </w:num>
  <w:num w:numId="42">
    <w:abstractNumId w:val="44"/>
  </w:num>
  <w:num w:numId="43">
    <w:abstractNumId w:val="17"/>
  </w:num>
  <w:num w:numId="44">
    <w:abstractNumId w:val="21"/>
  </w:num>
  <w:num w:numId="45">
    <w:abstractNumId w:val="10"/>
  </w:num>
  <w:num w:numId="46">
    <w:abstractNumId w:val="31"/>
  </w:num>
  <w:num w:numId="47">
    <w:abstractNumId w:val="4"/>
    <w:lvlOverride w:ilvl="0">
      <w:startOverride w:val="10"/>
    </w:lvlOverride>
  </w:num>
  <w:num w:numId="48">
    <w:abstractNumId w:val="47"/>
  </w:num>
  <w:num w:numId="49">
    <w:abstractNumId w:val="12"/>
  </w:num>
  <w:num w:numId="50">
    <w:abstractNumId w:val="18"/>
  </w:num>
  <w:num w:numId="51">
    <w:abstractNumId w:val="49"/>
  </w:num>
  <w:num w:numId="52">
    <w:abstractNumId w:val="6"/>
  </w:num>
  <w:num w:numId="53">
    <w:abstractNumId w:val="11"/>
  </w:num>
  <w:num w:numId="54">
    <w:abstractNumId w:val="3"/>
    <w:lvlOverride w:ilvl="0">
      <w:startOverride w:val="1"/>
    </w:lvlOverride>
    <w:lvlOverride w:ilvl="1">
      <w:startOverride w:val="1"/>
    </w:lvlOverride>
    <w:lvlOverride w:ilvl="2">
      <w:startOverride w:val="1"/>
    </w:lvlOverride>
    <w:lvlOverride w:ilvl="3">
      <w:startOverride w:val="5"/>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lickAndTypeStyle w:val="Style2"/>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0F3854"/>
    <w:rsid w:val="00000269"/>
    <w:rsid w:val="000004F1"/>
    <w:rsid w:val="000006EA"/>
    <w:rsid w:val="00000B0C"/>
    <w:rsid w:val="00000B3C"/>
    <w:rsid w:val="00000EDF"/>
    <w:rsid w:val="00001122"/>
    <w:rsid w:val="0000144F"/>
    <w:rsid w:val="000018B5"/>
    <w:rsid w:val="00001C1B"/>
    <w:rsid w:val="00001E3B"/>
    <w:rsid w:val="00001E9A"/>
    <w:rsid w:val="000023D9"/>
    <w:rsid w:val="000025DF"/>
    <w:rsid w:val="00002776"/>
    <w:rsid w:val="000027C1"/>
    <w:rsid w:val="00002D5D"/>
    <w:rsid w:val="00002DD7"/>
    <w:rsid w:val="00002E20"/>
    <w:rsid w:val="00003078"/>
    <w:rsid w:val="000037B8"/>
    <w:rsid w:val="000038E8"/>
    <w:rsid w:val="0000397A"/>
    <w:rsid w:val="000041B5"/>
    <w:rsid w:val="000042E6"/>
    <w:rsid w:val="00004EAC"/>
    <w:rsid w:val="00004FC1"/>
    <w:rsid w:val="00004FC3"/>
    <w:rsid w:val="00005566"/>
    <w:rsid w:val="000059E5"/>
    <w:rsid w:val="00006926"/>
    <w:rsid w:val="00006EA2"/>
    <w:rsid w:val="0000706B"/>
    <w:rsid w:val="00007844"/>
    <w:rsid w:val="000078BC"/>
    <w:rsid w:val="00007936"/>
    <w:rsid w:val="00007EB0"/>
    <w:rsid w:val="00007F3D"/>
    <w:rsid w:val="000102CC"/>
    <w:rsid w:val="00010415"/>
    <w:rsid w:val="00010425"/>
    <w:rsid w:val="00010763"/>
    <w:rsid w:val="00010BC4"/>
    <w:rsid w:val="00010E00"/>
    <w:rsid w:val="00010E0F"/>
    <w:rsid w:val="000111FD"/>
    <w:rsid w:val="0001165C"/>
    <w:rsid w:val="00011785"/>
    <w:rsid w:val="000124EA"/>
    <w:rsid w:val="00012B9B"/>
    <w:rsid w:val="00012C75"/>
    <w:rsid w:val="00013176"/>
    <w:rsid w:val="00013386"/>
    <w:rsid w:val="00013449"/>
    <w:rsid w:val="00013704"/>
    <w:rsid w:val="000139C0"/>
    <w:rsid w:val="00013DC5"/>
    <w:rsid w:val="00014789"/>
    <w:rsid w:val="00014B5D"/>
    <w:rsid w:val="00014CF6"/>
    <w:rsid w:val="00014ECF"/>
    <w:rsid w:val="00015004"/>
    <w:rsid w:val="00015056"/>
    <w:rsid w:val="00016700"/>
    <w:rsid w:val="00016B97"/>
    <w:rsid w:val="00016F3E"/>
    <w:rsid w:val="00017184"/>
    <w:rsid w:val="000171CD"/>
    <w:rsid w:val="00017924"/>
    <w:rsid w:val="00017ACA"/>
    <w:rsid w:val="000201A8"/>
    <w:rsid w:val="00020B65"/>
    <w:rsid w:val="0002150A"/>
    <w:rsid w:val="0002200F"/>
    <w:rsid w:val="00022156"/>
    <w:rsid w:val="0002223C"/>
    <w:rsid w:val="00022280"/>
    <w:rsid w:val="0002258C"/>
    <w:rsid w:val="00023062"/>
    <w:rsid w:val="000233FE"/>
    <w:rsid w:val="00023512"/>
    <w:rsid w:val="00023608"/>
    <w:rsid w:val="000236AB"/>
    <w:rsid w:val="00023B51"/>
    <w:rsid w:val="00023DE6"/>
    <w:rsid w:val="00023E77"/>
    <w:rsid w:val="00024469"/>
    <w:rsid w:val="00024A15"/>
    <w:rsid w:val="00024B9C"/>
    <w:rsid w:val="00024DCC"/>
    <w:rsid w:val="000258C2"/>
    <w:rsid w:val="00025934"/>
    <w:rsid w:val="00025B44"/>
    <w:rsid w:val="00025BF8"/>
    <w:rsid w:val="00025F01"/>
    <w:rsid w:val="0002673F"/>
    <w:rsid w:val="00026F83"/>
    <w:rsid w:val="0002730E"/>
    <w:rsid w:val="00027689"/>
    <w:rsid w:val="0002780A"/>
    <w:rsid w:val="000279BA"/>
    <w:rsid w:val="00027A13"/>
    <w:rsid w:val="00027C44"/>
    <w:rsid w:val="00027D34"/>
    <w:rsid w:val="00027F63"/>
    <w:rsid w:val="00027F8A"/>
    <w:rsid w:val="00030318"/>
    <w:rsid w:val="000305A7"/>
    <w:rsid w:val="00030D38"/>
    <w:rsid w:val="00031085"/>
    <w:rsid w:val="00031612"/>
    <w:rsid w:val="0003184D"/>
    <w:rsid w:val="00031AAA"/>
    <w:rsid w:val="00031CC9"/>
    <w:rsid w:val="00031D30"/>
    <w:rsid w:val="000322C1"/>
    <w:rsid w:val="0003259D"/>
    <w:rsid w:val="000329A8"/>
    <w:rsid w:val="0003313B"/>
    <w:rsid w:val="0003386F"/>
    <w:rsid w:val="00033B0F"/>
    <w:rsid w:val="00033B13"/>
    <w:rsid w:val="00033CA0"/>
    <w:rsid w:val="0003496D"/>
    <w:rsid w:val="00035306"/>
    <w:rsid w:val="00035671"/>
    <w:rsid w:val="00036021"/>
    <w:rsid w:val="00036157"/>
    <w:rsid w:val="000361DB"/>
    <w:rsid w:val="00036244"/>
    <w:rsid w:val="00036B85"/>
    <w:rsid w:val="0003705F"/>
    <w:rsid w:val="00037701"/>
    <w:rsid w:val="000377F2"/>
    <w:rsid w:val="00037A14"/>
    <w:rsid w:val="00037C1F"/>
    <w:rsid w:val="00037C78"/>
    <w:rsid w:val="00037FD6"/>
    <w:rsid w:val="00040460"/>
    <w:rsid w:val="00040490"/>
    <w:rsid w:val="000405F1"/>
    <w:rsid w:val="00040EBB"/>
    <w:rsid w:val="00041238"/>
    <w:rsid w:val="00041CB6"/>
    <w:rsid w:val="000423A1"/>
    <w:rsid w:val="00042661"/>
    <w:rsid w:val="00042F2B"/>
    <w:rsid w:val="00043024"/>
    <w:rsid w:val="000435DE"/>
    <w:rsid w:val="0004365B"/>
    <w:rsid w:val="00043884"/>
    <w:rsid w:val="00043BF9"/>
    <w:rsid w:val="00043F5C"/>
    <w:rsid w:val="0004467A"/>
    <w:rsid w:val="00044853"/>
    <w:rsid w:val="000449C1"/>
    <w:rsid w:val="00044D01"/>
    <w:rsid w:val="0004509E"/>
    <w:rsid w:val="0004531B"/>
    <w:rsid w:val="00045367"/>
    <w:rsid w:val="0004541E"/>
    <w:rsid w:val="00046451"/>
    <w:rsid w:val="00046D09"/>
    <w:rsid w:val="00047E8C"/>
    <w:rsid w:val="0005010D"/>
    <w:rsid w:val="0005110B"/>
    <w:rsid w:val="000517EC"/>
    <w:rsid w:val="00051ABB"/>
    <w:rsid w:val="00051AF8"/>
    <w:rsid w:val="00052405"/>
    <w:rsid w:val="00052488"/>
    <w:rsid w:val="000525BE"/>
    <w:rsid w:val="00052793"/>
    <w:rsid w:val="00052D6E"/>
    <w:rsid w:val="000534DD"/>
    <w:rsid w:val="00053B0C"/>
    <w:rsid w:val="00053C79"/>
    <w:rsid w:val="00053EF2"/>
    <w:rsid w:val="00053FE0"/>
    <w:rsid w:val="00054649"/>
    <w:rsid w:val="00054792"/>
    <w:rsid w:val="00054FA6"/>
    <w:rsid w:val="00055056"/>
    <w:rsid w:val="000551BB"/>
    <w:rsid w:val="0005533C"/>
    <w:rsid w:val="0005574E"/>
    <w:rsid w:val="00055BE7"/>
    <w:rsid w:val="00055C29"/>
    <w:rsid w:val="00055E87"/>
    <w:rsid w:val="0005613D"/>
    <w:rsid w:val="00056831"/>
    <w:rsid w:val="000568BF"/>
    <w:rsid w:val="00056964"/>
    <w:rsid w:val="00056A7B"/>
    <w:rsid w:val="00056AB7"/>
    <w:rsid w:val="00057534"/>
    <w:rsid w:val="00057758"/>
    <w:rsid w:val="00057D8D"/>
    <w:rsid w:val="00057E4D"/>
    <w:rsid w:val="00060682"/>
    <w:rsid w:val="00060752"/>
    <w:rsid w:val="00060756"/>
    <w:rsid w:val="00060AD5"/>
    <w:rsid w:val="00060F30"/>
    <w:rsid w:val="00061472"/>
    <w:rsid w:val="00061B37"/>
    <w:rsid w:val="00061C5E"/>
    <w:rsid w:val="00061E85"/>
    <w:rsid w:val="00061EDA"/>
    <w:rsid w:val="00061F33"/>
    <w:rsid w:val="000625D2"/>
    <w:rsid w:val="0006337C"/>
    <w:rsid w:val="00063A8E"/>
    <w:rsid w:val="00063C28"/>
    <w:rsid w:val="00064245"/>
    <w:rsid w:val="000644AB"/>
    <w:rsid w:val="0006453C"/>
    <w:rsid w:val="00064836"/>
    <w:rsid w:val="00064F32"/>
    <w:rsid w:val="00064F47"/>
    <w:rsid w:val="00065497"/>
    <w:rsid w:val="00065513"/>
    <w:rsid w:val="000659B1"/>
    <w:rsid w:val="00065E9B"/>
    <w:rsid w:val="00065F18"/>
    <w:rsid w:val="000661B7"/>
    <w:rsid w:val="000666DA"/>
    <w:rsid w:val="00066BF7"/>
    <w:rsid w:val="00066C5F"/>
    <w:rsid w:val="0006725F"/>
    <w:rsid w:val="000672B6"/>
    <w:rsid w:val="00067342"/>
    <w:rsid w:val="00067370"/>
    <w:rsid w:val="000675E0"/>
    <w:rsid w:val="00067C11"/>
    <w:rsid w:val="00067C1C"/>
    <w:rsid w:val="000700F9"/>
    <w:rsid w:val="0007046E"/>
    <w:rsid w:val="00070C30"/>
    <w:rsid w:val="000716A5"/>
    <w:rsid w:val="00071C18"/>
    <w:rsid w:val="000723F4"/>
    <w:rsid w:val="00072DAA"/>
    <w:rsid w:val="000730F4"/>
    <w:rsid w:val="00073115"/>
    <w:rsid w:val="00073241"/>
    <w:rsid w:val="00073CBF"/>
    <w:rsid w:val="00073EE2"/>
    <w:rsid w:val="00073FDD"/>
    <w:rsid w:val="00074339"/>
    <w:rsid w:val="000744F9"/>
    <w:rsid w:val="00074D3D"/>
    <w:rsid w:val="00074E3C"/>
    <w:rsid w:val="00074F76"/>
    <w:rsid w:val="000753F3"/>
    <w:rsid w:val="00075F29"/>
    <w:rsid w:val="00076CDA"/>
    <w:rsid w:val="00076CF8"/>
    <w:rsid w:val="00076FC9"/>
    <w:rsid w:val="000772A2"/>
    <w:rsid w:val="000772CF"/>
    <w:rsid w:val="000773F0"/>
    <w:rsid w:val="000777E5"/>
    <w:rsid w:val="00077A1B"/>
    <w:rsid w:val="00077A7F"/>
    <w:rsid w:val="00080130"/>
    <w:rsid w:val="00080D53"/>
    <w:rsid w:val="00080FC3"/>
    <w:rsid w:val="0008115D"/>
    <w:rsid w:val="00081DCD"/>
    <w:rsid w:val="00081DEF"/>
    <w:rsid w:val="000823AA"/>
    <w:rsid w:val="00082B00"/>
    <w:rsid w:val="000836AA"/>
    <w:rsid w:val="00083899"/>
    <w:rsid w:val="00083AA8"/>
    <w:rsid w:val="00083CAB"/>
    <w:rsid w:val="00083E94"/>
    <w:rsid w:val="0008447D"/>
    <w:rsid w:val="000845F1"/>
    <w:rsid w:val="000847C1"/>
    <w:rsid w:val="00084948"/>
    <w:rsid w:val="00084AC9"/>
    <w:rsid w:val="00084C06"/>
    <w:rsid w:val="00085364"/>
    <w:rsid w:val="000853EF"/>
    <w:rsid w:val="00085546"/>
    <w:rsid w:val="00085970"/>
    <w:rsid w:val="00085D28"/>
    <w:rsid w:val="00085D40"/>
    <w:rsid w:val="000861BD"/>
    <w:rsid w:val="000868B1"/>
    <w:rsid w:val="00086955"/>
    <w:rsid w:val="000869A4"/>
    <w:rsid w:val="00086C92"/>
    <w:rsid w:val="00086C9D"/>
    <w:rsid w:val="00086DC9"/>
    <w:rsid w:val="0008709E"/>
    <w:rsid w:val="00087148"/>
    <w:rsid w:val="000871E1"/>
    <w:rsid w:val="00087715"/>
    <w:rsid w:val="00087D38"/>
    <w:rsid w:val="00087F54"/>
    <w:rsid w:val="00087FEA"/>
    <w:rsid w:val="00090C83"/>
    <w:rsid w:val="00090F65"/>
    <w:rsid w:val="00091012"/>
    <w:rsid w:val="00091476"/>
    <w:rsid w:val="00091AA5"/>
    <w:rsid w:val="00091D8F"/>
    <w:rsid w:val="00092B55"/>
    <w:rsid w:val="00092C8D"/>
    <w:rsid w:val="00092F76"/>
    <w:rsid w:val="00092FFC"/>
    <w:rsid w:val="000930F5"/>
    <w:rsid w:val="000931B3"/>
    <w:rsid w:val="00093424"/>
    <w:rsid w:val="0009356F"/>
    <w:rsid w:val="0009361A"/>
    <w:rsid w:val="00093A2D"/>
    <w:rsid w:val="00093A7F"/>
    <w:rsid w:val="00093EFE"/>
    <w:rsid w:val="000940D4"/>
    <w:rsid w:val="000942EB"/>
    <w:rsid w:val="000946CE"/>
    <w:rsid w:val="00094EF4"/>
    <w:rsid w:val="00095128"/>
    <w:rsid w:val="000952AC"/>
    <w:rsid w:val="000954A2"/>
    <w:rsid w:val="00095573"/>
    <w:rsid w:val="00095A6F"/>
    <w:rsid w:val="00095CD9"/>
    <w:rsid w:val="00095DFA"/>
    <w:rsid w:val="00096183"/>
    <w:rsid w:val="00096DAF"/>
    <w:rsid w:val="000970C5"/>
    <w:rsid w:val="00097155"/>
    <w:rsid w:val="00097728"/>
    <w:rsid w:val="00097B0D"/>
    <w:rsid w:val="00097C59"/>
    <w:rsid w:val="00097E5D"/>
    <w:rsid w:val="000A01D3"/>
    <w:rsid w:val="000A0845"/>
    <w:rsid w:val="000A0E2B"/>
    <w:rsid w:val="000A143D"/>
    <w:rsid w:val="000A1AA6"/>
    <w:rsid w:val="000A261F"/>
    <w:rsid w:val="000A2669"/>
    <w:rsid w:val="000A2C98"/>
    <w:rsid w:val="000A36D0"/>
    <w:rsid w:val="000A36F6"/>
    <w:rsid w:val="000A3939"/>
    <w:rsid w:val="000A3C3A"/>
    <w:rsid w:val="000A41E9"/>
    <w:rsid w:val="000A450F"/>
    <w:rsid w:val="000A4917"/>
    <w:rsid w:val="000A4CF2"/>
    <w:rsid w:val="000A5143"/>
    <w:rsid w:val="000A579B"/>
    <w:rsid w:val="000A5F1E"/>
    <w:rsid w:val="000A6088"/>
    <w:rsid w:val="000A65D9"/>
    <w:rsid w:val="000A690A"/>
    <w:rsid w:val="000A6967"/>
    <w:rsid w:val="000A6A93"/>
    <w:rsid w:val="000A6B23"/>
    <w:rsid w:val="000A6E54"/>
    <w:rsid w:val="000A6EF8"/>
    <w:rsid w:val="000A7692"/>
    <w:rsid w:val="000A7732"/>
    <w:rsid w:val="000A7948"/>
    <w:rsid w:val="000A7997"/>
    <w:rsid w:val="000A7D96"/>
    <w:rsid w:val="000A7F9F"/>
    <w:rsid w:val="000B00DC"/>
    <w:rsid w:val="000B06C8"/>
    <w:rsid w:val="000B0A2E"/>
    <w:rsid w:val="000B0ADE"/>
    <w:rsid w:val="000B174B"/>
    <w:rsid w:val="000B17EB"/>
    <w:rsid w:val="000B18E7"/>
    <w:rsid w:val="000B1CFC"/>
    <w:rsid w:val="000B1FBE"/>
    <w:rsid w:val="000B2054"/>
    <w:rsid w:val="000B24DB"/>
    <w:rsid w:val="000B27F7"/>
    <w:rsid w:val="000B2D10"/>
    <w:rsid w:val="000B2ECA"/>
    <w:rsid w:val="000B2F00"/>
    <w:rsid w:val="000B326F"/>
    <w:rsid w:val="000B32F8"/>
    <w:rsid w:val="000B3810"/>
    <w:rsid w:val="000B38B1"/>
    <w:rsid w:val="000B436D"/>
    <w:rsid w:val="000B4632"/>
    <w:rsid w:val="000B4718"/>
    <w:rsid w:val="000B47F8"/>
    <w:rsid w:val="000B4A8A"/>
    <w:rsid w:val="000B4B23"/>
    <w:rsid w:val="000B4FA9"/>
    <w:rsid w:val="000B55D5"/>
    <w:rsid w:val="000B5EA5"/>
    <w:rsid w:val="000B6663"/>
    <w:rsid w:val="000B6B69"/>
    <w:rsid w:val="000B6E57"/>
    <w:rsid w:val="000B70EE"/>
    <w:rsid w:val="000B716E"/>
    <w:rsid w:val="000B7379"/>
    <w:rsid w:val="000B75C4"/>
    <w:rsid w:val="000B7720"/>
    <w:rsid w:val="000B7CEF"/>
    <w:rsid w:val="000B7F06"/>
    <w:rsid w:val="000C01CB"/>
    <w:rsid w:val="000C06E6"/>
    <w:rsid w:val="000C0EA8"/>
    <w:rsid w:val="000C1130"/>
    <w:rsid w:val="000C1624"/>
    <w:rsid w:val="000C1871"/>
    <w:rsid w:val="000C1DF0"/>
    <w:rsid w:val="000C22C5"/>
    <w:rsid w:val="000C282E"/>
    <w:rsid w:val="000C2B8B"/>
    <w:rsid w:val="000C2C7F"/>
    <w:rsid w:val="000C2E05"/>
    <w:rsid w:val="000C3244"/>
    <w:rsid w:val="000C35FA"/>
    <w:rsid w:val="000C3CE8"/>
    <w:rsid w:val="000C42A5"/>
    <w:rsid w:val="000C436C"/>
    <w:rsid w:val="000C47B9"/>
    <w:rsid w:val="000C4A9A"/>
    <w:rsid w:val="000C4AE1"/>
    <w:rsid w:val="000C4CE3"/>
    <w:rsid w:val="000C4ED6"/>
    <w:rsid w:val="000C5097"/>
    <w:rsid w:val="000C5624"/>
    <w:rsid w:val="000C5C1A"/>
    <w:rsid w:val="000C637B"/>
    <w:rsid w:val="000C64F5"/>
    <w:rsid w:val="000C6611"/>
    <w:rsid w:val="000C687D"/>
    <w:rsid w:val="000C6896"/>
    <w:rsid w:val="000C698A"/>
    <w:rsid w:val="000C6A56"/>
    <w:rsid w:val="000C6C6A"/>
    <w:rsid w:val="000C6E1A"/>
    <w:rsid w:val="000C743C"/>
    <w:rsid w:val="000C7449"/>
    <w:rsid w:val="000C76C4"/>
    <w:rsid w:val="000C78AA"/>
    <w:rsid w:val="000C7AE8"/>
    <w:rsid w:val="000C7F33"/>
    <w:rsid w:val="000D00EA"/>
    <w:rsid w:val="000D00F5"/>
    <w:rsid w:val="000D0488"/>
    <w:rsid w:val="000D0A80"/>
    <w:rsid w:val="000D0EB5"/>
    <w:rsid w:val="000D10E3"/>
    <w:rsid w:val="000D1839"/>
    <w:rsid w:val="000D1B14"/>
    <w:rsid w:val="000D1B82"/>
    <w:rsid w:val="000D1C24"/>
    <w:rsid w:val="000D1FBE"/>
    <w:rsid w:val="000D27EF"/>
    <w:rsid w:val="000D28E7"/>
    <w:rsid w:val="000D2A34"/>
    <w:rsid w:val="000D2AB0"/>
    <w:rsid w:val="000D2B7E"/>
    <w:rsid w:val="000D2BAD"/>
    <w:rsid w:val="000D3842"/>
    <w:rsid w:val="000D3CBC"/>
    <w:rsid w:val="000D3DDC"/>
    <w:rsid w:val="000D47CD"/>
    <w:rsid w:val="000D4CCA"/>
    <w:rsid w:val="000D4DE7"/>
    <w:rsid w:val="000D5443"/>
    <w:rsid w:val="000D5CAA"/>
    <w:rsid w:val="000D5D2F"/>
    <w:rsid w:val="000D5E87"/>
    <w:rsid w:val="000D5EA9"/>
    <w:rsid w:val="000D6706"/>
    <w:rsid w:val="000D6FC0"/>
    <w:rsid w:val="000D700D"/>
    <w:rsid w:val="000D7339"/>
    <w:rsid w:val="000D75C9"/>
    <w:rsid w:val="000D7AE2"/>
    <w:rsid w:val="000E0E35"/>
    <w:rsid w:val="000E1204"/>
    <w:rsid w:val="000E137C"/>
    <w:rsid w:val="000E159B"/>
    <w:rsid w:val="000E1BC6"/>
    <w:rsid w:val="000E1E03"/>
    <w:rsid w:val="000E1ECC"/>
    <w:rsid w:val="000E1FA8"/>
    <w:rsid w:val="000E2022"/>
    <w:rsid w:val="000E23D1"/>
    <w:rsid w:val="000E24B2"/>
    <w:rsid w:val="000E2D71"/>
    <w:rsid w:val="000E3052"/>
    <w:rsid w:val="000E3118"/>
    <w:rsid w:val="000E35C6"/>
    <w:rsid w:val="000E3E89"/>
    <w:rsid w:val="000E4529"/>
    <w:rsid w:val="000E462B"/>
    <w:rsid w:val="000E4744"/>
    <w:rsid w:val="000E4D30"/>
    <w:rsid w:val="000E4DE6"/>
    <w:rsid w:val="000E5121"/>
    <w:rsid w:val="000E517B"/>
    <w:rsid w:val="000E52FF"/>
    <w:rsid w:val="000E558D"/>
    <w:rsid w:val="000E5675"/>
    <w:rsid w:val="000E5A04"/>
    <w:rsid w:val="000E6790"/>
    <w:rsid w:val="000E6CE9"/>
    <w:rsid w:val="000E6FE5"/>
    <w:rsid w:val="000E72EB"/>
    <w:rsid w:val="000E7A02"/>
    <w:rsid w:val="000E7EE8"/>
    <w:rsid w:val="000F08E2"/>
    <w:rsid w:val="000F0A12"/>
    <w:rsid w:val="000F122F"/>
    <w:rsid w:val="000F299A"/>
    <w:rsid w:val="000F2F90"/>
    <w:rsid w:val="000F2FBA"/>
    <w:rsid w:val="000F3750"/>
    <w:rsid w:val="000F3779"/>
    <w:rsid w:val="000F3854"/>
    <w:rsid w:val="000F4301"/>
    <w:rsid w:val="000F4641"/>
    <w:rsid w:val="000F4843"/>
    <w:rsid w:val="000F494B"/>
    <w:rsid w:val="000F4E3A"/>
    <w:rsid w:val="000F4F09"/>
    <w:rsid w:val="000F4FFD"/>
    <w:rsid w:val="000F533F"/>
    <w:rsid w:val="000F5B77"/>
    <w:rsid w:val="000F5F62"/>
    <w:rsid w:val="000F5F68"/>
    <w:rsid w:val="000F6A51"/>
    <w:rsid w:val="000F6A6D"/>
    <w:rsid w:val="000F7399"/>
    <w:rsid w:val="000F73F5"/>
    <w:rsid w:val="000F79D7"/>
    <w:rsid w:val="000F7A37"/>
    <w:rsid w:val="000F7AC9"/>
    <w:rsid w:val="000F7CA6"/>
    <w:rsid w:val="000F7EBB"/>
    <w:rsid w:val="001004B6"/>
    <w:rsid w:val="00100513"/>
    <w:rsid w:val="001006B7"/>
    <w:rsid w:val="001006D2"/>
    <w:rsid w:val="00100939"/>
    <w:rsid w:val="00100B50"/>
    <w:rsid w:val="00100B66"/>
    <w:rsid w:val="001016A1"/>
    <w:rsid w:val="00101F39"/>
    <w:rsid w:val="0010242B"/>
    <w:rsid w:val="001028D3"/>
    <w:rsid w:val="00102915"/>
    <w:rsid w:val="00102FD5"/>
    <w:rsid w:val="001030D8"/>
    <w:rsid w:val="0010363E"/>
    <w:rsid w:val="00103650"/>
    <w:rsid w:val="001038BA"/>
    <w:rsid w:val="001041C1"/>
    <w:rsid w:val="0010454A"/>
    <w:rsid w:val="0010499E"/>
    <w:rsid w:val="00104AA8"/>
    <w:rsid w:val="0010533A"/>
    <w:rsid w:val="00105760"/>
    <w:rsid w:val="00105BFF"/>
    <w:rsid w:val="00105CD3"/>
    <w:rsid w:val="00105D17"/>
    <w:rsid w:val="001067D0"/>
    <w:rsid w:val="00106A20"/>
    <w:rsid w:val="00106B63"/>
    <w:rsid w:val="00106CF2"/>
    <w:rsid w:val="00106E50"/>
    <w:rsid w:val="00106FB5"/>
    <w:rsid w:val="00107036"/>
    <w:rsid w:val="00107116"/>
    <w:rsid w:val="001073BD"/>
    <w:rsid w:val="001078B7"/>
    <w:rsid w:val="00107C7B"/>
    <w:rsid w:val="001107D8"/>
    <w:rsid w:val="00110F03"/>
    <w:rsid w:val="001110B4"/>
    <w:rsid w:val="00111467"/>
    <w:rsid w:val="00111E75"/>
    <w:rsid w:val="001120D3"/>
    <w:rsid w:val="00112598"/>
    <w:rsid w:val="00112F83"/>
    <w:rsid w:val="00112FF5"/>
    <w:rsid w:val="00113476"/>
    <w:rsid w:val="0011349F"/>
    <w:rsid w:val="001139F7"/>
    <w:rsid w:val="00113BF2"/>
    <w:rsid w:val="0011434A"/>
    <w:rsid w:val="0011457F"/>
    <w:rsid w:val="001146AF"/>
    <w:rsid w:val="0011494C"/>
    <w:rsid w:val="00114AB2"/>
    <w:rsid w:val="001152A7"/>
    <w:rsid w:val="00115AC6"/>
    <w:rsid w:val="00115C2B"/>
    <w:rsid w:val="00115D26"/>
    <w:rsid w:val="00115F0A"/>
    <w:rsid w:val="00115FA4"/>
    <w:rsid w:val="001163C1"/>
    <w:rsid w:val="0011684D"/>
    <w:rsid w:val="00116F85"/>
    <w:rsid w:val="0011716C"/>
    <w:rsid w:val="0011740E"/>
    <w:rsid w:val="00117642"/>
    <w:rsid w:val="00117BC7"/>
    <w:rsid w:val="00117CCD"/>
    <w:rsid w:val="00120319"/>
    <w:rsid w:val="00120481"/>
    <w:rsid w:val="001214E2"/>
    <w:rsid w:val="001218E6"/>
    <w:rsid w:val="001218F4"/>
    <w:rsid w:val="00121BA5"/>
    <w:rsid w:val="00122F39"/>
    <w:rsid w:val="001235EA"/>
    <w:rsid w:val="00123D1A"/>
    <w:rsid w:val="00123F61"/>
    <w:rsid w:val="0012413A"/>
    <w:rsid w:val="00124598"/>
    <w:rsid w:val="00124767"/>
    <w:rsid w:val="00124B77"/>
    <w:rsid w:val="00124C18"/>
    <w:rsid w:val="00124D4E"/>
    <w:rsid w:val="0012594B"/>
    <w:rsid w:val="00125C0A"/>
    <w:rsid w:val="00126378"/>
    <w:rsid w:val="001264FE"/>
    <w:rsid w:val="0012680B"/>
    <w:rsid w:val="001270C6"/>
    <w:rsid w:val="00127661"/>
    <w:rsid w:val="00127C02"/>
    <w:rsid w:val="001300BA"/>
    <w:rsid w:val="00130119"/>
    <w:rsid w:val="00130455"/>
    <w:rsid w:val="00130B46"/>
    <w:rsid w:val="00130C8C"/>
    <w:rsid w:val="001311A9"/>
    <w:rsid w:val="001312F5"/>
    <w:rsid w:val="001313D0"/>
    <w:rsid w:val="00131898"/>
    <w:rsid w:val="00131B1C"/>
    <w:rsid w:val="00132418"/>
    <w:rsid w:val="001325AB"/>
    <w:rsid w:val="001328CC"/>
    <w:rsid w:val="00132F5D"/>
    <w:rsid w:val="00132FC6"/>
    <w:rsid w:val="00133731"/>
    <w:rsid w:val="00133A2D"/>
    <w:rsid w:val="00133C5D"/>
    <w:rsid w:val="00133C7C"/>
    <w:rsid w:val="00133FC1"/>
    <w:rsid w:val="001340D9"/>
    <w:rsid w:val="001345FB"/>
    <w:rsid w:val="001348C7"/>
    <w:rsid w:val="00134AB2"/>
    <w:rsid w:val="00134ABD"/>
    <w:rsid w:val="00135054"/>
    <w:rsid w:val="0013528D"/>
    <w:rsid w:val="001354F8"/>
    <w:rsid w:val="001357C3"/>
    <w:rsid w:val="00135EDB"/>
    <w:rsid w:val="00136311"/>
    <w:rsid w:val="00136B7D"/>
    <w:rsid w:val="00136BF0"/>
    <w:rsid w:val="00136EDE"/>
    <w:rsid w:val="00137483"/>
    <w:rsid w:val="0013749C"/>
    <w:rsid w:val="001375C7"/>
    <w:rsid w:val="00137E8D"/>
    <w:rsid w:val="001403A2"/>
    <w:rsid w:val="001406F8"/>
    <w:rsid w:val="00140816"/>
    <w:rsid w:val="00140C28"/>
    <w:rsid w:val="00140D58"/>
    <w:rsid w:val="001410D5"/>
    <w:rsid w:val="001414CB"/>
    <w:rsid w:val="00141A61"/>
    <w:rsid w:val="001420CF"/>
    <w:rsid w:val="00142189"/>
    <w:rsid w:val="00142FBC"/>
    <w:rsid w:val="001436E7"/>
    <w:rsid w:val="00143849"/>
    <w:rsid w:val="001444DB"/>
    <w:rsid w:val="00144E65"/>
    <w:rsid w:val="00144E9D"/>
    <w:rsid w:val="00145DE1"/>
    <w:rsid w:val="001475E2"/>
    <w:rsid w:val="0014783D"/>
    <w:rsid w:val="00147910"/>
    <w:rsid w:val="00147A36"/>
    <w:rsid w:val="001500EA"/>
    <w:rsid w:val="0015069E"/>
    <w:rsid w:val="00150C34"/>
    <w:rsid w:val="00150EA4"/>
    <w:rsid w:val="0015117C"/>
    <w:rsid w:val="0015164B"/>
    <w:rsid w:val="00151869"/>
    <w:rsid w:val="001518A2"/>
    <w:rsid w:val="001518D4"/>
    <w:rsid w:val="00151B84"/>
    <w:rsid w:val="00151C44"/>
    <w:rsid w:val="001529D7"/>
    <w:rsid w:val="00152B2A"/>
    <w:rsid w:val="00152DBB"/>
    <w:rsid w:val="00152FCD"/>
    <w:rsid w:val="00153754"/>
    <w:rsid w:val="00153996"/>
    <w:rsid w:val="00153B9E"/>
    <w:rsid w:val="00153BC6"/>
    <w:rsid w:val="00153DB8"/>
    <w:rsid w:val="00154367"/>
    <w:rsid w:val="001544A2"/>
    <w:rsid w:val="0015452C"/>
    <w:rsid w:val="00154A8D"/>
    <w:rsid w:val="00154CE4"/>
    <w:rsid w:val="00154D95"/>
    <w:rsid w:val="0015556A"/>
    <w:rsid w:val="0015613C"/>
    <w:rsid w:val="00156355"/>
    <w:rsid w:val="00156B37"/>
    <w:rsid w:val="00157339"/>
    <w:rsid w:val="0015788B"/>
    <w:rsid w:val="0015799C"/>
    <w:rsid w:val="00157F12"/>
    <w:rsid w:val="00160354"/>
    <w:rsid w:val="00160F7C"/>
    <w:rsid w:val="00161404"/>
    <w:rsid w:val="00161707"/>
    <w:rsid w:val="00161DFD"/>
    <w:rsid w:val="001620E4"/>
    <w:rsid w:val="00162103"/>
    <w:rsid w:val="0016278D"/>
    <w:rsid w:val="0016340A"/>
    <w:rsid w:val="00163828"/>
    <w:rsid w:val="00163840"/>
    <w:rsid w:val="00163D9B"/>
    <w:rsid w:val="00163FD1"/>
    <w:rsid w:val="001640BB"/>
    <w:rsid w:val="001641BE"/>
    <w:rsid w:val="00164529"/>
    <w:rsid w:val="00164630"/>
    <w:rsid w:val="00164887"/>
    <w:rsid w:val="001649A5"/>
    <w:rsid w:val="00164CBA"/>
    <w:rsid w:val="00164CFC"/>
    <w:rsid w:val="00164E89"/>
    <w:rsid w:val="00165889"/>
    <w:rsid w:val="00165A2B"/>
    <w:rsid w:val="00165BC9"/>
    <w:rsid w:val="00166599"/>
    <w:rsid w:val="00166831"/>
    <w:rsid w:val="00166AA4"/>
    <w:rsid w:val="00167A2D"/>
    <w:rsid w:val="001700A6"/>
    <w:rsid w:val="001706FD"/>
    <w:rsid w:val="001707C4"/>
    <w:rsid w:val="00171413"/>
    <w:rsid w:val="0017145E"/>
    <w:rsid w:val="00171CDE"/>
    <w:rsid w:val="00171EF1"/>
    <w:rsid w:val="001721DF"/>
    <w:rsid w:val="0017267C"/>
    <w:rsid w:val="00172764"/>
    <w:rsid w:val="00172958"/>
    <w:rsid w:val="00172B32"/>
    <w:rsid w:val="00172C2B"/>
    <w:rsid w:val="00172E1C"/>
    <w:rsid w:val="0017306F"/>
    <w:rsid w:val="0017364B"/>
    <w:rsid w:val="00173B61"/>
    <w:rsid w:val="00173BBE"/>
    <w:rsid w:val="00173C57"/>
    <w:rsid w:val="001740AA"/>
    <w:rsid w:val="00174104"/>
    <w:rsid w:val="00174C72"/>
    <w:rsid w:val="00174E62"/>
    <w:rsid w:val="00174EEF"/>
    <w:rsid w:val="00175052"/>
    <w:rsid w:val="001752C4"/>
    <w:rsid w:val="0017549D"/>
    <w:rsid w:val="00175938"/>
    <w:rsid w:val="00175DA9"/>
    <w:rsid w:val="00175DB7"/>
    <w:rsid w:val="00175FED"/>
    <w:rsid w:val="00176025"/>
    <w:rsid w:val="001764DD"/>
    <w:rsid w:val="00176791"/>
    <w:rsid w:val="00176A53"/>
    <w:rsid w:val="00176B7D"/>
    <w:rsid w:val="0017736F"/>
    <w:rsid w:val="00177FC4"/>
    <w:rsid w:val="001801CC"/>
    <w:rsid w:val="00180759"/>
    <w:rsid w:val="0018083F"/>
    <w:rsid w:val="00180DBC"/>
    <w:rsid w:val="00181088"/>
    <w:rsid w:val="00181388"/>
    <w:rsid w:val="00181444"/>
    <w:rsid w:val="00181FA4"/>
    <w:rsid w:val="0018206E"/>
    <w:rsid w:val="0018231F"/>
    <w:rsid w:val="0018241A"/>
    <w:rsid w:val="00182A9D"/>
    <w:rsid w:val="00182CF4"/>
    <w:rsid w:val="00182E62"/>
    <w:rsid w:val="00182FCE"/>
    <w:rsid w:val="00183BB1"/>
    <w:rsid w:val="00183F6D"/>
    <w:rsid w:val="00184371"/>
    <w:rsid w:val="0018475F"/>
    <w:rsid w:val="00184983"/>
    <w:rsid w:val="00184B5B"/>
    <w:rsid w:val="00184B83"/>
    <w:rsid w:val="00184BC1"/>
    <w:rsid w:val="00184F7F"/>
    <w:rsid w:val="00185326"/>
    <w:rsid w:val="001856E4"/>
    <w:rsid w:val="00185D1D"/>
    <w:rsid w:val="00185D41"/>
    <w:rsid w:val="00185DCA"/>
    <w:rsid w:val="00186220"/>
    <w:rsid w:val="0018627F"/>
    <w:rsid w:val="00186319"/>
    <w:rsid w:val="00186569"/>
    <w:rsid w:val="0018664B"/>
    <w:rsid w:val="00186B30"/>
    <w:rsid w:val="0018712A"/>
    <w:rsid w:val="00187436"/>
    <w:rsid w:val="00190032"/>
    <w:rsid w:val="00190344"/>
    <w:rsid w:val="00190393"/>
    <w:rsid w:val="001903BE"/>
    <w:rsid w:val="0019069D"/>
    <w:rsid w:val="00190734"/>
    <w:rsid w:val="00190878"/>
    <w:rsid w:val="00190B71"/>
    <w:rsid w:val="001911BC"/>
    <w:rsid w:val="00191996"/>
    <w:rsid w:val="00191D29"/>
    <w:rsid w:val="00191EAE"/>
    <w:rsid w:val="001923BD"/>
    <w:rsid w:val="00192493"/>
    <w:rsid w:val="001926F6"/>
    <w:rsid w:val="001927DC"/>
    <w:rsid w:val="001931B3"/>
    <w:rsid w:val="00193276"/>
    <w:rsid w:val="00193466"/>
    <w:rsid w:val="0019355C"/>
    <w:rsid w:val="001946FA"/>
    <w:rsid w:val="0019486B"/>
    <w:rsid w:val="0019489C"/>
    <w:rsid w:val="0019496D"/>
    <w:rsid w:val="00194AFC"/>
    <w:rsid w:val="00194B76"/>
    <w:rsid w:val="00195209"/>
    <w:rsid w:val="001954C9"/>
    <w:rsid w:val="00195C0F"/>
    <w:rsid w:val="00195DB8"/>
    <w:rsid w:val="00196100"/>
    <w:rsid w:val="0019611B"/>
    <w:rsid w:val="00196B81"/>
    <w:rsid w:val="00197499"/>
    <w:rsid w:val="00197BF0"/>
    <w:rsid w:val="001A025D"/>
    <w:rsid w:val="001A0C04"/>
    <w:rsid w:val="001A11AD"/>
    <w:rsid w:val="001A1461"/>
    <w:rsid w:val="001A17AF"/>
    <w:rsid w:val="001A1891"/>
    <w:rsid w:val="001A1C76"/>
    <w:rsid w:val="001A1EFD"/>
    <w:rsid w:val="001A275A"/>
    <w:rsid w:val="001A29FA"/>
    <w:rsid w:val="001A2C17"/>
    <w:rsid w:val="001A320A"/>
    <w:rsid w:val="001A35C8"/>
    <w:rsid w:val="001A3B40"/>
    <w:rsid w:val="001A40C1"/>
    <w:rsid w:val="001A4358"/>
    <w:rsid w:val="001A4455"/>
    <w:rsid w:val="001A4CE1"/>
    <w:rsid w:val="001A4EB1"/>
    <w:rsid w:val="001A4FBA"/>
    <w:rsid w:val="001A63ED"/>
    <w:rsid w:val="001A6F03"/>
    <w:rsid w:val="001A7248"/>
    <w:rsid w:val="001A7445"/>
    <w:rsid w:val="001A7987"/>
    <w:rsid w:val="001B026F"/>
    <w:rsid w:val="001B04F9"/>
    <w:rsid w:val="001B0B2A"/>
    <w:rsid w:val="001B1243"/>
    <w:rsid w:val="001B13F0"/>
    <w:rsid w:val="001B14A5"/>
    <w:rsid w:val="001B15F8"/>
    <w:rsid w:val="001B1857"/>
    <w:rsid w:val="001B1875"/>
    <w:rsid w:val="001B1A64"/>
    <w:rsid w:val="001B1B8A"/>
    <w:rsid w:val="001B1D94"/>
    <w:rsid w:val="001B237F"/>
    <w:rsid w:val="001B2476"/>
    <w:rsid w:val="001B2F59"/>
    <w:rsid w:val="001B2F6E"/>
    <w:rsid w:val="001B3975"/>
    <w:rsid w:val="001B39FE"/>
    <w:rsid w:val="001B3AB6"/>
    <w:rsid w:val="001B3C8B"/>
    <w:rsid w:val="001B3CC3"/>
    <w:rsid w:val="001B3ED8"/>
    <w:rsid w:val="001B433E"/>
    <w:rsid w:val="001B43EE"/>
    <w:rsid w:val="001B450E"/>
    <w:rsid w:val="001B45F4"/>
    <w:rsid w:val="001B598E"/>
    <w:rsid w:val="001B62D9"/>
    <w:rsid w:val="001B652A"/>
    <w:rsid w:val="001B691A"/>
    <w:rsid w:val="001B6AA1"/>
    <w:rsid w:val="001B6CAB"/>
    <w:rsid w:val="001B758E"/>
    <w:rsid w:val="001B7DAB"/>
    <w:rsid w:val="001C02B8"/>
    <w:rsid w:val="001C05F2"/>
    <w:rsid w:val="001C06B0"/>
    <w:rsid w:val="001C1001"/>
    <w:rsid w:val="001C11F9"/>
    <w:rsid w:val="001C1867"/>
    <w:rsid w:val="001C19BD"/>
    <w:rsid w:val="001C1BAA"/>
    <w:rsid w:val="001C1C48"/>
    <w:rsid w:val="001C1C8F"/>
    <w:rsid w:val="001C1E7C"/>
    <w:rsid w:val="001C21A3"/>
    <w:rsid w:val="001C22ED"/>
    <w:rsid w:val="001C23CA"/>
    <w:rsid w:val="001C2BBC"/>
    <w:rsid w:val="001C33BF"/>
    <w:rsid w:val="001C3520"/>
    <w:rsid w:val="001C379D"/>
    <w:rsid w:val="001C3E90"/>
    <w:rsid w:val="001C4002"/>
    <w:rsid w:val="001C4A15"/>
    <w:rsid w:val="001C4B01"/>
    <w:rsid w:val="001C5390"/>
    <w:rsid w:val="001C591E"/>
    <w:rsid w:val="001C595A"/>
    <w:rsid w:val="001C597D"/>
    <w:rsid w:val="001C5CD3"/>
    <w:rsid w:val="001C5D6C"/>
    <w:rsid w:val="001C6264"/>
    <w:rsid w:val="001C6CA7"/>
    <w:rsid w:val="001C6D05"/>
    <w:rsid w:val="001C7188"/>
    <w:rsid w:val="001C7269"/>
    <w:rsid w:val="001C7733"/>
    <w:rsid w:val="001C7C59"/>
    <w:rsid w:val="001C7DCD"/>
    <w:rsid w:val="001C7E64"/>
    <w:rsid w:val="001C7FAF"/>
    <w:rsid w:val="001D025B"/>
    <w:rsid w:val="001D080F"/>
    <w:rsid w:val="001D096A"/>
    <w:rsid w:val="001D0A75"/>
    <w:rsid w:val="001D0FCD"/>
    <w:rsid w:val="001D10A8"/>
    <w:rsid w:val="001D1721"/>
    <w:rsid w:val="001D1935"/>
    <w:rsid w:val="001D1D1D"/>
    <w:rsid w:val="001D1FAE"/>
    <w:rsid w:val="001D2848"/>
    <w:rsid w:val="001D2CED"/>
    <w:rsid w:val="001D2EFA"/>
    <w:rsid w:val="001D354B"/>
    <w:rsid w:val="001D3AD4"/>
    <w:rsid w:val="001D3EC7"/>
    <w:rsid w:val="001D407D"/>
    <w:rsid w:val="001D40C0"/>
    <w:rsid w:val="001D417F"/>
    <w:rsid w:val="001D441F"/>
    <w:rsid w:val="001D449D"/>
    <w:rsid w:val="001D461D"/>
    <w:rsid w:val="001D48CF"/>
    <w:rsid w:val="001D495F"/>
    <w:rsid w:val="001D4C70"/>
    <w:rsid w:val="001D4DF3"/>
    <w:rsid w:val="001D4E6F"/>
    <w:rsid w:val="001D51F2"/>
    <w:rsid w:val="001D60DD"/>
    <w:rsid w:val="001D611C"/>
    <w:rsid w:val="001D7016"/>
    <w:rsid w:val="001D7460"/>
    <w:rsid w:val="001D7CD1"/>
    <w:rsid w:val="001D7EF3"/>
    <w:rsid w:val="001E0183"/>
    <w:rsid w:val="001E02AB"/>
    <w:rsid w:val="001E055B"/>
    <w:rsid w:val="001E116B"/>
    <w:rsid w:val="001E126A"/>
    <w:rsid w:val="001E1894"/>
    <w:rsid w:val="001E1F6C"/>
    <w:rsid w:val="001E2A9D"/>
    <w:rsid w:val="001E2C40"/>
    <w:rsid w:val="001E2CFD"/>
    <w:rsid w:val="001E3472"/>
    <w:rsid w:val="001E3A13"/>
    <w:rsid w:val="001E3F05"/>
    <w:rsid w:val="001E44A6"/>
    <w:rsid w:val="001E475D"/>
    <w:rsid w:val="001E4C40"/>
    <w:rsid w:val="001E4EA5"/>
    <w:rsid w:val="001E4F93"/>
    <w:rsid w:val="001E5090"/>
    <w:rsid w:val="001E56A5"/>
    <w:rsid w:val="001E5798"/>
    <w:rsid w:val="001E59B8"/>
    <w:rsid w:val="001E59EB"/>
    <w:rsid w:val="001E646C"/>
    <w:rsid w:val="001E683D"/>
    <w:rsid w:val="001E74DF"/>
    <w:rsid w:val="001E7884"/>
    <w:rsid w:val="001E7B4E"/>
    <w:rsid w:val="001F053A"/>
    <w:rsid w:val="001F0E91"/>
    <w:rsid w:val="001F14CF"/>
    <w:rsid w:val="001F2111"/>
    <w:rsid w:val="001F2409"/>
    <w:rsid w:val="001F2DE6"/>
    <w:rsid w:val="001F32DC"/>
    <w:rsid w:val="001F3499"/>
    <w:rsid w:val="001F3649"/>
    <w:rsid w:val="001F37ED"/>
    <w:rsid w:val="001F3B92"/>
    <w:rsid w:val="001F3B95"/>
    <w:rsid w:val="001F42E9"/>
    <w:rsid w:val="001F43B0"/>
    <w:rsid w:val="001F43E1"/>
    <w:rsid w:val="001F472F"/>
    <w:rsid w:val="001F58F8"/>
    <w:rsid w:val="001F5A02"/>
    <w:rsid w:val="001F5A9C"/>
    <w:rsid w:val="001F5BA4"/>
    <w:rsid w:val="001F5BE5"/>
    <w:rsid w:val="001F5E7B"/>
    <w:rsid w:val="001F5FE7"/>
    <w:rsid w:val="001F5FFB"/>
    <w:rsid w:val="001F6016"/>
    <w:rsid w:val="001F6036"/>
    <w:rsid w:val="001F6174"/>
    <w:rsid w:val="001F65CE"/>
    <w:rsid w:val="001F67ED"/>
    <w:rsid w:val="001F6E7C"/>
    <w:rsid w:val="001F6EA4"/>
    <w:rsid w:val="001F6F28"/>
    <w:rsid w:val="001F7AC2"/>
    <w:rsid w:val="001F7AFE"/>
    <w:rsid w:val="001F7B57"/>
    <w:rsid w:val="001F7BFC"/>
    <w:rsid w:val="001F7E59"/>
    <w:rsid w:val="00200C87"/>
    <w:rsid w:val="00200E67"/>
    <w:rsid w:val="00201031"/>
    <w:rsid w:val="00201875"/>
    <w:rsid w:val="002018D9"/>
    <w:rsid w:val="00201ED8"/>
    <w:rsid w:val="002026E3"/>
    <w:rsid w:val="00202CFE"/>
    <w:rsid w:val="00202E15"/>
    <w:rsid w:val="002030DE"/>
    <w:rsid w:val="00203164"/>
    <w:rsid w:val="002036B3"/>
    <w:rsid w:val="00203AEB"/>
    <w:rsid w:val="00203EEF"/>
    <w:rsid w:val="00204568"/>
    <w:rsid w:val="00204B9E"/>
    <w:rsid w:val="0020503D"/>
    <w:rsid w:val="00205101"/>
    <w:rsid w:val="002055CA"/>
    <w:rsid w:val="002055F3"/>
    <w:rsid w:val="0020601F"/>
    <w:rsid w:val="00206324"/>
    <w:rsid w:val="0020650B"/>
    <w:rsid w:val="00206885"/>
    <w:rsid w:val="00206AE7"/>
    <w:rsid w:val="00206EDB"/>
    <w:rsid w:val="002070D8"/>
    <w:rsid w:val="0020715B"/>
    <w:rsid w:val="00207A4B"/>
    <w:rsid w:val="00207CFD"/>
    <w:rsid w:val="00210566"/>
    <w:rsid w:val="002106AA"/>
    <w:rsid w:val="002107B2"/>
    <w:rsid w:val="0021083D"/>
    <w:rsid w:val="00211817"/>
    <w:rsid w:val="00211B1E"/>
    <w:rsid w:val="00211B87"/>
    <w:rsid w:val="00211D87"/>
    <w:rsid w:val="00212618"/>
    <w:rsid w:val="002126DB"/>
    <w:rsid w:val="0021272C"/>
    <w:rsid w:val="002128D5"/>
    <w:rsid w:val="00212ABF"/>
    <w:rsid w:val="002132A1"/>
    <w:rsid w:val="0021381D"/>
    <w:rsid w:val="0021395B"/>
    <w:rsid w:val="00213BDC"/>
    <w:rsid w:val="00213CA8"/>
    <w:rsid w:val="002147C8"/>
    <w:rsid w:val="00214A44"/>
    <w:rsid w:val="00214C35"/>
    <w:rsid w:val="00214DD7"/>
    <w:rsid w:val="00215482"/>
    <w:rsid w:val="00215FFA"/>
    <w:rsid w:val="00215FFF"/>
    <w:rsid w:val="002164B2"/>
    <w:rsid w:val="002164B7"/>
    <w:rsid w:val="0021739E"/>
    <w:rsid w:val="002176DF"/>
    <w:rsid w:val="002178AD"/>
    <w:rsid w:val="002178DD"/>
    <w:rsid w:val="0022027D"/>
    <w:rsid w:val="0022062F"/>
    <w:rsid w:val="00220A70"/>
    <w:rsid w:val="002213F6"/>
    <w:rsid w:val="00221C88"/>
    <w:rsid w:val="00222396"/>
    <w:rsid w:val="00222B93"/>
    <w:rsid w:val="00222D9F"/>
    <w:rsid w:val="002230ED"/>
    <w:rsid w:val="002233D2"/>
    <w:rsid w:val="002236EB"/>
    <w:rsid w:val="002239C0"/>
    <w:rsid w:val="00223A15"/>
    <w:rsid w:val="002240A1"/>
    <w:rsid w:val="00224B11"/>
    <w:rsid w:val="00224D33"/>
    <w:rsid w:val="00224D90"/>
    <w:rsid w:val="00224E7E"/>
    <w:rsid w:val="00224FE2"/>
    <w:rsid w:val="00225570"/>
    <w:rsid w:val="00225F49"/>
    <w:rsid w:val="00226161"/>
    <w:rsid w:val="002261C0"/>
    <w:rsid w:val="00226682"/>
    <w:rsid w:val="00226C82"/>
    <w:rsid w:val="00227036"/>
    <w:rsid w:val="002300CB"/>
    <w:rsid w:val="002303EC"/>
    <w:rsid w:val="00230568"/>
    <w:rsid w:val="00230B36"/>
    <w:rsid w:val="00230C4B"/>
    <w:rsid w:val="00231274"/>
    <w:rsid w:val="00231430"/>
    <w:rsid w:val="00231450"/>
    <w:rsid w:val="002314A8"/>
    <w:rsid w:val="00231E38"/>
    <w:rsid w:val="00232CEE"/>
    <w:rsid w:val="00232D8A"/>
    <w:rsid w:val="00232F27"/>
    <w:rsid w:val="00233224"/>
    <w:rsid w:val="002333F3"/>
    <w:rsid w:val="0023349F"/>
    <w:rsid w:val="002342F5"/>
    <w:rsid w:val="002345C0"/>
    <w:rsid w:val="002347B4"/>
    <w:rsid w:val="00234982"/>
    <w:rsid w:val="00235204"/>
    <w:rsid w:val="002352B6"/>
    <w:rsid w:val="002352FD"/>
    <w:rsid w:val="00235463"/>
    <w:rsid w:val="00235AC4"/>
    <w:rsid w:val="00235B27"/>
    <w:rsid w:val="002361C3"/>
    <w:rsid w:val="00236739"/>
    <w:rsid w:val="00236C1C"/>
    <w:rsid w:val="00236D41"/>
    <w:rsid w:val="002373E7"/>
    <w:rsid w:val="0023756C"/>
    <w:rsid w:val="00237793"/>
    <w:rsid w:val="00237B3E"/>
    <w:rsid w:val="00237CC0"/>
    <w:rsid w:val="00237EC5"/>
    <w:rsid w:val="00237FEE"/>
    <w:rsid w:val="0024006A"/>
    <w:rsid w:val="002407E8"/>
    <w:rsid w:val="00240A1E"/>
    <w:rsid w:val="00240D9F"/>
    <w:rsid w:val="00240FC8"/>
    <w:rsid w:val="0024137E"/>
    <w:rsid w:val="002415FD"/>
    <w:rsid w:val="002419A1"/>
    <w:rsid w:val="00241AFA"/>
    <w:rsid w:val="00241C3C"/>
    <w:rsid w:val="00241EE0"/>
    <w:rsid w:val="00242301"/>
    <w:rsid w:val="002423E8"/>
    <w:rsid w:val="00242BC8"/>
    <w:rsid w:val="00243288"/>
    <w:rsid w:val="00243549"/>
    <w:rsid w:val="00243967"/>
    <w:rsid w:val="00243B79"/>
    <w:rsid w:val="00243F75"/>
    <w:rsid w:val="00244FCA"/>
    <w:rsid w:val="002451FA"/>
    <w:rsid w:val="002454E4"/>
    <w:rsid w:val="0024551C"/>
    <w:rsid w:val="00245A36"/>
    <w:rsid w:val="00246418"/>
    <w:rsid w:val="002464DB"/>
    <w:rsid w:val="00247183"/>
    <w:rsid w:val="00247366"/>
    <w:rsid w:val="00247986"/>
    <w:rsid w:val="00247F7C"/>
    <w:rsid w:val="002506DC"/>
    <w:rsid w:val="00250BD9"/>
    <w:rsid w:val="00250BEC"/>
    <w:rsid w:val="00250E2D"/>
    <w:rsid w:val="00251CE7"/>
    <w:rsid w:val="00251F1E"/>
    <w:rsid w:val="00251F6B"/>
    <w:rsid w:val="00252034"/>
    <w:rsid w:val="00252344"/>
    <w:rsid w:val="00252E38"/>
    <w:rsid w:val="0025358D"/>
    <w:rsid w:val="00254DB2"/>
    <w:rsid w:val="00255396"/>
    <w:rsid w:val="0025579A"/>
    <w:rsid w:val="0025583E"/>
    <w:rsid w:val="0025624D"/>
    <w:rsid w:val="00256298"/>
    <w:rsid w:val="002564E6"/>
    <w:rsid w:val="00256C1E"/>
    <w:rsid w:val="00257C98"/>
    <w:rsid w:val="00260442"/>
    <w:rsid w:val="002604D0"/>
    <w:rsid w:val="00260770"/>
    <w:rsid w:val="00260C8D"/>
    <w:rsid w:val="00261A17"/>
    <w:rsid w:val="002622F1"/>
    <w:rsid w:val="0026232F"/>
    <w:rsid w:val="00262594"/>
    <w:rsid w:val="00262C38"/>
    <w:rsid w:val="00262D57"/>
    <w:rsid w:val="002632D3"/>
    <w:rsid w:val="00263610"/>
    <w:rsid w:val="0026435D"/>
    <w:rsid w:val="0026437F"/>
    <w:rsid w:val="002647EC"/>
    <w:rsid w:val="00264B20"/>
    <w:rsid w:val="00264F23"/>
    <w:rsid w:val="00264F33"/>
    <w:rsid w:val="002651D2"/>
    <w:rsid w:val="00265320"/>
    <w:rsid w:val="0026543A"/>
    <w:rsid w:val="00265882"/>
    <w:rsid w:val="002667B6"/>
    <w:rsid w:val="00266AA2"/>
    <w:rsid w:val="00266BC1"/>
    <w:rsid w:val="00266D25"/>
    <w:rsid w:val="00266D34"/>
    <w:rsid w:val="00267EFB"/>
    <w:rsid w:val="002701EE"/>
    <w:rsid w:val="002701FF"/>
    <w:rsid w:val="002709D9"/>
    <w:rsid w:val="00270C95"/>
    <w:rsid w:val="00270CAE"/>
    <w:rsid w:val="00270E79"/>
    <w:rsid w:val="0027138F"/>
    <w:rsid w:val="002714F3"/>
    <w:rsid w:val="00271AA3"/>
    <w:rsid w:val="00271E4D"/>
    <w:rsid w:val="00271EAF"/>
    <w:rsid w:val="0027216C"/>
    <w:rsid w:val="002721D3"/>
    <w:rsid w:val="0027229D"/>
    <w:rsid w:val="00272B44"/>
    <w:rsid w:val="00272B76"/>
    <w:rsid w:val="00272DE7"/>
    <w:rsid w:val="0027338C"/>
    <w:rsid w:val="002742A7"/>
    <w:rsid w:val="002749FD"/>
    <w:rsid w:val="00274D1A"/>
    <w:rsid w:val="002751CE"/>
    <w:rsid w:val="00275546"/>
    <w:rsid w:val="002758D9"/>
    <w:rsid w:val="00275BD0"/>
    <w:rsid w:val="00275C87"/>
    <w:rsid w:val="00275F78"/>
    <w:rsid w:val="0027619D"/>
    <w:rsid w:val="002763F4"/>
    <w:rsid w:val="00276B61"/>
    <w:rsid w:val="00276EC8"/>
    <w:rsid w:val="002771EA"/>
    <w:rsid w:val="00277634"/>
    <w:rsid w:val="0027772B"/>
    <w:rsid w:val="00277996"/>
    <w:rsid w:val="00277E27"/>
    <w:rsid w:val="00277EEF"/>
    <w:rsid w:val="00280241"/>
    <w:rsid w:val="0028089D"/>
    <w:rsid w:val="002809F5"/>
    <w:rsid w:val="00280D65"/>
    <w:rsid w:val="00280DE5"/>
    <w:rsid w:val="00281B13"/>
    <w:rsid w:val="00281BDE"/>
    <w:rsid w:val="00281E08"/>
    <w:rsid w:val="00282277"/>
    <w:rsid w:val="0028247F"/>
    <w:rsid w:val="0028255B"/>
    <w:rsid w:val="002827A8"/>
    <w:rsid w:val="002827EB"/>
    <w:rsid w:val="0028289B"/>
    <w:rsid w:val="00282A50"/>
    <w:rsid w:val="00283007"/>
    <w:rsid w:val="0028307C"/>
    <w:rsid w:val="002834E9"/>
    <w:rsid w:val="0028356F"/>
    <w:rsid w:val="002836F2"/>
    <w:rsid w:val="00283707"/>
    <w:rsid w:val="0028398D"/>
    <w:rsid w:val="002839AE"/>
    <w:rsid w:val="00283C0F"/>
    <w:rsid w:val="00283D2B"/>
    <w:rsid w:val="00283E40"/>
    <w:rsid w:val="0028402C"/>
    <w:rsid w:val="0028423B"/>
    <w:rsid w:val="002846CD"/>
    <w:rsid w:val="002847E3"/>
    <w:rsid w:val="0028492D"/>
    <w:rsid w:val="00284B0A"/>
    <w:rsid w:val="00284D26"/>
    <w:rsid w:val="002852B6"/>
    <w:rsid w:val="002855A3"/>
    <w:rsid w:val="00286A6C"/>
    <w:rsid w:val="0028715B"/>
    <w:rsid w:val="002871DB"/>
    <w:rsid w:val="002873FF"/>
    <w:rsid w:val="00287492"/>
    <w:rsid w:val="00290E36"/>
    <w:rsid w:val="002913B1"/>
    <w:rsid w:val="002916C9"/>
    <w:rsid w:val="00291E55"/>
    <w:rsid w:val="002924D5"/>
    <w:rsid w:val="00292572"/>
    <w:rsid w:val="00292BA2"/>
    <w:rsid w:val="00292CFC"/>
    <w:rsid w:val="00292EB2"/>
    <w:rsid w:val="00293330"/>
    <w:rsid w:val="002933C6"/>
    <w:rsid w:val="0029355E"/>
    <w:rsid w:val="0029385C"/>
    <w:rsid w:val="00293A9B"/>
    <w:rsid w:val="00293B8D"/>
    <w:rsid w:val="00293CED"/>
    <w:rsid w:val="00294392"/>
    <w:rsid w:val="00294577"/>
    <w:rsid w:val="002949D4"/>
    <w:rsid w:val="00294A2A"/>
    <w:rsid w:val="00294D9F"/>
    <w:rsid w:val="0029583F"/>
    <w:rsid w:val="0029588B"/>
    <w:rsid w:val="00295DAE"/>
    <w:rsid w:val="00295DCB"/>
    <w:rsid w:val="00296568"/>
    <w:rsid w:val="00296CCF"/>
    <w:rsid w:val="00296F48"/>
    <w:rsid w:val="002972E7"/>
    <w:rsid w:val="002975F8"/>
    <w:rsid w:val="002977B9"/>
    <w:rsid w:val="002A0572"/>
    <w:rsid w:val="002A0792"/>
    <w:rsid w:val="002A07C7"/>
    <w:rsid w:val="002A07ED"/>
    <w:rsid w:val="002A0B59"/>
    <w:rsid w:val="002A0FAA"/>
    <w:rsid w:val="002A1AB8"/>
    <w:rsid w:val="002A1CD6"/>
    <w:rsid w:val="002A20DC"/>
    <w:rsid w:val="002A25E9"/>
    <w:rsid w:val="002A294A"/>
    <w:rsid w:val="002A2ABA"/>
    <w:rsid w:val="002A2C5D"/>
    <w:rsid w:val="002A2E4E"/>
    <w:rsid w:val="002A2EBA"/>
    <w:rsid w:val="002A30BE"/>
    <w:rsid w:val="002A30FE"/>
    <w:rsid w:val="002A31C6"/>
    <w:rsid w:val="002A32AB"/>
    <w:rsid w:val="002A32B3"/>
    <w:rsid w:val="002A39FC"/>
    <w:rsid w:val="002A3C21"/>
    <w:rsid w:val="002A3CBC"/>
    <w:rsid w:val="002A4D2F"/>
    <w:rsid w:val="002A4DB6"/>
    <w:rsid w:val="002A4EA7"/>
    <w:rsid w:val="002A51C9"/>
    <w:rsid w:val="002A5F7C"/>
    <w:rsid w:val="002A6044"/>
    <w:rsid w:val="002A62CE"/>
    <w:rsid w:val="002A6F0A"/>
    <w:rsid w:val="002A781B"/>
    <w:rsid w:val="002A7D68"/>
    <w:rsid w:val="002B0044"/>
    <w:rsid w:val="002B033C"/>
    <w:rsid w:val="002B0988"/>
    <w:rsid w:val="002B0B75"/>
    <w:rsid w:val="002B1A95"/>
    <w:rsid w:val="002B249E"/>
    <w:rsid w:val="002B2979"/>
    <w:rsid w:val="002B2A78"/>
    <w:rsid w:val="002B2A8A"/>
    <w:rsid w:val="002B2DBD"/>
    <w:rsid w:val="002B380D"/>
    <w:rsid w:val="002B3E5A"/>
    <w:rsid w:val="002B3E7D"/>
    <w:rsid w:val="002B44D9"/>
    <w:rsid w:val="002B53CF"/>
    <w:rsid w:val="002B5AF9"/>
    <w:rsid w:val="002B5EBE"/>
    <w:rsid w:val="002B6199"/>
    <w:rsid w:val="002B62BC"/>
    <w:rsid w:val="002B63DF"/>
    <w:rsid w:val="002B64A2"/>
    <w:rsid w:val="002B6BD1"/>
    <w:rsid w:val="002B6C7B"/>
    <w:rsid w:val="002B6E2B"/>
    <w:rsid w:val="002B700D"/>
    <w:rsid w:val="002B7142"/>
    <w:rsid w:val="002B77D4"/>
    <w:rsid w:val="002B7822"/>
    <w:rsid w:val="002B7951"/>
    <w:rsid w:val="002B7D11"/>
    <w:rsid w:val="002C00F4"/>
    <w:rsid w:val="002C033D"/>
    <w:rsid w:val="002C0B95"/>
    <w:rsid w:val="002C1206"/>
    <w:rsid w:val="002C1622"/>
    <w:rsid w:val="002C183E"/>
    <w:rsid w:val="002C1C73"/>
    <w:rsid w:val="002C22DF"/>
    <w:rsid w:val="002C2AEB"/>
    <w:rsid w:val="002C35B2"/>
    <w:rsid w:val="002C3715"/>
    <w:rsid w:val="002C392B"/>
    <w:rsid w:val="002C3B09"/>
    <w:rsid w:val="002C3B89"/>
    <w:rsid w:val="002C4013"/>
    <w:rsid w:val="002C44AA"/>
    <w:rsid w:val="002C4761"/>
    <w:rsid w:val="002C485B"/>
    <w:rsid w:val="002C4F3C"/>
    <w:rsid w:val="002C54EA"/>
    <w:rsid w:val="002C593D"/>
    <w:rsid w:val="002C5ACA"/>
    <w:rsid w:val="002C5B36"/>
    <w:rsid w:val="002C63B9"/>
    <w:rsid w:val="002C66AF"/>
    <w:rsid w:val="002C6728"/>
    <w:rsid w:val="002C68D1"/>
    <w:rsid w:val="002C7265"/>
    <w:rsid w:val="002C7318"/>
    <w:rsid w:val="002C774F"/>
    <w:rsid w:val="002C7C4E"/>
    <w:rsid w:val="002C7CE2"/>
    <w:rsid w:val="002C7D24"/>
    <w:rsid w:val="002C7DEB"/>
    <w:rsid w:val="002D0277"/>
    <w:rsid w:val="002D0552"/>
    <w:rsid w:val="002D0799"/>
    <w:rsid w:val="002D0A63"/>
    <w:rsid w:val="002D0E01"/>
    <w:rsid w:val="002D0E1F"/>
    <w:rsid w:val="002D1370"/>
    <w:rsid w:val="002D1702"/>
    <w:rsid w:val="002D18C8"/>
    <w:rsid w:val="002D1977"/>
    <w:rsid w:val="002D1A12"/>
    <w:rsid w:val="002D20F1"/>
    <w:rsid w:val="002D232E"/>
    <w:rsid w:val="002D26E9"/>
    <w:rsid w:val="002D2C33"/>
    <w:rsid w:val="002D302F"/>
    <w:rsid w:val="002D351B"/>
    <w:rsid w:val="002D3545"/>
    <w:rsid w:val="002D3AF6"/>
    <w:rsid w:val="002D3FDF"/>
    <w:rsid w:val="002D4179"/>
    <w:rsid w:val="002D41FE"/>
    <w:rsid w:val="002D57C4"/>
    <w:rsid w:val="002D63D6"/>
    <w:rsid w:val="002D63E5"/>
    <w:rsid w:val="002D64D7"/>
    <w:rsid w:val="002D6934"/>
    <w:rsid w:val="002D6A0C"/>
    <w:rsid w:val="002D6B77"/>
    <w:rsid w:val="002D757F"/>
    <w:rsid w:val="002D79D4"/>
    <w:rsid w:val="002E0085"/>
    <w:rsid w:val="002E0354"/>
    <w:rsid w:val="002E0412"/>
    <w:rsid w:val="002E04B8"/>
    <w:rsid w:val="002E0A5C"/>
    <w:rsid w:val="002E0D06"/>
    <w:rsid w:val="002E1090"/>
    <w:rsid w:val="002E14E6"/>
    <w:rsid w:val="002E152F"/>
    <w:rsid w:val="002E1913"/>
    <w:rsid w:val="002E2550"/>
    <w:rsid w:val="002E2643"/>
    <w:rsid w:val="002E26CA"/>
    <w:rsid w:val="002E3512"/>
    <w:rsid w:val="002E3789"/>
    <w:rsid w:val="002E37CC"/>
    <w:rsid w:val="002E37FF"/>
    <w:rsid w:val="002E38C7"/>
    <w:rsid w:val="002E3BCD"/>
    <w:rsid w:val="002E3CAD"/>
    <w:rsid w:val="002E45CA"/>
    <w:rsid w:val="002E4A4D"/>
    <w:rsid w:val="002E581F"/>
    <w:rsid w:val="002E587D"/>
    <w:rsid w:val="002E63C2"/>
    <w:rsid w:val="002E678D"/>
    <w:rsid w:val="002E6A03"/>
    <w:rsid w:val="002E6E00"/>
    <w:rsid w:val="002E7316"/>
    <w:rsid w:val="002E7335"/>
    <w:rsid w:val="002E7414"/>
    <w:rsid w:val="002E756E"/>
    <w:rsid w:val="002F026E"/>
    <w:rsid w:val="002F04E0"/>
    <w:rsid w:val="002F08D6"/>
    <w:rsid w:val="002F093B"/>
    <w:rsid w:val="002F0FE1"/>
    <w:rsid w:val="002F10D3"/>
    <w:rsid w:val="002F1466"/>
    <w:rsid w:val="002F14F0"/>
    <w:rsid w:val="002F1685"/>
    <w:rsid w:val="002F1BA6"/>
    <w:rsid w:val="002F1BCC"/>
    <w:rsid w:val="002F21E3"/>
    <w:rsid w:val="002F2F29"/>
    <w:rsid w:val="002F3315"/>
    <w:rsid w:val="002F3E98"/>
    <w:rsid w:val="002F3F3A"/>
    <w:rsid w:val="002F40DD"/>
    <w:rsid w:val="002F44AC"/>
    <w:rsid w:val="002F44C3"/>
    <w:rsid w:val="002F4773"/>
    <w:rsid w:val="002F4E41"/>
    <w:rsid w:val="002F4E97"/>
    <w:rsid w:val="002F50F0"/>
    <w:rsid w:val="002F56A2"/>
    <w:rsid w:val="002F5A2D"/>
    <w:rsid w:val="002F5FD5"/>
    <w:rsid w:val="002F6045"/>
    <w:rsid w:val="002F6073"/>
    <w:rsid w:val="002F6A28"/>
    <w:rsid w:val="002F6A93"/>
    <w:rsid w:val="002F6CB1"/>
    <w:rsid w:val="002F70DC"/>
    <w:rsid w:val="002F7843"/>
    <w:rsid w:val="002F7C23"/>
    <w:rsid w:val="002F7D87"/>
    <w:rsid w:val="00300515"/>
    <w:rsid w:val="00300DBC"/>
    <w:rsid w:val="00300ED3"/>
    <w:rsid w:val="003015FF"/>
    <w:rsid w:val="00301803"/>
    <w:rsid w:val="00301933"/>
    <w:rsid w:val="00301BBC"/>
    <w:rsid w:val="00301DA0"/>
    <w:rsid w:val="00301F5C"/>
    <w:rsid w:val="003022EF"/>
    <w:rsid w:val="0030234B"/>
    <w:rsid w:val="00302769"/>
    <w:rsid w:val="00302B4E"/>
    <w:rsid w:val="00302D0B"/>
    <w:rsid w:val="00302E51"/>
    <w:rsid w:val="00302FEB"/>
    <w:rsid w:val="00303905"/>
    <w:rsid w:val="00303A12"/>
    <w:rsid w:val="00304539"/>
    <w:rsid w:val="00304E4C"/>
    <w:rsid w:val="0030506F"/>
    <w:rsid w:val="00305287"/>
    <w:rsid w:val="003053E3"/>
    <w:rsid w:val="0030573E"/>
    <w:rsid w:val="00306238"/>
    <w:rsid w:val="00306AA1"/>
    <w:rsid w:val="0030743A"/>
    <w:rsid w:val="00307787"/>
    <w:rsid w:val="00307A7F"/>
    <w:rsid w:val="00307C70"/>
    <w:rsid w:val="00310CE6"/>
    <w:rsid w:val="00310DF8"/>
    <w:rsid w:val="00310F0D"/>
    <w:rsid w:val="00312972"/>
    <w:rsid w:val="00312B32"/>
    <w:rsid w:val="00312CDB"/>
    <w:rsid w:val="00312DEA"/>
    <w:rsid w:val="003130B8"/>
    <w:rsid w:val="0031313B"/>
    <w:rsid w:val="00313144"/>
    <w:rsid w:val="003133B8"/>
    <w:rsid w:val="00313C5E"/>
    <w:rsid w:val="00313EEC"/>
    <w:rsid w:val="00314811"/>
    <w:rsid w:val="003148A3"/>
    <w:rsid w:val="00314A72"/>
    <w:rsid w:val="00315890"/>
    <w:rsid w:val="0031602E"/>
    <w:rsid w:val="00316042"/>
    <w:rsid w:val="00316660"/>
    <w:rsid w:val="003166E4"/>
    <w:rsid w:val="00316B8A"/>
    <w:rsid w:val="003177D1"/>
    <w:rsid w:val="00317A5E"/>
    <w:rsid w:val="00317B59"/>
    <w:rsid w:val="00317C1C"/>
    <w:rsid w:val="003200D0"/>
    <w:rsid w:val="00320ABE"/>
    <w:rsid w:val="00320B07"/>
    <w:rsid w:val="00320DEC"/>
    <w:rsid w:val="00320FCD"/>
    <w:rsid w:val="0032166B"/>
    <w:rsid w:val="00321BA4"/>
    <w:rsid w:val="00321C2C"/>
    <w:rsid w:val="00321F4B"/>
    <w:rsid w:val="00321FFF"/>
    <w:rsid w:val="003230E8"/>
    <w:rsid w:val="00323252"/>
    <w:rsid w:val="00323CE5"/>
    <w:rsid w:val="00323DE5"/>
    <w:rsid w:val="00324045"/>
    <w:rsid w:val="00324A04"/>
    <w:rsid w:val="00324ADE"/>
    <w:rsid w:val="00324ECD"/>
    <w:rsid w:val="00325003"/>
    <w:rsid w:val="003252CF"/>
    <w:rsid w:val="00325468"/>
    <w:rsid w:val="003259EF"/>
    <w:rsid w:val="003264DF"/>
    <w:rsid w:val="00326759"/>
    <w:rsid w:val="0032706E"/>
    <w:rsid w:val="00327447"/>
    <w:rsid w:val="003275C5"/>
    <w:rsid w:val="00327D24"/>
    <w:rsid w:val="00327FAF"/>
    <w:rsid w:val="00330713"/>
    <w:rsid w:val="00330866"/>
    <w:rsid w:val="00330B6D"/>
    <w:rsid w:val="00330CE7"/>
    <w:rsid w:val="00331349"/>
    <w:rsid w:val="003315BA"/>
    <w:rsid w:val="00331665"/>
    <w:rsid w:val="00331C16"/>
    <w:rsid w:val="00331C57"/>
    <w:rsid w:val="00331FA1"/>
    <w:rsid w:val="00332B2D"/>
    <w:rsid w:val="00332EFE"/>
    <w:rsid w:val="003332C3"/>
    <w:rsid w:val="00333459"/>
    <w:rsid w:val="00333552"/>
    <w:rsid w:val="00333817"/>
    <w:rsid w:val="00334187"/>
    <w:rsid w:val="00334396"/>
    <w:rsid w:val="00334686"/>
    <w:rsid w:val="00334CD3"/>
    <w:rsid w:val="00334D17"/>
    <w:rsid w:val="00334E09"/>
    <w:rsid w:val="00334E1A"/>
    <w:rsid w:val="00335038"/>
    <w:rsid w:val="00335188"/>
    <w:rsid w:val="003354EE"/>
    <w:rsid w:val="003355B8"/>
    <w:rsid w:val="003356A7"/>
    <w:rsid w:val="00335DBF"/>
    <w:rsid w:val="00335F92"/>
    <w:rsid w:val="00336151"/>
    <w:rsid w:val="003369CB"/>
    <w:rsid w:val="00336A2B"/>
    <w:rsid w:val="00336C14"/>
    <w:rsid w:val="00336D61"/>
    <w:rsid w:val="00336E4F"/>
    <w:rsid w:val="00336F9D"/>
    <w:rsid w:val="00337222"/>
    <w:rsid w:val="00337464"/>
    <w:rsid w:val="0033749B"/>
    <w:rsid w:val="00337F26"/>
    <w:rsid w:val="00340164"/>
    <w:rsid w:val="00340538"/>
    <w:rsid w:val="0034112C"/>
    <w:rsid w:val="003411D4"/>
    <w:rsid w:val="003413F0"/>
    <w:rsid w:val="003415C2"/>
    <w:rsid w:val="00341C83"/>
    <w:rsid w:val="0034216D"/>
    <w:rsid w:val="0034275C"/>
    <w:rsid w:val="00342780"/>
    <w:rsid w:val="00342BEC"/>
    <w:rsid w:val="00342CB1"/>
    <w:rsid w:val="003435EF"/>
    <w:rsid w:val="00343978"/>
    <w:rsid w:val="00343AC2"/>
    <w:rsid w:val="00343DE7"/>
    <w:rsid w:val="00343F0D"/>
    <w:rsid w:val="00343FB0"/>
    <w:rsid w:val="003440D1"/>
    <w:rsid w:val="003440D5"/>
    <w:rsid w:val="003445B2"/>
    <w:rsid w:val="003445D4"/>
    <w:rsid w:val="00344649"/>
    <w:rsid w:val="003452B0"/>
    <w:rsid w:val="00345852"/>
    <w:rsid w:val="00345F21"/>
    <w:rsid w:val="003461C7"/>
    <w:rsid w:val="00346F88"/>
    <w:rsid w:val="00347193"/>
    <w:rsid w:val="0034735C"/>
    <w:rsid w:val="00347399"/>
    <w:rsid w:val="00347A4E"/>
    <w:rsid w:val="00347FB1"/>
    <w:rsid w:val="00350058"/>
    <w:rsid w:val="00351C3C"/>
    <w:rsid w:val="00351F29"/>
    <w:rsid w:val="00351F9D"/>
    <w:rsid w:val="00352241"/>
    <w:rsid w:val="003526CA"/>
    <w:rsid w:val="003529A5"/>
    <w:rsid w:val="00352B9D"/>
    <w:rsid w:val="003532CF"/>
    <w:rsid w:val="00353903"/>
    <w:rsid w:val="00353E66"/>
    <w:rsid w:val="003541C6"/>
    <w:rsid w:val="003542E2"/>
    <w:rsid w:val="00354417"/>
    <w:rsid w:val="00354862"/>
    <w:rsid w:val="00354A2D"/>
    <w:rsid w:val="00354BB0"/>
    <w:rsid w:val="00355A79"/>
    <w:rsid w:val="00355AE8"/>
    <w:rsid w:val="003561C3"/>
    <w:rsid w:val="003571F7"/>
    <w:rsid w:val="0035749C"/>
    <w:rsid w:val="0036022B"/>
    <w:rsid w:val="003604DF"/>
    <w:rsid w:val="003606C6"/>
    <w:rsid w:val="0036107F"/>
    <w:rsid w:val="0036145F"/>
    <w:rsid w:val="00361787"/>
    <w:rsid w:val="0036179F"/>
    <w:rsid w:val="00361832"/>
    <w:rsid w:val="00362042"/>
    <w:rsid w:val="003622D5"/>
    <w:rsid w:val="00362587"/>
    <w:rsid w:val="003628BE"/>
    <w:rsid w:val="00362BF1"/>
    <w:rsid w:val="00362C9E"/>
    <w:rsid w:val="00362DE0"/>
    <w:rsid w:val="00362FA7"/>
    <w:rsid w:val="00363717"/>
    <w:rsid w:val="00363826"/>
    <w:rsid w:val="00363879"/>
    <w:rsid w:val="0036387F"/>
    <w:rsid w:val="00363901"/>
    <w:rsid w:val="0036395A"/>
    <w:rsid w:val="00364214"/>
    <w:rsid w:val="003643AD"/>
    <w:rsid w:val="003643DE"/>
    <w:rsid w:val="003645F8"/>
    <w:rsid w:val="003647E0"/>
    <w:rsid w:val="003648BB"/>
    <w:rsid w:val="00364E92"/>
    <w:rsid w:val="00365048"/>
    <w:rsid w:val="00365070"/>
    <w:rsid w:val="003651F9"/>
    <w:rsid w:val="0036523D"/>
    <w:rsid w:val="00365AE1"/>
    <w:rsid w:val="0036606B"/>
    <w:rsid w:val="00366AD7"/>
    <w:rsid w:val="003702F8"/>
    <w:rsid w:val="0037039D"/>
    <w:rsid w:val="00370599"/>
    <w:rsid w:val="00370689"/>
    <w:rsid w:val="003712C6"/>
    <w:rsid w:val="00371AD3"/>
    <w:rsid w:val="00371ED2"/>
    <w:rsid w:val="00372020"/>
    <w:rsid w:val="0037218E"/>
    <w:rsid w:val="003722AE"/>
    <w:rsid w:val="003722CD"/>
    <w:rsid w:val="00372618"/>
    <w:rsid w:val="0037296F"/>
    <w:rsid w:val="00372BC4"/>
    <w:rsid w:val="00372DCF"/>
    <w:rsid w:val="003730EB"/>
    <w:rsid w:val="003731FD"/>
    <w:rsid w:val="00373370"/>
    <w:rsid w:val="00373583"/>
    <w:rsid w:val="00373925"/>
    <w:rsid w:val="00373A69"/>
    <w:rsid w:val="00374477"/>
    <w:rsid w:val="003755B4"/>
    <w:rsid w:val="00375681"/>
    <w:rsid w:val="00375B09"/>
    <w:rsid w:val="00375E13"/>
    <w:rsid w:val="0037609C"/>
    <w:rsid w:val="0037610E"/>
    <w:rsid w:val="003766A5"/>
    <w:rsid w:val="003767C5"/>
    <w:rsid w:val="00376959"/>
    <w:rsid w:val="00376B9D"/>
    <w:rsid w:val="00376E9A"/>
    <w:rsid w:val="00377716"/>
    <w:rsid w:val="00377DAB"/>
    <w:rsid w:val="00377EFA"/>
    <w:rsid w:val="003811A9"/>
    <w:rsid w:val="00381258"/>
    <w:rsid w:val="00381802"/>
    <w:rsid w:val="00381BF7"/>
    <w:rsid w:val="0038208E"/>
    <w:rsid w:val="00382547"/>
    <w:rsid w:val="0038270C"/>
    <w:rsid w:val="0038286D"/>
    <w:rsid w:val="00382A5F"/>
    <w:rsid w:val="00382CDB"/>
    <w:rsid w:val="00383073"/>
    <w:rsid w:val="003833AA"/>
    <w:rsid w:val="00383C9D"/>
    <w:rsid w:val="003851F6"/>
    <w:rsid w:val="00385204"/>
    <w:rsid w:val="003855C6"/>
    <w:rsid w:val="003856F0"/>
    <w:rsid w:val="00385829"/>
    <w:rsid w:val="00385F66"/>
    <w:rsid w:val="003865AF"/>
    <w:rsid w:val="003868DF"/>
    <w:rsid w:val="00386C94"/>
    <w:rsid w:val="00386FF6"/>
    <w:rsid w:val="003876A0"/>
    <w:rsid w:val="003879F1"/>
    <w:rsid w:val="00387D7A"/>
    <w:rsid w:val="00387DD1"/>
    <w:rsid w:val="003903A3"/>
    <w:rsid w:val="00390647"/>
    <w:rsid w:val="00390695"/>
    <w:rsid w:val="003906F7"/>
    <w:rsid w:val="0039084F"/>
    <w:rsid w:val="00390AF7"/>
    <w:rsid w:val="00390B14"/>
    <w:rsid w:val="00390C54"/>
    <w:rsid w:val="003911F2"/>
    <w:rsid w:val="00391574"/>
    <w:rsid w:val="003918A1"/>
    <w:rsid w:val="00391967"/>
    <w:rsid w:val="00391BE3"/>
    <w:rsid w:val="00393561"/>
    <w:rsid w:val="00393AAC"/>
    <w:rsid w:val="00393EB7"/>
    <w:rsid w:val="00394BF0"/>
    <w:rsid w:val="00394DF1"/>
    <w:rsid w:val="003958BE"/>
    <w:rsid w:val="00395C28"/>
    <w:rsid w:val="00395DC5"/>
    <w:rsid w:val="0039617F"/>
    <w:rsid w:val="00396F06"/>
    <w:rsid w:val="00396FFA"/>
    <w:rsid w:val="003971FC"/>
    <w:rsid w:val="003976B7"/>
    <w:rsid w:val="003978FA"/>
    <w:rsid w:val="00397B99"/>
    <w:rsid w:val="00397BAD"/>
    <w:rsid w:val="003A03F8"/>
    <w:rsid w:val="003A04CF"/>
    <w:rsid w:val="003A0517"/>
    <w:rsid w:val="003A0752"/>
    <w:rsid w:val="003A0FEE"/>
    <w:rsid w:val="003A1049"/>
    <w:rsid w:val="003A17D2"/>
    <w:rsid w:val="003A18D9"/>
    <w:rsid w:val="003A1D40"/>
    <w:rsid w:val="003A20C1"/>
    <w:rsid w:val="003A21C6"/>
    <w:rsid w:val="003A2697"/>
    <w:rsid w:val="003A26CE"/>
    <w:rsid w:val="003A271C"/>
    <w:rsid w:val="003A27AF"/>
    <w:rsid w:val="003A28CB"/>
    <w:rsid w:val="003A3219"/>
    <w:rsid w:val="003A34C1"/>
    <w:rsid w:val="003A3B11"/>
    <w:rsid w:val="003A3B42"/>
    <w:rsid w:val="003A3CBF"/>
    <w:rsid w:val="003A3E13"/>
    <w:rsid w:val="003A47EA"/>
    <w:rsid w:val="003A4AC6"/>
    <w:rsid w:val="003A4D1E"/>
    <w:rsid w:val="003A4D72"/>
    <w:rsid w:val="003A5162"/>
    <w:rsid w:val="003A5203"/>
    <w:rsid w:val="003A557F"/>
    <w:rsid w:val="003A5961"/>
    <w:rsid w:val="003A6220"/>
    <w:rsid w:val="003A754D"/>
    <w:rsid w:val="003A7E78"/>
    <w:rsid w:val="003A7FE6"/>
    <w:rsid w:val="003B0519"/>
    <w:rsid w:val="003B08D3"/>
    <w:rsid w:val="003B0F17"/>
    <w:rsid w:val="003B153D"/>
    <w:rsid w:val="003B17EE"/>
    <w:rsid w:val="003B1BA9"/>
    <w:rsid w:val="003B1E70"/>
    <w:rsid w:val="003B2820"/>
    <w:rsid w:val="003B3618"/>
    <w:rsid w:val="003B4615"/>
    <w:rsid w:val="003B4717"/>
    <w:rsid w:val="003B51CE"/>
    <w:rsid w:val="003B556E"/>
    <w:rsid w:val="003B56A1"/>
    <w:rsid w:val="003B5752"/>
    <w:rsid w:val="003B5B64"/>
    <w:rsid w:val="003B5DBC"/>
    <w:rsid w:val="003B659C"/>
    <w:rsid w:val="003B685B"/>
    <w:rsid w:val="003B6863"/>
    <w:rsid w:val="003B6EFD"/>
    <w:rsid w:val="003B6FE5"/>
    <w:rsid w:val="003B7432"/>
    <w:rsid w:val="003B7588"/>
    <w:rsid w:val="003B7B8B"/>
    <w:rsid w:val="003B7D33"/>
    <w:rsid w:val="003C02AD"/>
    <w:rsid w:val="003C03DA"/>
    <w:rsid w:val="003C046E"/>
    <w:rsid w:val="003C0546"/>
    <w:rsid w:val="003C0ADA"/>
    <w:rsid w:val="003C0D0D"/>
    <w:rsid w:val="003C1198"/>
    <w:rsid w:val="003C1286"/>
    <w:rsid w:val="003C18BB"/>
    <w:rsid w:val="003C196A"/>
    <w:rsid w:val="003C1A3C"/>
    <w:rsid w:val="003C1BB4"/>
    <w:rsid w:val="003C1EB8"/>
    <w:rsid w:val="003C20D7"/>
    <w:rsid w:val="003C2A45"/>
    <w:rsid w:val="003C2C4B"/>
    <w:rsid w:val="003C3669"/>
    <w:rsid w:val="003C37AF"/>
    <w:rsid w:val="003C3B9C"/>
    <w:rsid w:val="003C3D1C"/>
    <w:rsid w:val="003C3F16"/>
    <w:rsid w:val="003C3FFE"/>
    <w:rsid w:val="003C4D55"/>
    <w:rsid w:val="003C520A"/>
    <w:rsid w:val="003C5640"/>
    <w:rsid w:val="003C6445"/>
    <w:rsid w:val="003C646B"/>
    <w:rsid w:val="003C65FD"/>
    <w:rsid w:val="003C671A"/>
    <w:rsid w:val="003C67C3"/>
    <w:rsid w:val="003C6863"/>
    <w:rsid w:val="003C69D4"/>
    <w:rsid w:val="003C6A8E"/>
    <w:rsid w:val="003C6F1D"/>
    <w:rsid w:val="003D019B"/>
    <w:rsid w:val="003D0504"/>
    <w:rsid w:val="003D06F0"/>
    <w:rsid w:val="003D0A77"/>
    <w:rsid w:val="003D0A81"/>
    <w:rsid w:val="003D1120"/>
    <w:rsid w:val="003D14D1"/>
    <w:rsid w:val="003D1520"/>
    <w:rsid w:val="003D1EED"/>
    <w:rsid w:val="003D21CE"/>
    <w:rsid w:val="003D248D"/>
    <w:rsid w:val="003D2584"/>
    <w:rsid w:val="003D31FA"/>
    <w:rsid w:val="003D3E0A"/>
    <w:rsid w:val="003D3FF3"/>
    <w:rsid w:val="003D41E2"/>
    <w:rsid w:val="003D4333"/>
    <w:rsid w:val="003D455E"/>
    <w:rsid w:val="003D4A09"/>
    <w:rsid w:val="003D4B6A"/>
    <w:rsid w:val="003D4DAA"/>
    <w:rsid w:val="003D5159"/>
    <w:rsid w:val="003D5199"/>
    <w:rsid w:val="003D51A4"/>
    <w:rsid w:val="003D52A9"/>
    <w:rsid w:val="003D5B3D"/>
    <w:rsid w:val="003D5E96"/>
    <w:rsid w:val="003D5EBC"/>
    <w:rsid w:val="003D614A"/>
    <w:rsid w:val="003D61A1"/>
    <w:rsid w:val="003D6256"/>
    <w:rsid w:val="003D65E8"/>
    <w:rsid w:val="003D6848"/>
    <w:rsid w:val="003D6C67"/>
    <w:rsid w:val="003D6F19"/>
    <w:rsid w:val="003D7020"/>
    <w:rsid w:val="003D7024"/>
    <w:rsid w:val="003D796F"/>
    <w:rsid w:val="003D7EB1"/>
    <w:rsid w:val="003E02C8"/>
    <w:rsid w:val="003E072C"/>
    <w:rsid w:val="003E0856"/>
    <w:rsid w:val="003E0A8F"/>
    <w:rsid w:val="003E0ABD"/>
    <w:rsid w:val="003E0B09"/>
    <w:rsid w:val="003E0BED"/>
    <w:rsid w:val="003E11B9"/>
    <w:rsid w:val="003E1D9B"/>
    <w:rsid w:val="003E1F46"/>
    <w:rsid w:val="003E1FD2"/>
    <w:rsid w:val="003E2521"/>
    <w:rsid w:val="003E26D0"/>
    <w:rsid w:val="003E2A5B"/>
    <w:rsid w:val="003E2C16"/>
    <w:rsid w:val="003E3202"/>
    <w:rsid w:val="003E33EE"/>
    <w:rsid w:val="003E3888"/>
    <w:rsid w:val="003E3D02"/>
    <w:rsid w:val="003E4027"/>
    <w:rsid w:val="003E412F"/>
    <w:rsid w:val="003E4279"/>
    <w:rsid w:val="003E4C53"/>
    <w:rsid w:val="003E4F17"/>
    <w:rsid w:val="003E50CB"/>
    <w:rsid w:val="003E5278"/>
    <w:rsid w:val="003E56D1"/>
    <w:rsid w:val="003E56ED"/>
    <w:rsid w:val="003E5784"/>
    <w:rsid w:val="003E5955"/>
    <w:rsid w:val="003E6039"/>
    <w:rsid w:val="003E609A"/>
    <w:rsid w:val="003E64DD"/>
    <w:rsid w:val="003E66AB"/>
    <w:rsid w:val="003E678F"/>
    <w:rsid w:val="003E68FD"/>
    <w:rsid w:val="003E69A3"/>
    <w:rsid w:val="003E6A89"/>
    <w:rsid w:val="003E6ADA"/>
    <w:rsid w:val="003E7048"/>
    <w:rsid w:val="003E7378"/>
    <w:rsid w:val="003E7902"/>
    <w:rsid w:val="003F011B"/>
    <w:rsid w:val="003F07BA"/>
    <w:rsid w:val="003F0F22"/>
    <w:rsid w:val="003F106F"/>
    <w:rsid w:val="003F14CB"/>
    <w:rsid w:val="003F14EB"/>
    <w:rsid w:val="003F1985"/>
    <w:rsid w:val="003F19B0"/>
    <w:rsid w:val="003F23FB"/>
    <w:rsid w:val="003F313D"/>
    <w:rsid w:val="003F3726"/>
    <w:rsid w:val="003F388A"/>
    <w:rsid w:val="003F4405"/>
    <w:rsid w:val="003F4557"/>
    <w:rsid w:val="003F4846"/>
    <w:rsid w:val="003F4D7E"/>
    <w:rsid w:val="003F5562"/>
    <w:rsid w:val="003F5CF5"/>
    <w:rsid w:val="003F6148"/>
    <w:rsid w:val="003F67F0"/>
    <w:rsid w:val="003F6ABD"/>
    <w:rsid w:val="003F705A"/>
    <w:rsid w:val="003F74C9"/>
    <w:rsid w:val="003F7ADD"/>
    <w:rsid w:val="004000E6"/>
    <w:rsid w:val="004001CD"/>
    <w:rsid w:val="00400A92"/>
    <w:rsid w:val="00400B31"/>
    <w:rsid w:val="00400D87"/>
    <w:rsid w:val="00400D95"/>
    <w:rsid w:val="004011C3"/>
    <w:rsid w:val="004016B4"/>
    <w:rsid w:val="00401779"/>
    <w:rsid w:val="00401883"/>
    <w:rsid w:val="00401C8A"/>
    <w:rsid w:val="00401D31"/>
    <w:rsid w:val="00401EAF"/>
    <w:rsid w:val="0040259B"/>
    <w:rsid w:val="00402A04"/>
    <w:rsid w:val="00402AB6"/>
    <w:rsid w:val="00402AF1"/>
    <w:rsid w:val="00402DB4"/>
    <w:rsid w:val="00402EAD"/>
    <w:rsid w:val="004034B8"/>
    <w:rsid w:val="0040362B"/>
    <w:rsid w:val="0040367C"/>
    <w:rsid w:val="0040380E"/>
    <w:rsid w:val="004039F5"/>
    <w:rsid w:val="00403B07"/>
    <w:rsid w:val="00403C2A"/>
    <w:rsid w:val="004040B7"/>
    <w:rsid w:val="00404820"/>
    <w:rsid w:val="00404D3E"/>
    <w:rsid w:val="00404DD1"/>
    <w:rsid w:val="004053A0"/>
    <w:rsid w:val="00406109"/>
    <w:rsid w:val="004062E7"/>
    <w:rsid w:val="004062F1"/>
    <w:rsid w:val="00406725"/>
    <w:rsid w:val="00406780"/>
    <w:rsid w:val="00406C23"/>
    <w:rsid w:val="00406D1F"/>
    <w:rsid w:val="00406FC9"/>
    <w:rsid w:val="00406FCE"/>
    <w:rsid w:val="00407217"/>
    <w:rsid w:val="0040798A"/>
    <w:rsid w:val="00407A30"/>
    <w:rsid w:val="00407A5E"/>
    <w:rsid w:val="00407B79"/>
    <w:rsid w:val="00407EA8"/>
    <w:rsid w:val="004101AE"/>
    <w:rsid w:val="00410416"/>
    <w:rsid w:val="00410485"/>
    <w:rsid w:val="004107FD"/>
    <w:rsid w:val="00410813"/>
    <w:rsid w:val="00410A06"/>
    <w:rsid w:val="00410B4A"/>
    <w:rsid w:val="00410C72"/>
    <w:rsid w:val="0041120F"/>
    <w:rsid w:val="00411741"/>
    <w:rsid w:val="004119FF"/>
    <w:rsid w:val="00411AD1"/>
    <w:rsid w:val="00411E4F"/>
    <w:rsid w:val="00412432"/>
    <w:rsid w:val="004126EA"/>
    <w:rsid w:val="00412969"/>
    <w:rsid w:val="00412A5B"/>
    <w:rsid w:val="00412CBE"/>
    <w:rsid w:val="00412CF4"/>
    <w:rsid w:val="00412E08"/>
    <w:rsid w:val="00413128"/>
    <w:rsid w:val="0041393A"/>
    <w:rsid w:val="00413B28"/>
    <w:rsid w:val="00413F41"/>
    <w:rsid w:val="0041452F"/>
    <w:rsid w:val="00414918"/>
    <w:rsid w:val="00415715"/>
    <w:rsid w:val="00415761"/>
    <w:rsid w:val="004157B8"/>
    <w:rsid w:val="00415D2B"/>
    <w:rsid w:val="00415D86"/>
    <w:rsid w:val="00416223"/>
    <w:rsid w:val="00416293"/>
    <w:rsid w:val="004162A5"/>
    <w:rsid w:val="00416990"/>
    <w:rsid w:val="004176DA"/>
    <w:rsid w:val="004178DC"/>
    <w:rsid w:val="00417C1C"/>
    <w:rsid w:val="00417C69"/>
    <w:rsid w:val="00417E5A"/>
    <w:rsid w:val="00417EEF"/>
    <w:rsid w:val="00420022"/>
    <w:rsid w:val="00420220"/>
    <w:rsid w:val="004207E7"/>
    <w:rsid w:val="004207FE"/>
    <w:rsid w:val="00420A68"/>
    <w:rsid w:val="00420BD8"/>
    <w:rsid w:val="00421759"/>
    <w:rsid w:val="0042196E"/>
    <w:rsid w:val="00421B93"/>
    <w:rsid w:val="00422487"/>
    <w:rsid w:val="004225B8"/>
    <w:rsid w:val="004226B8"/>
    <w:rsid w:val="00422967"/>
    <w:rsid w:val="00422999"/>
    <w:rsid w:val="00422B6C"/>
    <w:rsid w:val="00422C61"/>
    <w:rsid w:val="004235F4"/>
    <w:rsid w:val="0042383C"/>
    <w:rsid w:val="00423B26"/>
    <w:rsid w:val="00423FFB"/>
    <w:rsid w:val="004241E4"/>
    <w:rsid w:val="00424273"/>
    <w:rsid w:val="004244ED"/>
    <w:rsid w:val="004249B2"/>
    <w:rsid w:val="00424AC9"/>
    <w:rsid w:val="00424C7D"/>
    <w:rsid w:val="00425339"/>
    <w:rsid w:val="004253FF"/>
    <w:rsid w:val="0042543B"/>
    <w:rsid w:val="00425B16"/>
    <w:rsid w:val="00425EEF"/>
    <w:rsid w:val="0042615C"/>
    <w:rsid w:val="0042623F"/>
    <w:rsid w:val="00426280"/>
    <w:rsid w:val="0042696D"/>
    <w:rsid w:val="00426B94"/>
    <w:rsid w:val="00426BBB"/>
    <w:rsid w:val="004273BC"/>
    <w:rsid w:val="00427653"/>
    <w:rsid w:val="0042775F"/>
    <w:rsid w:val="00427E30"/>
    <w:rsid w:val="00430461"/>
    <w:rsid w:val="00430571"/>
    <w:rsid w:val="00430CAC"/>
    <w:rsid w:val="00431309"/>
    <w:rsid w:val="0043166F"/>
    <w:rsid w:val="0043172D"/>
    <w:rsid w:val="004318F5"/>
    <w:rsid w:val="00431995"/>
    <w:rsid w:val="00431BDA"/>
    <w:rsid w:val="00431DC7"/>
    <w:rsid w:val="00431FAA"/>
    <w:rsid w:val="004320BB"/>
    <w:rsid w:val="004321C4"/>
    <w:rsid w:val="00432550"/>
    <w:rsid w:val="004326B5"/>
    <w:rsid w:val="00432B39"/>
    <w:rsid w:val="00432F36"/>
    <w:rsid w:val="0043315C"/>
    <w:rsid w:val="0043367E"/>
    <w:rsid w:val="00433B86"/>
    <w:rsid w:val="00433CAD"/>
    <w:rsid w:val="00433E57"/>
    <w:rsid w:val="004341A7"/>
    <w:rsid w:val="00434521"/>
    <w:rsid w:val="00434675"/>
    <w:rsid w:val="004350C0"/>
    <w:rsid w:val="00435268"/>
    <w:rsid w:val="00435732"/>
    <w:rsid w:val="00435DF4"/>
    <w:rsid w:val="004362D9"/>
    <w:rsid w:val="00436327"/>
    <w:rsid w:val="00436552"/>
    <w:rsid w:val="0043686B"/>
    <w:rsid w:val="00436916"/>
    <w:rsid w:val="00436CC6"/>
    <w:rsid w:val="00440144"/>
    <w:rsid w:val="004403BB"/>
    <w:rsid w:val="00440731"/>
    <w:rsid w:val="00440818"/>
    <w:rsid w:val="0044125E"/>
    <w:rsid w:val="0044140D"/>
    <w:rsid w:val="004415EC"/>
    <w:rsid w:val="00441772"/>
    <w:rsid w:val="0044179A"/>
    <w:rsid w:val="00441DEC"/>
    <w:rsid w:val="00441EFC"/>
    <w:rsid w:val="00442471"/>
    <w:rsid w:val="00442645"/>
    <w:rsid w:val="004428E0"/>
    <w:rsid w:val="00442BEE"/>
    <w:rsid w:val="00442C49"/>
    <w:rsid w:val="00442D44"/>
    <w:rsid w:val="00442DBF"/>
    <w:rsid w:val="00442E2F"/>
    <w:rsid w:val="00442F70"/>
    <w:rsid w:val="0044314C"/>
    <w:rsid w:val="004440F7"/>
    <w:rsid w:val="0044425A"/>
    <w:rsid w:val="004444C5"/>
    <w:rsid w:val="0044493D"/>
    <w:rsid w:val="00444BE1"/>
    <w:rsid w:val="00444F53"/>
    <w:rsid w:val="0044501D"/>
    <w:rsid w:val="004460EF"/>
    <w:rsid w:val="004464C4"/>
    <w:rsid w:val="00446691"/>
    <w:rsid w:val="00446792"/>
    <w:rsid w:val="00446975"/>
    <w:rsid w:val="00447017"/>
    <w:rsid w:val="00447234"/>
    <w:rsid w:val="00447959"/>
    <w:rsid w:val="004479BF"/>
    <w:rsid w:val="00447DB8"/>
    <w:rsid w:val="00450260"/>
    <w:rsid w:val="00450319"/>
    <w:rsid w:val="004507FD"/>
    <w:rsid w:val="00450936"/>
    <w:rsid w:val="00450A04"/>
    <w:rsid w:val="00450DC3"/>
    <w:rsid w:val="00450E43"/>
    <w:rsid w:val="00450F39"/>
    <w:rsid w:val="00451631"/>
    <w:rsid w:val="004517FC"/>
    <w:rsid w:val="004518B8"/>
    <w:rsid w:val="0045194C"/>
    <w:rsid w:val="00451ACF"/>
    <w:rsid w:val="00451B2D"/>
    <w:rsid w:val="00451DD5"/>
    <w:rsid w:val="004523CB"/>
    <w:rsid w:val="004529E6"/>
    <w:rsid w:val="00452C51"/>
    <w:rsid w:val="00453130"/>
    <w:rsid w:val="00453603"/>
    <w:rsid w:val="00453698"/>
    <w:rsid w:val="0045380F"/>
    <w:rsid w:val="0045385F"/>
    <w:rsid w:val="0045389F"/>
    <w:rsid w:val="00453B7D"/>
    <w:rsid w:val="00453C04"/>
    <w:rsid w:val="00453CAB"/>
    <w:rsid w:val="00453F10"/>
    <w:rsid w:val="004540EA"/>
    <w:rsid w:val="0045411D"/>
    <w:rsid w:val="00454398"/>
    <w:rsid w:val="004544B0"/>
    <w:rsid w:val="0045484D"/>
    <w:rsid w:val="00454BFC"/>
    <w:rsid w:val="00454F0A"/>
    <w:rsid w:val="00454F92"/>
    <w:rsid w:val="00455346"/>
    <w:rsid w:val="00455567"/>
    <w:rsid w:val="00455A9E"/>
    <w:rsid w:val="00456854"/>
    <w:rsid w:val="004568F7"/>
    <w:rsid w:val="00456A08"/>
    <w:rsid w:val="00457021"/>
    <w:rsid w:val="00457927"/>
    <w:rsid w:val="0046049E"/>
    <w:rsid w:val="0046063F"/>
    <w:rsid w:val="00460832"/>
    <w:rsid w:val="00460BBA"/>
    <w:rsid w:val="00460C90"/>
    <w:rsid w:val="00460D77"/>
    <w:rsid w:val="00461106"/>
    <w:rsid w:val="00461489"/>
    <w:rsid w:val="004616F8"/>
    <w:rsid w:val="0046228F"/>
    <w:rsid w:val="004622F8"/>
    <w:rsid w:val="004626AF"/>
    <w:rsid w:val="004627D6"/>
    <w:rsid w:val="00462A02"/>
    <w:rsid w:val="00462F75"/>
    <w:rsid w:val="0046382E"/>
    <w:rsid w:val="004639D7"/>
    <w:rsid w:val="00463F45"/>
    <w:rsid w:val="00463FFE"/>
    <w:rsid w:val="00464B58"/>
    <w:rsid w:val="00465142"/>
    <w:rsid w:val="0046539A"/>
    <w:rsid w:val="00465924"/>
    <w:rsid w:val="00465A2E"/>
    <w:rsid w:val="00465C86"/>
    <w:rsid w:val="004663BB"/>
    <w:rsid w:val="0046680C"/>
    <w:rsid w:val="00467040"/>
    <w:rsid w:val="00467400"/>
    <w:rsid w:val="00467C59"/>
    <w:rsid w:val="00467FD3"/>
    <w:rsid w:val="00470182"/>
    <w:rsid w:val="0047025A"/>
    <w:rsid w:val="0047051C"/>
    <w:rsid w:val="00470690"/>
    <w:rsid w:val="004706FC"/>
    <w:rsid w:val="00470EDE"/>
    <w:rsid w:val="0047123C"/>
    <w:rsid w:val="00471366"/>
    <w:rsid w:val="00471708"/>
    <w:rsid w:val="004727FB"/>
    <w:rsid w:val="00472AA1"/>
    <w:rsid w:val="00472EEC"/>
    <w:rsid w:val="00472F74"/>
    <w:rsid w:val="004730AC"/>
    <w:rsid w:val="00473341"/>
    <w:rsid w:val="00473C8D"/>
    <w:rsid w:val="00473D60"/>
    <w:rsid w:val="004740FA"/>
    <w:rsid w:val="00474267"/>
    <w:rsid w:val="004746E3"/>
    <w:rsid w:val="0047510C"/>
    <w:rsid w:val="00475110"/>
    <w:rsid w:val="0047531A"/>
    <w:rsid w:val="0047546F"/>
    <w:rsid w:val="004758DA"/>
    <w:rsid w:val="00475980"/>
    <w:rsid w:val="00475BED"/>
    <w:rsid w:val="00475E1C"/>
    <w:rsid w:val="0047621E"/>
    <w:rsid w:val="004763F8"/>
    <w:rsid w:val="004767AA"/>
    <w:rsid w:val="004769B5"/>
    <w:rsid w:val="004769DA"/>
    <w:rsid w:val="00476B4E"/>
    <w:rsid w:val="00476B97"/>
    <w:rsid w:val="00476D5C"/>
    <w:rsid w:val="00476D6C"/>
    <w:rsid w:val="004771A7"/>
    <w:rsid w:val="004771C2"/>
    <w:rsid w:val="004775B4"/>
    <w:rsid w:val="004778B5"/>
    <w:rsid w:val="00480247"/>
    <w:rsid w:val="004805AC"/>
    <w:rsid w:val="0048087C"/>
    <w:rsid w:val="00481186"/>
    <w:rsid w:val="00481242"/>
    <w:rsid w:val="00481C90"/>
    <w:rsid w:val="004823A4"/>
    <w:rsid w:val="00482AF5"/>
    <w:rsid w:val="00482CFF"/>
    <w:rsid w:val="00483237"/>
    <w:rsid w:val="004834AE"/>
    <w:rsid w:val="004834B3"/>
    <w:rsid w:val="0048359A"/>
    <w:rsid w:val="00483675"/>
    <w:rsid w:val="00483706"/>
    <w:rsid w:val="004838FB"/>
    <w:rsid w:val="004843C9"/>
    <w:rsid w:val="00484577"/>
    <w:rsid w:val="00484E70"/>
    <w:rsid w:val="004852ED"/>
    <w:rsid w:val="004854D3"/>
    <w:rsid w:val="00485529"/>
    <w:rsid w:val="00485725"/>
    <w:rsid w:val="0048583E"/>
    <w:rsid w:val="00485851"/>
    <w:rsid w:val="0048585D"/>
    <w:rsid w:val="00485C1B"/>
    <w:rsid w:val="00486D1B"/>
    <w:rsid w:val="00486E29"/>
    <w:rsid w:val="004871C9"/>
    <w:rsid w:val="00487532"/>
    <w:rsid w:val="004879A8"/>
    <w:rsid w:val="00487BF3"/>
    <w:rsid w:val="00487E06"/>
    <w:rsid w:val="00490102"/>
    <w:rsid w:val="004901D6"/>
    <w:rsid w:val="004904C9"/>
    <w:rsid w:val="004905F2"/>
    <w:rsid w:val="00490926"/>
    <w:rsid w:val="00491589"/>
    <w:rsid w:val="004916AC"/>
    <w:rsid w:val="00491952"/>
    <w:rsid w:val="00491B5A"/>
    <w:rsid w:val="00491DA9"/>
    <w:rsid w:val="00492155"/>
    <w:rsid w:val="004922FB"/>
    <w:rsid w:val="00492580"/>
    <w:rsid w:val="00492698"/>
    <w:rsid w:val="00492748"/>
    <w:rsid w:val="00492AC9"/>
    <w:rsid w:val="00493013"/>
    <w:rsid w:val="004935B0"/>
    <w:rsid w:val="0049371C"/>
    <w:rsid w:val="00493760"/>
    <w:rsid w:val="00493B5E"/>
    <w:rsid w:val="00494040"/>
    <w:rsid w:val="0049415B"/>
    <w:rsid w:val="0049478F"/>
    <w:rsid w:val="00494BE5"/>
    <w:rsid w:val="00494C1D"/>
    <w:rsid w:val="00494F23"/>
    <w:rsid w:val="00495135"/>
    <w:rsid w:val="004956E5"/>
    <w:rsid w:val="0049588C"/>
    <w:rsid w:val="00495C8D"/>
    <w:rsid w:val="00497780"/>
    <w:rsid w:val="00497796"/>
    <w:rsid w:val="00497B79"/>
    <w:rsid w:val="00497F6C"/>
    <w:rsid w:val="004A028B"/>
    <w:rsid w:val="004A064E"/>
    <w:rsid w:val="004A0B20"/>
    <w:rsid w:val="004A0E03"/>
    <w:rsid w:val="004A0EC9"/>
    <w:rsid w:val="004A1055"/>
    <w:rsid w:val="004A12D1"/>
    <w:rsid w:val="004A19EC"/>
    <w:rsid w:val="004A1D06"/>
    <w:rsid w:val="004A2233"/>
    <w:rsid w:val="004A227D"/>
    <w:rsid w:val="004A26A9"/>
    <w:rsid w:val="004A2998"/>
    <w:rsid w:val="004A29FC"/>
    <w:rsid w:val="004A2A32"/>
    <w:rsid w:val="004A2B47"/>
    <w:rsid w:val="004A3280"/>
    <w:rsid w:val="004A34AF"/>
    <w:rsid w:val="004A41B9"/>
    <w:rsid w:val="004A4488"/>
    <w:rsid w:val="004A44E5"/>
    <w:rsid w:val="004A4B00"/>
    <w:rsid w:val="004A4D2C"/>
    <w:rsid w:val="004A65D3"/>
    <w:rsid w:val="004A712F"/>
    <w:rsid w:val="004A7250"/>
    <w:rsid w:val="004B002F"/>
    <w:rsid w:val="004B004E"/>
    <w:rsid w:val="004B0278"/>
    <w:rsid w:val="004B03B8"/>
    <w:rsid w:val="004B05F2"/>
    <w:rsid w:val="004B0AB3"/>
    <w:rsid w:val="004B0FB5"/>
    <w:rsid w:val="004B1069"/>
    <w:rsid w:val="004B110E"/>
    <w:rsid w:val="004B131E"/>
    <w:rsid w:val="004B1525"/>
    <w:rsid w:val="004B2461"/>
    <w:rsid w:val="004B2934"/>
    <w:rsid w:val="004B3399"/>
    <w:rsid w:val="004B3AEE"/>
    <w:rsid w:val="004B4380"/>
    <w:rsid w:val="004B479F"/>
    <w:rsid w:val="004B487D"/>
    <w:rsid w:val="004B5330"/>
    <w:rsid w:val="004B575B"/>
    <w:rsid w:val="004B58E9"/>
    <w:rsid w:val="004B5E2D"/>
    <w:rsid w:val="004B5FBD"/>
    <w:rsid w:val="004B680D"/>
    <w:rsid w:val="004B6890"/>
    <w:rsid w:val="004B6D5D"/>
    <w:rsid w:val="004B73B7"/>
    <w:rsid w:val="004B782E"/>
    <w:rsid w:val="004B7A21"/>
    <w:rsid w:val="004C0349"/>
    <w:rsid w:val="004C0499"/>
    <w:rsid w:val="004C060A"/>
    <w:rsid w:val="004C0854"/>
    <w:rsid w:val="004C0869"/>
    <w:rsid w:val="004C0EA2"/>
    <w:rsid w:val="004C0F92"/>
    <w:rsid w:val="004C1085"/>
    <w:rsid w:val="004C13A3"/>
    <w:rsid w:val="004C13F5"/>
    <w:rsid w:val="004C1E5A"/>
    <w:rsid w:val="004C21C5"/>
    <w:rsid w:val="004C2345"/>
    <w:rsid w:val="004C2384"/>
    <w:rsid w:val="004C283E"/>
    <w:rsid w:val="004C289E"/>
    <w:rsid w:val="004C2994"/>
    <w:rsid w:val="004C2A74"/>
    <w:rsid w:val="004C3EE1"/>
    <w:rsid w:val="004C3F0B"/>
    <w:rsid w:val="004C4525"/>
    <w:rsid w:val="004C4EB6"/>
    <w:rsid w:val="004C5237"/>
    <w:rsid w:val="004C56D0"/>
    <w:rsid w:val="004C594D"/>
    <w:rsid w:val="004C5E2F"/>
    <w:rsid w:val="004C634D"/>
    <w:rsid w:val="004C643C"/>
    <w:rsid w:val="004C656D"/>
    <w:rsid w:val="004C7116"/>
    <w:rsid w:val="004C7EA3"/>
    <w:rsid w:val="004C7F66"/>
    <w:rsid w:val="004D00E7"/>
    <w:rsid w:val="004D06C2"/>
    <w:rsid w:val="004D0B34"/>
    <w:rsid w:val="004D1473"/>
    <w:rsid w:val="004D1573"/>
    <w:rsid w:val="004D159E"/>
    <w:rsid w:val="004D1B1E"/>
    <w:rsid w:val="004D1E30"/>
    <w:rsid w:val="004D1E78"/>
    <w:rsid w:val="004D2322"/>
    <w:rsid w:val="004D2C19"/>
    <w:rsid w:val="004D37E3"/>
    <w:rsid w:val="004D3EAE"/>
    <w:rsid w:val="004D3F9A"/>
    <w:rsid w:val="004D51D1"/>
    <w:rsid w:val="004D56A8"/>
    <w:rsid w:val="004D58B7"/>
    <w:rsid w:val="004D5AEC"/>
    <w:rsid w:val="004D5F25"/>
    <w:rsid w:val="004D6064"/>
    <w:rsid w:val="004D6135"/>
    <w:rsid w:val="004D671F"/>
    <w:rsid w:val="004D6A1A"/>
    <w:rsid w:val="004D6B17"/>
    <w:rsid w:val="004D6CB7"/>
    <w:rsid w:val="004D6E04"/>
    <w:rsid w:val="004D7315"/>
    <w:rsid w:val="004D7397"/>
    <w:rsid w:val="004D7471"/>
    <w:rsid w:val="004D7826"/>
    <w:rsid w:val="004E033C"/>
    <w:rsid w:val="004E05FA"/>
    <w:rsid w:val="004E0761"/>
    <w:rsid w:val="004E15A4"/>
    <w:rsid w:val="004E1A1F"/>
    <w:rsid w:val="004E1C97"/>
    <w:rsid w:val="004E1D7E"/>
    <w:rsid w:val="004E1E39"/>
    <w:rsid w:val="004E2135"/>
    <w:rsid w:val="004E2336"/>
    <w:rsid w:val="004E2F31"/>
    <w:rsid w:val="004E34FF"/>
    <w:rsid w:val="004E3BA1"/>
    <w:rsid w:val="004E3CC0"/>
    <w:rsid w:val="004E3D5A"/>
    <w:rsid w:val="004E42DD"/>
    <w:rsid w:val="004E5136"/>
    <w:rsid w:val="004E5188"/>
    <w:rsid w:val="004E56A7"/>
    <w:rsid w:val="004E5820"/>
    <w:rsid w:val="004E5966"/>
    <w:rsid w:val="004E5CDA"/>
    <w:rsid w:val="004E61ED"/>
    <w:rsid w:val="004E668B"/>
    <w:rsid w:val="004E6937"/>
    <w:rsid w:val="004E6C47"/>
    <w:rsid w:val="004E6F31"/>
    <w:rsid w:val="004E733D"/>
    <w:rsid w:val="004F0866"/>
    <w:rsid w:val="004F0E3B"/>
    <w:rsid w:val="004F0FEC"/>
    <w:rsid w:val="004F141B"/>
    <w:rsid w:val="004F150E"/>
    <w:rsid w:val="004F175C"/>
    <w:rsid w:val="004F1B4F"/>
    <w:rsid w:val="004F1C31"/>
    <w:rsid w:val="004F1CFA"/>
    <w:rsid w:val="004F1DAA"/>
    <w:rsid w:val="004F26D4"/>
    <w:rsid w:val="004F27EE"/>
    <w:rsid w:val="004F2C45"/>
    <w:rsid w:val="004F2E65"/>
    <w:rsid w:val="004F2F5C"/>
    <w:rsid w:val="004F336F"/>
    <w:rsid w:val="004F37EB"/>
    <w:rsid w:val="004F3B28"/>
    <w:rsid w:val="004F3ED9"/>
    <w:rsid w:val="004F41D8"/>
    <w:rsid w:val="004F46B4"/>
    <w:rsid w:val="004F4D8C"/>
    <w:rsid w:val="004F50F4"/>
    <w:rsid w:val="004F5115"/>
    <w:rsid w:val="004F51FA"/>
    <w:rsid w:val="004F5E97"/>
    <w:rsid w:val="004F69D2"/>
    <w:rsid w:val="004F6A97"/>
    <w:rsid w:val="004F6D1A"/>
    <w:rsid w:val="004F716C"/>
    <w:rsid w:val="004F7740"/>
    <w:rsid w:val="004F79C6"/>
    <w:rsid w:val="004F7D32"/>
    <w:rsid w:val="00500CD3"/>
    <w:rsid w:val="00500D12"/>
    <w:rsid w:val="00500FA1"/>
    <w:rsid w:val="0050109C"/>
    <w:rsid w:val="005010C6"/>
    <w:rsid w:val="00501171"/>
    <w:rsid w:val="00501A42"/>
    <w:rsid w:val="005026A5"/>
    <w:rsid w:val="00502AE9"/>
    <w:rsid w:val="00502BE1"/>
    <w:rsid w:val="00502D1D"/>
    <w:rsid w:val="00502F2E"/>
    <w:rsid w:val="005032EB"/>
    <w:rsid w:val="00503480"/>
    <w:rsid w:val="00503833"/>
    <w:rsid w:val="00503A79"/>
    <w:rsid w:val="00503BE9"/>
    <w:rsid w:val="00503DA4"/>
    <w:rsid w:val="00503E84"/>
    <w:rsid w:val="00503EF1"/>
    <w:rsid w:val="00504137"/>
    <w:rsid w:val="00504249"/>
    <w:rsid w:val="005047BF"/>
    <w:rsid w:val="005049A4"/>
    <w:rsid w:val="00504B21"/>
    <w:rsid w:val="00504CCC"/>
    <w:rsid w:val="0050512A"/>
    <w:rsid w:val="00505793"/>
    <w:rsid w:val="005059A7"/>
    <w:rsid w:val="005059CA"/>
    <w:rsid w:val="00505B1E"/>
    <w:rsid w:val="00505EE7"/>
    <w:rsid w:val="00505FAC"/>
    <w:rsid w:val="00506C20"/>
    <w:rsid w:val="0050723C"/>
    <w:rsid w:val="00507413"/>
    <w:rsid w:val="0050770C"/>
    <w:rsid w:val="00507735"/>
    <w:rsid w:val="005078B7"/>
    <w:rsid w:val="00507D41"/>
    <w:rsid w:val="00507DF0"/>
    <w:rsid w:val="00507EEA"/>
    <w:rsid w:val="00507F80"/>
    <w:rsid w:val="00507F9B"/>
    <w:rsid w:val="00510253"/>
    <w:rsid w:val="00510569"/>
    <w:rsid w:val="00510834"/>
    <w:rsid w:val="00510C13"/>
    <w:rsid w:val="005113B9"/>
    <w:rsid w:val="00511944"/>
    <w:rsid w:val="00512068"/>
    <w:rsid w:val="00512600"/>
    <w:rsid w:val="00512B79"/>
    <w:rsid w:val="00512E76"/>
    <w:rsid w:val="00513110"/>
    <w:rsid w:val="00513197"/>
    <w:rsid w:val="005134B2"/>
    <w:rsid w:val="0051380B"/>
    <w:rsid w:val="00513B3A"/>
    <w:rsid w:val="00513F56"/>
    <w:rsid w:val="00514288"/>
    <w:rsid w:val="00514750"/>
    <w:rsid w:val="0051478F"/>
    <w:rsid w:val="00514B05"/>
    <w:rsid w:val="00514E2C"/>
    <w:rsid w:val="0051541E"/>
    <w:rsid w:val="005155C5"/>
    <w:rsid w:val="0051561B"/>
    <w:rsid w:val="0051569B"/>
    <w:rsid w:val="00515A37"/>
    <w:rsid w:val="00515A7A"/>
    <w:rsid w:val="00515F9F"/>
    <w:rsid w:val="0051675D"/>
    <w:rsid w:val="00516C1C"/>
    <w:rsid w:val="00517972"/>
    <w:rsid w:val="0052011F"/>
    <w:rsid w:val="0052062F"/>
    <w:rsid w:val="00520A66"/>
    <w:rsid w:val="00520D60"/>
    <w:rsid w:val="0052142A"/>
    <w:rsid w:val="00521797"/>
    <w:rsid w:val="00521D46"/>
    <w:rsid w:val="005221B2"/>
    <w:rsid w:val="005224FF"/>
    <w:rsid w:val="0052275D"/>
    <w:rsid w:val="00522858"/>
    <w:rsid w:val="0052297C"/>
    <w:rsid w:val="00522A09"/>
    <w:rsid w:val="00522ADC"/>
    <w:rsid w:val="00522EE3"/>
    <w:rsid w:val="00523402"/>
    <w:rsid w:val="00523417"/>
    <w:rsid w:val="00523601"/>
    <w:rsid w:val="00523829"/>
    <w:rsid w:val="00524853"/>
    <w:rsid w:val="005253BE"/>
    <w:rsid w:val="005258BF"/>
    <w:rsid w:val="00525C19"/>
    <w:rsid w:val="00526038"/>
    <w:rsid w:val="005265EF"/>
    <w:rsid w:val="00526700"/>
    <w:rsid w:val="005269A2"/>
    <w:rsid w:val="00526CF2"/>
    <w:rsid w:val="00526EDE"/>
    <w:rsid w:val="005274DE"/>
    <w:rsid w:val="00527D7F"/>
    <w:rsid w:val="00530BAA"/>
    <w:rsid w:val="00530D14"/>
    <w:rsid w:val="0053133F"/>
    <w:rsid w:val="005329F5"/>
    <w:rsid w:val="00532BF1"/>
    <w:rsid w:val="00532CAE"/>
    <w:rsid w:val="00532E70"/>
    <w:rsid w:val="00532FA4"/>
    <w:rsid w:val="00533705"/>
    <w:rsid w:val="00533893"/>
    <w:rsid w:val="0053391D"/>
    <w:rsid w:val="00533CE7"/>
    <w:rsid w:val="00533D98"/>
    <w:rsid w:val="00533DB7"/>
    <w:rsid w:val="00533E41"/>
    <w:rsid w:val="005340D6"/>
    <w:rsid w:val="005348B6"/>
    <w:rsid w:val="00534AC3"/>
    <w:rsid w:val="00535981"/>
    <w:rsid w:val="00535EB3"/>
    <w:rsid w:val="0053605B"/>
    <w:rsid w:val="00536112"/>
    <w:rsid w:val="00536444"/>
    <w:rsid w:val="00536886"/>
    <w:rsid w:val="0053691E"/>
    <w:rsid w:val="00536922"/>
    <w:rsid w:val="00536B83"/>
    <w:rsid w:val="00536ED2"/>
    <w:rsid w:val="005370FB"/>
    <w:rsid w:val="0053793B"/>
    <w:rsid w:val="00537B44"/>
    <w:rsid w:val="00540462"/>
    <w:rsid w:val="005406B7"/>
    <w:rsid w:val="0054087E"/>
    <w:rsid w:val="0054098E"/>
    <w:rsid w:val="00540C3D"/>
    <w:rsid w:val="00540E5E"/>
    <w:rsid w:val="00540E84"/>
    <w:rsid w:val="00540E9C"/>
    <w:rsid w:val="005418FB"/>
    <w:rsid w:val="00541E16"/>
    <w:rsid w:val="00541FC3"/>
    <w:rsid w:val="00542473"/>
    <w:rsid w:val="005428AC"/>
    <w:rsid w:val="005432E8"/>
    <w:rsid w:val="0054338B"/>
    <w:rsid w:val="00543603"/>
    <w:rsid w:val="005437BE"/>
    <w:rsid w:val="0054428D"/>
    <w:rsid w:val="005443BC"/>
    <w:rsid w:val="005448F8"/>
    <w:rsid w:val="0054490A"/>
    <w:rsid w:val="005449B1"/>
    <w:rsid w:val="00544C75"/>
    <w:rsid w:val="00545118"/>
    <w:rsid w:val="005456A4"/>
    <w:rsid w:val="0054572E"/>
    <w:rsid w:val="005459F8"/>
    <w:rsid w:val="00545C2D"/>
    <w:rsid w:val="005468DA"/>
    <w:rsid w:val="00546C38"/>
    <w:rsid w:val="005475C1"/>
    <w:rsid w:val="00547DE6"/>
    <w:rsid w:val="005513AA"/>
    <w:rsid w:val="0055180C"/>
    <w:rsid w:val="00552141"/>
    <w:rsid w:val="005522E3"/>
    <w:rsid w:val="0055236D"/>
    <w:rsid w:val="005523AB"/>
    <w:rsid w:val="005525F3"/>
    <w:rsid w:val="005526F7"/>
    <w:rsid w:val="00552727"/>
    <w:rsid w:val="0055308F"/>
    <w:rsid w:val="0055328D"/>
    <w:rsid w:val="00553D4F"/>
    <w:rsid w:val="00554970"/>
    <w:rsid w:val="005549BD"/>
    <w:rsid w:val="00554A4E"/>
    <w:rsid w:val="00554DD0"/>
    <w:rsid w:val="00554ED1"/>
    <w:rsid w:val="00555232"/>
    <w:rsid w:val="005552A7"/>
    <w:rsid w:val="00555334"/>
    <w:rsid w:val="00555538"/>
    <w:rsid w:val="00555620"/>
    <w:rsid w:val="00555FD7"/>
    <w:rsid w:val="0055601D"/>
    <w:rsid w:val="00556038"/>
    <w:rsid w:val="005561D6"/>
    <w:rsid w:val="005565D9"/>
    <w:rsid w:val="00556A18"/>
    <w:rsid w:val="00556B22"/>
    <w:rsid w:val="00557157"/>
    <w:rsid w:val="005577CA"/>
    <w:rsid w:val="00557E3A"/>
    <w:rsid w:val="00560033"/>
    <w:rsid w:val="005601A1"/>
    <w:rsid w:val="00560248"/>
    <w:rsid w:val="005609C7"/>
    <w:rsid w:val="00561232"/>
    <w:rsid w:val="0056178C"/>
    <w:rsid w:val="00561A63"/>
    <w:rsid w:val="00561CE5"/>
    <w:rsid w:val="00562306"/>
    <w:rsid w:val="0056251B"/>
    <w:rsid w:val="00562738"/>
    <w:rsid w:val="00562804"/>
    <w:rsid w:val="00562A94"/>
    <w:rsid w:val="00562CF2"/>
    <w:rsid w:val="00562D01"/>
    <w:rsid w:val="00562D81"/>
    <w:rsid w:val="00562F54"/>
    <w:rsid w:val="0056310D"/>
    <w:rsid w:val="0056375F"/>
    <w:rsid w:val="00563C0D"/>
    <w:rsid w:val="00564925"/>
    <w:rsid w:val="00564C22"/>
    <w:rsid w:val="00564EDE"/>
    <w:rsid w:val="005651E7"/>
    <w:rsid w:val="00565878"/>
    <w:rsid w:val="00565D2E"/>
    <w:rsid w:val="00566053"/>
    <w:rsid w:val="0056634A"/>
    <w:rsid w:val="00566486"/>
    <w:rsid w:val="00566883"/>
    <w:rsid w:val="0056698E"/>
    <w:rsid w:val="00566B16"/>
    <w:rsid w:val="00566F31"/>
    <w:rsid w:val="0056726D"/>
    <w:rsid w:val="00567484"/>
    <w:rsid w:val="00567CD2"/>
    <w:rsid w:val="00567E99"/>
    <w:rsid w:val="00567EF9"/>
    <w:rsid w:val="005702BA"/>
    <w:rsid w:val="00570743"/>
    <w:rsid w:val="005707FE"/>
    <w:rsid w:val="00570DEF"/>
    <w:rsid w:val="005714F4"/>
    <w:rsid w:val="005718B7"/>
    <w:rsid w:val="005719F3"/>
    <w:rsid w:val="00571CA2"/>
    <w:rsid w:val="005723B1"/>
    <w:rsid w:val="005726B2"/>
    <w:rsid w:val="00572DE9"/>
    <w:rsid w:val="00573507"/>
    <w:rsid w:val="005735CA"/>
    <w:rsid w:val="00574070"/>
    <w:rsid w:val="005743CD"/>
    <w:rsid w:val="005754A1"/>
    <w:rsid w:val="005754FA"/>
    <w:rsid w:val="00576001"/>
    <w:rsid w:val="0057695F"/>
    <w:rsid w:val="00576B7D"/>
    <w:rsid w:val="005770B8"/>
    <w:rsid w:val="00577151"/>
    <w:rsid w:val="00577294"/>
    <w:rsid w:val="00577E69"/>
    <w:rsid w:val="00580340"/>
    <w:rsid w:val="005805D8"/>
    <w:rsid w:val="005805F9"/>
    <w:rsid w:val="005806EB"/>
    <w:rsid w:val="00580A81"/>
    <w:rsid w:val="00580E1C"/>
    <w:rsid w:val="00581752"/>
    <w:rsid w:val="00581F29"/>
    <w:rsid w:val="0058272B"/>
    <w:rsid w:val="00582828"/>
    <w:rsid w:val="00583F2E"/>
    <w:rsid w:val="005841C8"/>
    <w:rsid w:val="00584321"/>
    <w:rsid w:val="005843D4"/>
    <w:rsid w:val="005845C3"/>
    <w:rsid w:val="00584770"/>
    <w:rsid w:val="005848E1"/>
    <w:rsid w:val="0058509B"/>
    <w:rsid w:val="005854AE"/>
    <w:rsid w:val="00585559"/>
    <w:rsid w:val="00585D1C"/>
    <w:rsid w:val="00585DAA"/>
    <w:rsid w:val="0058663B"/>
    <w:rsid w:val="0058677E"/>
    <w:rsid w:val="005873EE"/>
    <w:rsid w:val="00587B19"/>
    <w:rsid w:val="00590016"/>
    <w:rsid w:val="00590064"/>
    <w:rsid w:val="005900F1"/>
    <w:rsid w:val="00590A40"/>
    <w:rsid w:val="00590A6F"/>
    <w:rsid w:val="00590C3C"/>
    <w:rsid w:val="005917D2"/>
    <w:rsid w:val="005917D5"/>
    <w:rsid w:val="00591E05"/>
    <w:rsid w:val="00592456"/>
    <w:rsid w:val="005925A4"/>
    <w:rsid w:val="00592895"/>
    <w:rsid w:val="00592AB3"/>
    <w:rsid w:val="00592EF5"/>
    <w:rsid w:val="005933E5"/>
    <w:rsid w:val="00593591"/>
    <w:rsid w:val="0059370A"/>
    <w:rsid w:val="005938B0"/>
    <w:rsid w:val="00593AFC"/>
    <w:rsid w:val="00593E31"/>
    <w:rsid w:val="00594373"/>
    <w:rsid w:val="00594882"/>
    <w:rsid w:val="0059490C"/>
    <w:rsid w:val="00594C10"/>
    <w:rsid w:val="00594F61"/>
    <w:rsid w:val="00595038"/>
    <w:rsid w:val="00595210"/>
    <w:rsid w:val="0059541F"/>
    <w:rsid w:val="0059580E"/>
    <w:rsid w:val="0059582E"/>
    <w:rsid w:val="00595951"/>
    <w:rsid w:val="00595D56"/>
    <w:rsid w:val="00596082"/>
    <w:rsid w:val="00596914"/>
    <w:rsid w:val="00596A0A"/>
    <w:rsid w:val="00596B76"/>
    <w:rsid w:val="00596D76"/>
    <w:rsid w:val="00596DCA"/>
    <w:rsid w:val="00596F33"/>
    <w:rsid w:val="00596F92"/>
    <w:rsid w:val="00596F9F"/>
    <w:rsid w:val="00597BB2"/>
    <w:rsid w:val="00597F88"/>
    <w:rsid w:val="005A0769"/>
    <w:rsid w:val="005A0DA7"/>
    <w:rsid w:val="005A0DF4"/>
    <w:rsid w:val="005A0E59"/>
    <w:rsid w:val="005A1258"/>
    <w:rsid w:val="005A13F6"/>
    <w:rsid w:val="005A1B87"/>
    <w:rsid w:val="005A1DEC"/>
    <w:rsid w:val="005A239F"/>
    <w:rsid w:val="005A2639"/>
    <w:rsid w:val="005A359B"/>
    <w:rsid w:val="005A40A9"/>
    <w:rsid w:val="005A4E3D"/>
    <w:rsid w:val="005A51C7"/>
    <w:rsid w:val="005A5A77"/>
    <w:rsid w:val="005A682B"/>
    <w:rsid w:val="005A6BB7"/>
    <w:rsid w:val="005A71CD"/>
    <w:rsid w:val="005A7314"/>
    <w:rsid w:val="005A740E"/>
    <w:rsid w:val="005A747B"/>
    <w:rsid w:val="005A79F6"/>
    <w:rsid w:val="005A7CFA"/>
    <w:rsid w:val="005B083F"/>
    <w:rsid w:val="005B0C8B"/>
    <w:rsid w:val="005B10B2"/>
    <w:rsid w:val="005B10F8"/>
    <w:rsid w:val="005B136B"/>
    <w:rsid w:val="005B2519"/>
    <w:rsid w:val="005B33E0"/>
    <w:rsid w:val="005B36C2"/>
    <w:rsid w:val="005B3D57"/>
    <w:rsid w:val="005B4142"/>
    <w:rsid w:val="005B41D6"/>
    <w:rsid w:val="005B4604"/>
    <w:rsid w:val="005B4665"/>
    <w:rsid w:val="005B484E"/>
    <w:rsid w:val="005B545A"/>
    <w:rsid w:val="005B570A"/>
    <w:rsid w:val="005B59BE"/>
    <w:rsid w:val="005B5F30"/>
    <w:rsid w:val="005B644D"/>
    <w:rsid w:val="005B6748"/>
    <w:rsid w:val="005B6B58"/>
    <w:rsid w:val="005B6BBA"/>
    <w:rsid w:val="005B704B"/>
    <w:rsid w:val="005B7134"/>
    <w:rsid w:val="005B7287"/>
    <w:rsid w:val="005B75F8"/>
    <w:rsid w:val="005B7763"/>
    <w:rsid w:val="005B79C1"/>
    <w:rsid w:val="005B7D8A"/>
    <w:rsid w:val="005B7F98"/>
    <w:rsid w:val="005C03BD"/>
    <w:rsid w:val="005C088F"/>
    <w:rsid w:val="005C0BE3"/>
    <w:rsid w:val="005C0E7E"/>
    <w:rsid w:val="005C1759"/>
    <w:rsid w:val="005C1B23"/>
    <w:rsid w:val="005C223E"/>
    <w:rsid w:val="005C2539"/>
    <w:rsid w:val="005C2A45"/>
    <w:rsid w:val="005C3680"/>
    <w:rsid w:val="005C37EA"/>
    <w:rsid w:val="005C3926"/>
    <w:rsid w:val="005C40B1"/>
    <w:rsid w:val="005C446E"/>
    <w:rsid w:val="005C4B57"/>
    <w:rsid w:val="005C553D"/>
    <w:rsid w:val="005C55AB"/>
    <w:rsid w:val="005C5BD5"/>
    <w:rsid w:val="005C5E63"/>
    <w:rsid w:val="005C60A1"/>
    <w:rsid w:val="005C6A43"/>
    <w:rsid w:val="005C6EA8"/>
    <w:rsid w:val="005C7014"/>
    <w:rsid w:val="005C7103"/>
    <w:rsid w:val="005C7322"/>
    <w:rsid w:val="005C7441"/>
    <w:rsid w:val="005C77C0"/>
    <w:rsid w:val="005C7851"/>
    <w:rsid w:val="005C7B10"/>
    <w:rsid w:val="005C7C5D"/>
    <w:rsid w:val="005D0081"/>
    <w:rsid w:val="005D0774"/>
    <w:rsid w:val="005D1080"/>
    <w:rsid w:val="005D1567"/>
    <w:rsid w:val="005D15E5"/>
    <w:rsid w:val="005D16A4"/>
    <w:rsid w:val="005D1E44"/>
    <w:rsid w:val="005D2C31"/>
    <w:rsid w:val="005D3163"/>
    <w:rsid w:val="005D344B"/>
    <w:rsid w:val="005D3B94"/>
    <w:rsid w:val="005D3D87"/>
    <w:rsid w:val="005D3ED8"/>
    <w:rsid w:val="005D40D3"/>
    <w:rsid w:val="005D42D4"/>
    <w:rsid w:val="005D42EE"/>
    <w:rsid w:val="005D47D9"/>
    <w:rsid w:val="005D492D"/>
    <w:rsid w:val="005D4A00"/>
    <w:rsid w:val="005D4E4B"/>
    <w:rsid w:val="005D547A"/>
    <w:rsid w:val="005D55AD"/>
    <w:rsid w:val="005D5648"/>
    <w:rsid w:val="005D57F5"/>
    <w:rsid w:val="005D58DA"/>
    <w:rsid w:val="005D5EE7"/>
    <w:rsid w:val="005D6113"/>
    <w:rsid w:val="005D634D"/>
    <w:rsid w:val="005D6E61"/>
    <w:rsid w:val="005D6FA3"/>
    <w:rsid w:val="005D78A1"/>
    <w:rsid w:val="005E0767"/>
    <w:rsid w:val="005E07A7"/>
    <w:rsid w:val="005E0E51"/>
    <w:rsid w:val="005E1920"/>
    <w:rsid w:val="005E1984"/>
    <w:rsid w:val="005E221A"/>
    <w:rsid w:val="005E26D6"/>
    <w:rsid w:val="005E2BF4"/>
    <w:rsid w:val="005E3448"/>
    <w:rsid w:val="005E369A"/>
    <w:rsid w:val="005E398B"/>
    <w:rsid w:val="005E414A"/>
    <w:rsid w:val="005E46B4"/>
    <w:rsid w:val="005E4A7C"/>
    <w:rsid w:val="005E4F69"/>
    <w:rsid w:val="005E5190"/>
    <w:rsid w:val="005E62B0"/>
    <w:rsid w:val="005E6740"/>
    <w:rsid w:val="005E67A1"/>
    <w:rsid w:val="005E6A2F"/>
    <w:rsid w:val="005E7228"/>
    <w:rsid w:val="005E72EB"/>
    <w:rsid w:val="005E7572"/>
    <w:rsid w:val="005E762D"/>
    <w:rsid w:val="005E76BC"/>
    <w:rsid w:val="005E7BD0"/>
    <w:rsid w:val="005F038A"/>
    <w:rsid w:val="005F0A6E"/>
    <w:rsid w:val="005F0BA4"/>
    <w:rsid w:val="005F0FC8"/>
    <w:rsid w:val="005F11E1"/>
    <w:rsid w:val="005F1274"/>
    <w:rsid w:val="005F20A4"/>
    <w:rsid w:val="005F2AEA"/>
    <w:rsid w:val="005F2E66"/>
    <w:rsid w:val="005F361C"/>
    <w:rsid w:val="005F373A"/>
    <w:rsid w:val="005F381D"/>
    <w:rsid w:val="005F3A67"/>
    <w:rsid w:val="005F3FD2"/>
    <w:rsid w:val="005F48CC"/>
    <w:rsid w:val="005F494C"/>
    <w:rsid w:val="005F4A40"/>
    <w:rsid w:val="005F4BA3"/>
    <w:rsid w:val="005F4CEA"/>
    <w:rsid w:val="005F4F64"/>
    <w:rsid w:val="005F5C00"/>
    <w:rsid w:val="005F5D69"/>
    <w:rsid w:val="005F66E4"/>
    <w:rsid w:val="005F670F"/>
    <w:rsid w:val="005F6782"/>
    <w:rsid w:val="005F6A43"/>
    <w:rsid w:val="005F6B1D"/>
    <w:rsid w:val="005F6F31"/>
    <w:rsid w:val="005F726A"/>
    <w:rsid w:val="005F7690"/>
    <w:rsid w:val="005F7AD4"/>
    <w:rsid w:val="005F7C2A"/>
    <w:rsid w:val="005F7C78"/>
    <w:rsid w:val="005F7E45"/>
    <w:rsid w:val="005F7E98"/>
    <w:rsid w:val="00600242"/>
    <w:rsid w:val="006005E9"/>
    <w:rsid w:val="00600725"/>
    <w:rsid w:val="006010BB"/>
    <w:rsid w:val="00601295"/>
    <w:rsid w:val="00601ADF"/>
    <w:rsid w:val="00602240"/>
    <w:rsid w:val="00602667"/>
    <w:rsid w:val="00603074"/>
    <w:rsid w:val="006032B2"/>
    <w:rsid w:val="006032C8"/>
    <w:rsid w:val="006039D5"/>
    <w:rsid w:val="0060409B"/>
    <w:rsid w:val="006049D1"/>
    <w:rsid w:val="00604D6B"/>
    <w:rsid w:val="00604DDF"/>
    <w:rsid w:val="0060504E"/>
    <w:rsid w:val="0060533F"/>
    <w:rsid w:val="00605CEC"/>
    <w:rsid w:val="00605E9E"/>
    <w:rsid w:val="00606081"/>
    <w:rsid w:val="0060646C"/>
    <w:rsid w:val="00610812"/>
    <w:rsid w:val="00610B0B"/>
    <w:rsid w:val="00611027"/>
    <w:rsid w:val="0061127E"/>
    <w:rsid w:val="00611AEE"/>
    <w:rsid w:val="00611F94"/>
    <w:rsid w:val="00612051"/>
    <w:rsid w:val="0061271B"/>
    <w:rsid w:val="0061304A"/>
    <w:rsid w:val="006133EE"/>
    <w:rsid w:val="0061395C"/>
    <w:rsid w:val="00613D09"/>
    <w:rsid w:val="0061409E"/>
    <w:rsid w:val="00614285"/>
    <w:rsid w:val="006144D7"/>
    <w:rsid w:val="006148DD"/>
    <w:rsid w:val="006156D8"/>
    <w:rsid w:val="00615771"/>
    <w:rsid w:val="00615BD4"/>
    <w:rsid w:val="00615F0B"/>
    <w:rsid w:val="00616914"/>
    <w:rsid w:val="00616959"/>
    <w:rsid w:val="00616CC2"/>
    <w:rsid w:val="00616E68"/>
    <w:rsid w:val="006177D0"/>
    <w:rsid w:val="00617848"/>
    <w:rsid w:val="0061798B"/>
    <w:rsid w:val="006205E2"/>
    <w:rsid w:val="00620946"/>
    <w:rsid w:val="00620AD8"/>
    <w:rsid w:val="00620BDB"/>
    <w:rsid w:val="00620C6A"/>
    <w:rsid w:val="00620D31"/>
    <w:rsid w:val="00620EC2"/>
    <w:rsid w:val="00621254"/>
    <w:rsid w:val="006213D2"/>
    <w:rsid w:val="0062157B"/>
    <w:rsid w:val="006215E5"/>
    <w:rsid w:val="006219D8"/>
    <w:rsid w:val="00621A75"/>
    <w:rsid w:val="006228E5"/>
    <w:rsid w:val="00622D77"/>
    <w:rsid w:val="00622DD9"/>
    <w:rsid w:val="00622E51"/>
    <w:rsid w:val="006234AA"/>
    <w:rsid w:val="00623A19"/>
    <w:rsid w:val="00623A4E"/>
    <w:rsid w:val="00623A51"/>
    <w:rsid w:val="00623CD1"/>
    <w:rsid w:val="00623CF0"/>
    <w:rsid w:val="00623EA2"/>
    <w:rsid w:val="00623EE7"/>
    <w:rsid w:val="0062400C"/>
    <w:rsid w:val="006241A0"/>
    <w:rsid w:val="00624459"/>
    <w:rsid w:val="00624E49"/>
    <w:rsid w:val="00625538"/>
    <w:rsid w:val="00625955"/>
    <w:rsid w:val="00625A1B"/>
    <w:rsid w:val="00625ADF"/>
    <w:rsid w:val="00625FA5"/>
    <w:rsid w:val="00626451"/>
    <w:rsid w:val="00626820"/>
    <w:rsid w:val="00626A22"/>
    <w:rsid w:val="00626A58"/>
    <w:rsid w:val="00626B29"/>
    <w:rsid w:val="00626CA9"/>
    <w:rsid w:val="00626FC3"/>
    <w:rsid w:val="006271C0"/>
    <w:rsid w:val="00627372"/>
    <w:rsid w:val="00627472"/>
    <w:rsid w:val="006278C2"/>
    <w:rsid w:val="0062791D"/>
    <w:rsid w:val="00627D15"/>
    <w:rsid w:val="00627EAA"/>
    <w:rsid w:val="00627EC6"/>
    <w:rsid w:val="006300D6"/>
    <w:rsid w:val="00630B0D"/>
    <w:rsid w:val="00630B3F"/>
    <w:rsid w:val="00630F50"/>
    <w:rsid w:val="006313ED"/>
    <w:rsid w:val="00631659"/>
    <w:rsid w:val="00631E2E"/>
    <w:rsid w:val="00632A0B"/>
    <w:rsid w:val="00633233"/>
    <w:rsid w:val="00633469"/>
    <w:rsid w:val="0063373F"/>
    <w:rsid w:val="00633A0B"/>
    <w:rsid w:val="00633ADC"/>
    <w:rsid w:val="00633FE8"/>
    <w:rsid w:val="00634284"/>
    <w:rsid w:val="00634331"/>
    <w:rsid w:val="0063488E"/>
    <w:rsid w:val="00634F8C"/>
    <w:rsid w:val="00635356"/>
    <w:rsid w:val="00635547"/>
    <w:rsid w:val="006356B6"/>
    <w:rsid w:val="00635E2A"/>
    <w:rsid w:val="00635F74"/>
    <w:rsid w:val="00636D5E"/>
    <w:rsid w:val="00636DFD"/>
    <w:rsid w:val="00636E6D"/>
    <w:rsid w:val="00636FC0"/>
    <w:rsid w:val="00637631"/>
    <w:rsid w:val="00637C58"/>
    <w:rsid w:val="00640050"/>
    <w:rsid w:val="00640304"/>
    <w:rsid w:val="00640740"/>
    <w:rsid w:val="00640A97"/>
    <w:rsid w:val="00640CAD"/>
    <w:rsid w:val="00640E3E"/>
    <w:rsid w:val="00640EF0"/>
    <w:rsid w:val="00640FFB"/>
    <w:rsid w:val="006413D0"/>
    <w:rsid w:val="006416B6"/>
    <w:rsid w:val="006416BF"/>
    <w:rsid w:val="0064198A"/>
    <w:rsid w:val="00641A0C"/>
    <w:rsid w:val="00641DB2"/>
    <w:rsid w:val="006422B0"/>
    <w:rsid w:val="006423FC"/>
    <w:rsid w:val="0064247C"/>
    <w:rsid w:val="006427EA"/>
    <w:rsid w:val="00642D98"/>
    <w:rsid w:val="00642EAD"/>
    <w:rsid w:val="00643053"/>
    <w:rsid w:val="006437B5"/>
    <w:rsid w:val="00643807"/>
    <w:rsid w:val="00643CC9"/>
    <w:rsid w:val="00643F94"/>
    <w:rsid w:val="006441FC"/>
    <w:rsid w:val="0064515B"/>
    <w:rsid w:val="006454D0"/>
    <w:rsid w:val="0064555D"/>
    <w:rsid w:val="006458EE"/>
    <w:rsid w:val="00645C0D"/>
    <w:rsid w:val="00645F4A"/>
    <w:rsid w:val="006462BC"/>
    <w:rsid w:val="0064689F"/>
    <w:rsid w:val="00646DAF"/>
    <w:rsid w:val="006472ED"/>
    <w:rsid w:val="00647AC6"/>
    <w:rsid w:val="00647B3B"/>
    <w:rsid w:val="00647CD5"/>
    <w:rsid w:val="00650B27"/>
    <w:rsid w:val="00650DDC"/>
    <w:rsid w:val="00650DFD"/>
    <w:rsid w:val="00650EB8"/>
    <w:rsid w:val="006511C2"/>
    <w:rsid w:val="0065144D"/>
    <w:rsid w:val="00651512"/>
    <w:rsid w:val="006515DE"/>
    <w:rsid w:val="00651B84"/>
    <w:rsid w:val="00652977"/>
    <w:rsid w:val="006531DF"/>
    <w:rsid w:val="006537F0"/>
    <w:rsid w:val="00654680"/>
    <w:rsid w:val="00654693"/>
    <w:rsid w:val="00654916"/>
    <w:rsid w:val="00654AF2"/>
    <w:rsid w:val="00654BEB"/>
    <w:rsid w:val="0065538C"/>
    <w:rsid w:val="006557CE"/>
    <w:rsid w:val="00655B43"/>
    <w:rsid w:val="006560AE"/>
    <w:rsid w:val="00656599"/>
    <w:rsid w:val="00656693"/>
    <w:rsid w:val="00657512"/>
    <w:rsid w:val="0065769F"/>
    <w:rsid w:val="00657D54"/>
    <w:rsid w:val="00657E85"/>
    <w:rsid w:val="006604D2"/>
    <w:rsid w:val="0066069D"/>
    <w:rsid w:val="006607CA"/>
    <w:rsid w:val="006607D7"/>
    <w:rsid w:val="00660EDF"/>
    <w:rsid w:val="00660F2A"/>
    <w:rsid w:val="0066136F"/>
    <w:rsid w:val="006617AD"/>
    <w:rsid w:val="00661A07"/>
    <w:rsid w:val="00661B20"/>
    <w:rsid w:val="00661C2B"/>
    <w:rsid w:val="00662200"/>
    <w:rsid w:val="00662798"/>
    <w:rsid w:val="006627DF"/>
    <w:rsid w:val="00662B10"/>
    <w:rsid w:val="006630CD"/>
    <w:rsid w:val="00663179"/>
    <w:rsid w:val="00663507"/>
    <w:rsid w:val="00663A14"/>
    <w:rsid w:val="00663AE0"/>
    <w:rsid w:val="00663B56"/>
    <w:rsid w:val="00663C03"/>
    <w:rsid w:val="00664818"/>
    <w:rsid w:val="00664CD8"/>
    <w:rsid w:val="00664F74"/>
    <w:rsid w:val="006652A7"/>
    <w:rsid w:val="00665349"/>
    <w:rsid w:val="00665387"/>
    <w:rsid w:val="006659CE"/>
    <w:rsid w:val="00665AD9"/>
    <w:rsid w:val="00665D47"/>
    <w:rsid w:val="0066619E"/>
    <w:rsid w:val="006665F2"/>
    <w:rsid w:val="00666AC4"/>
    <w:rsid w:val="00666F37"/>
    <w:rsid w:val="00667176"/>
    <w:rsid w:val="00667423"/>
    <w:rsid w:val="006674C4"/>
    <w:rsid w:val="006677C0"/>
    <w:rsid w:val="00667E81"/>
    <w:rsid w:val="006702B8"/>
    <w:rsid w:val="006704D5"/>
    <w:rsid w:val="00670529"/>
    <w:rsid w:val="006706BE"/>
    <w:rsid w:val="00670ABB"/>
    <w:rsid w:val="00671170"/>
    <w:rsid w:val="0067158B"/>
    <w:rsid w:val="006717FF"/>
    <w:rsid w:val="0067192B"/>
    <w:rsid w:val="0067257B"/>
    <w:rsid w:val="00672956"/>
    <w:rsid w:val="00672AAF"/>
    <w:rsid w:val="00672E1D"/>
    <w:rsid w:val="00672FD3"/>
    <w:rsid w:val="00673A11"/>
    <w:rsid w:val="00673AC1"/>
    <w:rsid w:val="00673C73"/>
    <w:rsid w:val="00673FFB"/>
    <w:rsid w:val="00674467"/>
    <w:rsid w:val="00674DF9"/>
    <w:rsid w:val="006750AB"/>
    <w:rsid w:val="006756A3"/>
    <w:rsid w:val="00676050"/>
    <w:rsid w:val="00676503"/>
    <w:rsid w:val="006767F6"/>
    <w:rsid w:val="00676AB4"/>
    <w:rsid w:val="00676AB8"/>
    <w:rsid w:val="00677061"/>
    <w:rsid w:val="0067707D"/>
    <w:rsid w:val="00677320"/>
    <w:rsid w:val="006775AC"/>
    <w:rsid w:val="006775F6"/>
    <w:rsid w:val="00677D6F"/>
    <w:rsid w:val="0068045E"/>
    <w:rsid w:val="006814A7"/>
    <w:rsid w:val="006818E3"/>
    <w:rsid w:val="00681EE0"/>
    <w:rsid w:val="00681F54"/>
    <w:rsid w:val="0068248E"/>
    <w:rsid w:val="00683477"/>
    <w:rsid w:val="006834A6"/>
    <w:rsid w:val="00683666"/>
    <w:rsid w:val="006837C8"/>
    <w:rsid w:val="00684200"/>
    <w:rsid w:val="006842F9"/>
    <w:rsid w:val="006847D5"/>
    <w:rsid w:val="00684AE8"/>
    <w:rsid w:val="0068534D"/>
    <w:rsid w:val="00685662"/>
    <w:rsid w:val="00685EA1"/>
    <w:rsid w:val="00685F4E"/>
    <w:rsid w:val="0068644A"/>
    <w:rsid w:val="00686554"/>
    <w:rsid w:val="00686E01"/>
    <w:rsid w:val="0068711D"/>
    <w:rsid w:val="006873BA"/>
    <w:rsid w:val="006873D7"/>
    <w:rsid w:val="00687405"/>
    <w:rsid w:val="00687A44"/>
    <w:rsid w:val="00687A58"/>
    <w:rsid w:val="00687CF0"/>
    <w:rsid w:val="00687FEA"/>
    <w:rsid w:val="006900FB"/>
    <w:rsid w:val="00690766"/>
    <w:rsid w:val="00690E6C"/>
    <w:rsid w:val="00690EBF"/>
    <w:rsid w:val="00690F49"/>
    <w:rsid w:val="006913CE"/>
    <w:rsid w:val="00691719"/>
    <w:rsid w:val="006918B7"/>
    <w:rsid w:val="00691940"/>
    <w:rsid w:val="00691A3A"/>
    <w:rsid w:val="00691CBC"/>
    <w:rsid w:val="00691CF5"/>
    <w:rsid w:val="00691ECB"/>
    <w:rsid w:val="006921BA"/>
    <w:rsid w:val="00692323"/>
    <w:rsid w:val="006926AB"/>
    <w:rsid w:val="00692A20"/>
    <w:rsid w:val="00692A43"/>
    <w:rsid w:val="00692F29"/>
    <w:rsid w:val="006930EC"/>
    <w:rsid w:val="00693177"/>
    <w:rsid w:val="00693381"/>
    <w:rsid w:val="0069343F"/>
    <w:rsid w:val="0069370F"/>
    <w:rsid w:val="0069395C"/>
    <w:rsid w:val="00693971"/>
    <w:rsid w:val="00694079"/>
    <w:rsid w:val="0069408F"/>
    <w:rsid w:val="006942FE"/>
    <w:rsid w:val="0069446E"/>
    <w:rsid w:val="006948DA"/>
    <w:rsid w:val="00694BF4"/>
    <w:rsid w:val="006959E6"/>
    <w:rsid w:val="006960B0"/>
    <w:rsid w:val="0069636D"/>
    <w:rsid w:val="0069639D"/>
    <w:rsid w:val="00696433"/>
    <w:rsid w:val="00696663"/>
    <w:rsid w:val="0069681C"/>
    <w:rsid w:val="0069700F"/>
    <w:rsid w:val="00697345"/>
    <w:rsid w:val="00697470"/>
    <w:rsid w:val="006978BF"/>
    <w:rsid w:val="0069790C"/>
    <w:rsid w:val="00697BD9"/>
    <w:rsid w:val="00697D65"/>
    <w:rsid w:val="006A0CB0"/>
    <w:rsid w:val="006A120A"/>
    <w:rsid w:val="006A134C"/>
    <w:rsid w:val="006A13B1"/>
    <w:rsid w:val="006A15B4"/>
    <w:rsid w:val="006A1696"/>
    <w:rsid w:val="006A1CC0"/>
    <w:rsid w:val="006A1F48"/>
    <w:rsid w:val="006A21C2"/>
    <w:rsid w:val="006A2531"/>
    <w:rsid w:val="006A2616"/>
    <w:rsid w:val="006A34FA"/>
    <w:rsid w:val="006A3759"/>
    <w:rsid w:val="006A3DED"/>
    <w:rsid w:val="006A3F96"/>
    <w:rsid w:val="006A4191"/>
    <w:rsid w:val="006A41A3"/>
    <w:rsid w:val="006A436F"/>
    <w:rsid w:val="006A43E3"/>
    <w:rsid w:val="006A4500"/>
    <w:rsid w:val="006A45C8"/>
    <w:rsid w:val="006A4877"/>
    <w:rsid w:val="006A4906"/>
    <w:rsid w:val="006A4D33"/>
    <w:rsid w:val="006A4EF8"/>
    <w:rsid w:val="006A58C7"/>
    <w:rsid w:val="006A600E"/>
    <w:rsid w:val="006A620B"/>
    <w:rsid w:val="006A6229"/>
    <w:rsid w:val="006A66BD"/>
    <w:rsid w:val="006A6816"/>
    <w:rsid w:val="006A69D6"/>
    <w:rsid w:val="006A6A5C"/>
    <w:rsid w:val="006A6F36"/>
    <w:rsid w:val="006A742B"/>
    <w:rsid w:val="006A7898"/>
    <w:rsid w:val="006A79FD"/>
    <w:rsid w:val="006A7C69"/>
    <w:rsid w:val="006B0302"/>
    <w:rsid w:val="006B0785"/>
    <w:rsid w:val="006B0B47"/>
    <w:rsid w:val="006B11A5"/>
    <w:rsid w:val="006B1395"/>
    <w:rsid w:val="006B1746"/>
    <w:rsid w:val="006B1864"/>
    <w:rsid w:val="006B236B"/>
    <w:rsid w:val="006B23A4"/>
    <w:rsid w:val="006B2CC8"/>
    <w:rsid w:val="006B2E43"/>
    <w:rsid w:val="006B30C9"/>
    <w:rsid w:val="006B3304"/>
    <w:rsid w:val="006B335F"/>
    <w:rsid w:val="006B362B"/>
    <w:rsid w:val="006B3BB2"/>
    <w:rsid w:val="006B408C"/>
    <w:rsid w:val="006B469C"/>
    <w:rsid w:val="006B5062"/>
    <w:rsid w:val="006B5326"/>
    <w:rsid w:val="006B5808"/>
    <w:rsid w:val="006B6050"/>
    <w:rsid w:val="006B6DD1"/>
    <w:rsid w:val="006B6E24"/>
    <w:rsid w:val="006B6E97"/>
    <w:rsid w:val="006B6F93"/>
    <w:rsid w:val="006B720F"/>
    <w:rsid w:val="006B727F"/>
    <w:rsid w:val="006B7B75"/>
    <w:rsid w:val="006B7E9F"/>
    <w:rsid w:val="006C054B"/>
    <w:rsid w:val="006C05DA"/>
    <w:rsid w:val="006C0621"/>
    <w:rsid w:val="006C1053"/>
    <w:rsid w:val="006C10ED"/>
    <w:rsid w:val="006C10FA"/>
    <w:rsid w:val="006C1313"/>
    <w:rsid w:val="006C15CE"/>
    <w:rsid w:val="006C1879"/>
    <w:rsid w:val="006C1FE3"/>
    <w:rsid w:val="006C2735"/>
    <w:rsid w:val="006C2B6D"/>
    <w:rsid w:val="006C2E2E"/>
    <w:rsid w:val="006C3090"/>
    <w:rsid w:val="006C328E"/>
    <w:rsid w:val="006C35B0"/>
    <w:rsid w:val="006C35E7"/>
    <w:rsid w:val="006C3912"/>
    <w:rsid w:val="006C3ED4"/>
    <w:rsid w:val="006C4086"/>
    <w:rsid w:val="006C4224"/>
    <w:rsid w:val="006C4A48"/>
    <w:rsid w:val="006C4F3D"/>
    <w:rsid w:val="006C511D"/>
    <w:rsid w:val="006C5300"/>
    <w:rsid w:val="006C5457"/>
    <w:rsid w:val="006C5745"/>
    <w:rsid w:val="006C58A3"/>
    <w:rsid w:val="006C5AD7"/>
    <w:rsid w:val="006C5B17"/>
    <w:rsid w:val="006C670E"/>
    <w:rsid w:val="006C68C4"/>
    <w:rsid w:val="006C6988"/>
    <w:rsid w:val="006C72CA"/>
    <w:rsid w:val="006C7591"/>
    <w:rsid w:val="006C7D30"/>
    <w:rsid w:val="006C7D3F"/>
    <w:rsid w:val="006C7E3A"/>
    <w:rsid w:val="006D018A"/>
    <w:rsid w:val="006D0F98"/>
    <w:rsid w:val="006D14D4"/>
    <w:rsid w:val="006D1635"/>
    <w:rsid w:val="006D1832"/>
    <w:rsid w:val="006D2D56"/>
    <w:rsid w:val="006D2EE1"/>
    <w:rsid w:val="006D3297"/>
    <w:rsid w:val="006D3562"/>
    <w:rsid w:val="006D3EE7"/>
    <w:rsid w:val="006D462C"/>
    <w:rsid w:val="006D4873"/>
    <w:rsid w:val="006D4C34"/>
    <w:rsid w:val="006D4FE8"/>
    <w:rsid w:val="006D504B"/>
    <w:rsid w:val="006D5265"/>
    <w:rsid w:val="006D5694"/>
    <w:rsid w:val="006D571D"/>
    <w:rsid w:val="006D5842"/>
    <w:rsid w:val="006D5D2C"/>
    <w:rsid w:val="006D658D"/>
    <w:rsid w:val="006D6E1D"/>
    <w:rsid w:val="006D6ECF"/>
    <w:rsid w:val="006D7B9B"/>
    <w:rsid w:val="006E039E"/>
    <w:rsid w:val="006E0562"/>
    <w:rsid w:val="006E0837"/>
    <w:rsid w:val="006E0C60"/>
    <w:rsid w:val="006E1087"/>
    <w:rsid w:val="006E1CBA"/>
    <w:rsid w:val="006E1D4A"/>
    <w:rsid w:val="006E1EE8"/>
    <w:rsid w:val="006E20CA"/>
    <w:rsid w:val="006E22AC"/>
    <w:rsid w:val="006E2A33"/>
    <w:rsid w:val="006E2D97"/>
    <w:rsid w:val="006E310A"/>
    <w:rsid w:val="006E35C7"/>
    <w:rsid w:val="006E4143"/>
    <w:rsid w:val="006E4226"/>
    <w:rsid w:val="006E43B8"/>
    <w:rsid w:val="006E46A3"/>
    <w:rsid w:val="006E481D"/>
    <w:rsid w:val="006E4C8F"/>
    <w:rsid w:val="006E4CBF"/>
    <w:rsid w:val="006E529D"/>
    <w:rsid w:val="006E539B"/>
    <w:rsid w:val="006E5484"/>
    <w:rsid w:val="006E5811"/>
    <w:rsid w:val="006E5D17"/>
    <w:rsid w:val="006E5F66"/>
    <w:rsid w:val="006E60E4"/>
    <w:rsid w:val="006E6149"/>
    <w:rsid w:val="006E65C8"/>
    <w:rsid w:val="006E672F"/>
    <w:rsid w:val="006E696C"/>
    <w:rsid w:val="006E6A08"/>
    <w:rsid w:val="006E6AB4"/>
    <w:rsid w:val="006E6D1B"/>
    <w:rsid w:val="006E786B"/>
    <w:rsid w:val="006E7FD8"/>
    <w:rsid w:val="006F02C8"/>
    <w:rsid w:val="006F0687"/>
    <w:rsid w:val="006F073F"/>
    <w:rsid w:val="006F087D"/>
    <w:rsid w:val="006F0952"/>
    <w:rsid w:val="006F0FB7"/>
    <w:rsid w:val="006F10CF"/>
    <w:rsid w:val="006F1432"/>
    <w:rsid w:val="006F15EF"/>
    <w:rsid w:val="006F1966"/>
    <w:rsid w:val="006F1B48"/>
    <w:rsid w:val="006F207A"/>
    <w:rsid w:val="006F243D"/>
    <w:rsid w:val="006F244E"/>
    <w:rsid w:val="006F25E7"/>
    <w:rsid w:val="006F37C6"/>
    <w:rsid w:val="006F3950"/>
    <w:rsid w:val="006F3B3D"/>
    <w:rsid w:val="006F3EDC"/>
    <w:rsid w:val="006F430E"/>
    <w:rsid w:val="006F495E"/>
    <w:rsid w:val="006F4ABB"/>
    <w:rsid w:val="006F54D9"/>
    <w:rsid w:val="006F551B"/>
    <w:rsid w:val="006F55CC"/>
    <w:rsid w:val="006F58DF"/>
    <w:rsid w:val="006F58FB"/>
    <w:rsid w:val="006F5953"/>
    <w:rsid w:val="006F5A4F"/>
    <w:rsid w:val="006F5C51"/>
    <w:rsid w:val="006F5CBF"/>
    <w:rsid w:val="006F5D03"/>
    <w:rsid w:val="006F5FD8"/>
    <w:rsid w:val="006F65C4"/>
    <w:rsid w:val="006F6C66"/>
    <w:rsid w:val="006F6D91"/>
    <w:rsid w:val="006F73E9"/>
    <w:rsid w:val="006F75FE"/>
    <w:rsid w:val="006F76DB"/>
    <w:rsid w:val="006F779D"/>
    <w:rsid w:val="006F7812"/>
    <w:rsid w:val="006F7AF7"/>
    <w:rsid w:val="006F7BF9"/>
    <w:rsid w:val="006F7EE8"/>
    <w:rsid w:val="006F7F3A"/>
    <w:rsid w:val="007006B1"/>
    <w:rsid w:val="00700702"/>
    <w:rsid w:val="00700AC9"/>
    <w:rsid w:val="0070126A"/>
    <w:rsid w:val="007013E1"/>
    <w:rsid w:val="0070143E"/>
    <w:rsid w:val="007014B3"/>
    <w:rsid w:val="00701D53"/>
    <w:rsid w:val="00701DC8"/>
    <w:rsid w:val="0070203C"/>
    <w:rsid w:val="007021A5"/>
    <w:rsid w:val="007041A3"/>
    <w:rsid w:val="00704248"/>
    <w:rsid w:val="00704AAE"/>
    <w:rsid w:val="0070509E"/>
    <w:rsid w:val="007051BC"/>
    <w:rsid w:val="0070553F"/>
    <w:rsid w:val="0070556B"/>
    <w:rsid w:val="00705852"/>
    <w:rsid w:val="00705CDF"/>
    <w:rsid w:val="0070607F"/>
    <w:rsid w:val="00706102"/>
    <w:rsid w:val="0070613E"/>
    <w:rsid w:val="0070667B"/>
    <w:rsid w:val="007068E2"/>
    <w:rsid w:val="00706A4C"/>
    <w:rsid w:val="00706D15"/>
    <w:rsid w:val="00706D99"/>
    <w:rsid w:val="007072CC"/>
    <w:rsid w:val="00707563"/>
    <w:rsid w:val="0071001C"/>
    <w:rsid w:val="00710423"/>
    <w:rsid w:val="007109F9"/>
    <w:rsid w:val="00711084"/>
    <w:rsid w:val="00711829"/>
    <w:rsid w:val="00711CE9"/>
    <w:rsid w:val="007125E2"/>
    <w:rsid w:val="00712952"/>
    <w:rsid w:val="00712DF0"/>
    <w:rsid w:val="00713185"/>
    <w:rsid w:val="007134F4"/>
    <w:rsid w:val="0071371D"/>
    <w:rsid w:val="0071375D"/>
    <w:rsid w:val="007143B8"/>
    <w:rsid w:val="00714772"/>
    <w:rsid w:val="00714A64"/>
    <w:rsid w:val="00714B1F"/>
    <w:rsid w:val="00714D28"/>
    <w:rsid w:val="00714DC7"/>
    <w:rsid w:val="00714E13"/>
    <w:rsid w:val="00714E83"/>
    <w:rsid w:val="00714E88"/>
    <w:rsid w:val="0071571D"/>
    <w:rsid w:val="007157B7"/>
    <w:rsid w:val="007158AF"/>
    <w:rsid w:val="0071659F"/>
    <w:rsid w:val="00716857"/>
    <w:rsid w:val="0071695F"/>
    <w:rsid w:val="007172E7"/>
    <w:rsid w:val="007174B6"/>
    <w:rsid w:val="00717616"/>
    <w:rsid w:val="00717B7F"/>
    <w:rsid w:val="00720724"/>
    <w:rsid w:val="00720A6F"/>
    <w:rsid w:val="00720F5B"/>
    <w:rsid w:val="00720FDD"/>
    <w:rsid w:val="00721029"/>
    <w:rsid w:val="007212E7"/>
    <w:rsid w:val="0072142F"/>
    <w:rsid w:val="00721DAB"/>
    <w:rsid w:val="007226D7"/>
    <w:rsid w:val="00722D21"/>
    <w:rsid w:val="007230AE"/>
    <w:rsid w:val="007230C5"/>
    <w:rsid w:val="00723728"/>
    <w:rsid w:val="007237D5"/>
    <w:rsid w:val="00723AD9"/>
    <w:rsid w:val="00723CF8"/>
    <w:rsid w:val="007243A8"/>
    <w:rsid w:val="0072440C"/>
    <w:rsid w:val="007245B5"/>
    <w:rsid w:val="007246A0"/>
    <w:rsid w:val="00724919"/>
    <w:rsid w:val="00724AC6"/>
    <w:rsid w:val="00724AE6"/>
    <w:rsid w:val="00725149"/>
    <w:rsid w:val="00725302"/>
    <w:rsid w:val="00725BB2"/>
    <w:rsid w:val="00725D7B"/>
    <w:rsid w:val="00725E2B"/>
    <w:rsid w:val="00725E5D"/>
    <w:rsid w:val="00726369"/>
    <w:rsid w:val="00726664"/>
    <w:rsid w:val="007275F4"/>
    <w:rsid w:val="0072765E"/>
    <w:rsid w:val="00727752"/>
    <w:rsid w:val="00727887"/>
    <w:rsid w:val="00727918"/>
    <w:rsid w:val="00727A27"/>
    <w:rsid w:val="00727A6C"/>
    <w:rsid w:val="00727B85"/>
    <w:rsid w:val="007307D0"/>
    <w:rsid w:val="00730CB4"/>
    <w:rsid w:val="00730D38"/>
    <w:rsid w:val="00730ECF"/>
    <w:rsid w:val="00730F8B"/>
    <w:rsid w:val="00731789"/>
    <w:rsid w:val="00731C33"/>
    <w:rsid w:val="007321CE"/>
    <w:rsid w:val="0073285F"/>
    <w:rsid w:val="00732C41"/>
    <w:rsid w:val="00732FEE"/>
    <w:rsid w:val="007331F8"/>
    <w:rsid w:val="0073342B"/>
    <w:rsid w:val="007335C3"/>
    <w:rsid w:val="00733D5F"/>
    <w:rsid w:val="00733ED7"/>
    <w:rsid w:val="007340C9"/>
    <w:rsid w:val="007341E2"/>
    <w:rsid w:val="00734A23"/>
    <w:rsid w:val="0073500D"/>
    <w:rsid w:val="00735378"/>
    <w:rsid w:val="007355AA"/>
    <w:rsid w:val="00735649"/>
    <w:rsid w:val="00735984"/>
    <w:rsid w:val="00735CBF"/>
    <w:rsid w:val="00735E36"/>
    <w:rsid w:val="00735F11"/>
    <w:rsid w:val="007360AC"/>
    <w:rsid w:val="0073681E"/>
    <w:rsid w:val="00736ABA"/>
    <w:rsid w:val="00736B38"/>
    <w:rsid w:val="00736BF0"/>
    <w:rsid w:val="00736D32"/>
    <w:rsid w:val="00737484"/>
    <w:rsid w:val="007375C0"/>
    <w:rsid w:val="00740BBF"/>
    <w:rsid w:val="00740CE5"/>
    <w:rsid w:val="00740D28"/>
    <w:rsid w:val="00740E80"/>
    <w:rsid w:val="00741164"/>
    <w:rsid w:val="00741225"/>
    <w:rsid w:val="0074162B"/>
    <w:rsid w:val="00741F56"/>
    <w:rsid w:val="0074218A"/>
    <w:rsid w:val="00742383"/>
    <w:rsid w:val="0074239C"/>
    <w:rsid w:val="007423CF"/>
    <w:rsid w:val="00742D25"/>
    <w:rsid w:val="00742EF3"/>
    <w:rsid w:val="007434E7"/>
    <w:rsid w:val="00743C12"/>
    <w:rsid w:val="00744E6C"/>
    <w:rsid w:val="00745059"/>
    <w:rsid w:val="00745188"/>
    <w:rsid w:val="007456FD"/>
    <w:rsid w:val="007464CC"/>
    <w:rsid w:val="007468F3"/>
    <w:rsid w:val="00746999"/>
    <w:rsid w:val="0074699F"/>
    <w:rsid w:val="0074754C"/>
    <w:rsid w:val="00747799"/>
    <w:rsid w:val="00747902"/>
    <w:rsid w:val="00747976"/>
    <w:rsid w:val="00747B57"/>
    <w:rsid w:val="00747D45"/>
    <w:rsid w:val="00747EB9"/>
    <w:rsid w:val="00747FB0"/>
    <w:rsid w:val="00750E0E"/>
    <w:rsid w:val="00750FF2"/>
    <w:rsid w:val="0075142E"/>
    <w:rsid w:val="00751A20"/>
    <w:rsid w:val="00751E6A"/>
    <w:rsid w:val="00751EBF"/>
    <w:rsid w:val="0075202B"/>
    <w:rsid w:val="007529E7"/>
    <w:rsid w:val="007529F0"/>
    <w:rsid w:val="00752AB6"/>
    <w:rsid w:val="00752C1D"/>
    <w:rsid w:val="00753205"/>
    <w:rsid w:val="00753303"/>
    <w:rsid w:val="00753470"/>
    <w:rsid w:val="007535C0"/>
    <w:rsid w:val="00753E5F"/>
    <w:rsid w:val="0075401E"/>
    <w:rsid w:val="007542F1"/>
    <w:rsid w:val="00754353"/>
    <w:rsid w:val="007547DC"/>
    <w:rsid w:val="00754AFD"/>
    <w:rsid w:val="007556FB"/>
    <w:rsid w:val="00755981"/>
    <w:rsid w:val="00755D18"/>
    <w:rsid w:val="007561CE"/>
    <w:rsid w:val="00756D49"/>
    <w:rsid w:val="00756EC8"/>
    <w:rsid w:val="007574AD"/>
    <w:rsid w:val="00757688"/>
    <w:rsid w:val="00757D1D"/>
    <w:rsid w:val="00757D5E"/>
    <w:rsid w:val="00760047"/>
    <w:rsid w:val="00761676"/>
    <w:rsid w:val="00761EBF"/>
    <w:rsid w:val="00761FA0"/>
    <w:rsid w:val="0076331C"/>
    <w:rsid w:val="00763B37"/>
    <w:rsid w:val="0076423A"/>
    <w:rsid w:val="0076474F"/>
    <w:rsid w:val="00764BC7"/>
    <w:rsid w:val="00764E4F"/>
    <w:rsid w:val="007651FF"/>
    <w:rsid w:val="00765330"/>
    <w:rsid w:val="00765743"/>
    <w:rsid w:val="00765790"/>
    <w:rsid w:val="00765913"/>
    <w:rsid w:val="00765C2D"/>
    <w:rsid w:val="00765EE5"/>
    <w:rsid w:val="0076602C"/>
    <w:rsid w:val="00766293"/>
    <w:rsid w:val="00766906"/>
    <w:rsid w:val="00766BDA"/>
    <w:rsid w:val="00766CB2"/>
    <w:rsid w:val="00766DED"/>
    <w:rsid w:val="00766ED2"/>
    <w:rsid w:val="007674ED"/>
    <w:rsid w:val="0076756D"/>
    <w:rsid w:val="007676A0"/>
    <w:rsid w:val="007679D6"/>
    <w:rsid w:val="00767E28"/>
    <w:rsid w:val="00767E9F"/>
    <w:rsid w:val="0077032E"/>
    <w:rsid w:val="00770559"/>
    <w:rsid w:val="007709F2"/>
    <w:rsid w:val="00770D1A"/>
    <w:rsid w:val="00770DDB"/>
    <w:rsid w:val="00770F47"/>
    <w:rsid w:val="007710C1"/>
    <w:rsid w:val="007712F7"/>
    <w:rsid w:val="007714C6"/>
    <w:rsid w:val="00771D49"/>
    <w:rsid w:val="00771E1D"/>
    <w:rsid w:val="00772319"/>
    <w:rsid w:val="00772352"/>
    <w:rsid w:val="00772A6A"/>
    <w:rsid w:val="00772ECA"/>
    <w:rsid w:val="00773027"/>
    <w:rsid w:val="007733BE"/>
    <w:rsid w:val="0077410F"/>
    <w:rsid w:val="007742FE"/>
    <w:rsid w:val="007743C9"/>
    <w:rsid w:val="00774DBE"/>
    <w:rsid w:val="00775B1A"/>
    <w:rsid w:val="00776053"/>
    <w:rsid w:val="00776127"/>
    <w:rsid w:val="007762F9"/>
    <w:rsid w:val="0077632F"/>
    <w:rsid w:val="0077650F"/>
    <w:rsid w:val="00776BCA"/>
    <w:rsid w:val="00777701"/>
    <w:rsid w:val="00777831"/>
    <w:rsid w:val="00777874"/>
    <w:rsid w:val="00777934"/>
    <w:rsid w:val="00780E5C"/>
    <w:rsid w:val="007810BC"/>
    <w:rsid w:val="00781497"/>
    <w:rsid w:val="0078157C"/>
    <w:rsid w:val="00781F23"/>
    <w:rsid w:val="0078241D"/>
    <w:rsid w:val="0078263C"/>
    <w:rsid w:val="00782871"/>
    <w:rsid w:val="00783767"/>
    <w:rsid w:val="00783A3F"/>
    <w:rsid w:val="00783D4C"/>
    <w:rsid w:val="007848F8"/>
    <w:rsid w:val="0078496B"/>
    <w:rsid w:val="00784FF7"/>
    <w:rsid w:val="007853A5"/>
    <w:rsid w:val="007855DB"/>
    <w:rsid w:val="007855E8"/>
    <w:rsid w:val="00785C89"/>
    <w:rsid w:val="00785FDC"/>
    <w:rsid w:val="00786150"/>
    <w:rsid w:val="0078621F"/>
    <w:rsid w:val="007866C2"/>
    <w:rsid w:val="007866E0"/>
    <w:rsid w:val="00786797"/>
    <w:rsid w:val="00786B55"/>
    <w:rsid w:val="00786DA9"/>
    <w:rsid w:val="007870A9"/>
    <w:rsid w:val="00787604"/>
    <w:rsid w:val="007879BE"/>
    <w:rsid w:val="00790053"/>
    <w:rsid w:val="0079022F"/>
    <w:rsid w:val="0079099C"/>
    <w:rsid w:val="00790F00"/>
    <w:rsid w:val="00791766"/>
    <w:rsid w:val="007917E2"/>
    <w:rsid w:val="00791BA3"/>
    <w:rsid w:val="0079230D"/>
    <w:rsid w:val="00792650"/>
    <w:rsid w:val="0079289D"/>
    <w:rsid w:val="00792E82"/>
    <w:rsid w:val="00792F6E"/>
    <w:rsid w:val="00792FFB"/>
    <w:rsid w:val="0079305C"/>
    <w:rsid w:val="0079337E"/>
    <w:rsid w:val="0079355D"/>
    <w:rsid w:val="0079426E"/>
    <w:rsid w:val="0079448B"/>
    <w:rsid w:val="007944F9"/>
    <w:rsid w:val="00794BE4"/>
    <w:rsid w:val="00794D78"/>
    <w:rsid w:val="00794F70"/>
    <w:rsid w:val="007955D9"/>
    <w:rsid w:val="0079614C"/>
    <w:rsid w:val="0079623E"/>
    <w:rsid w:val="007965E6"/>
    <w:rsid w:val="0079686C"/>
    <w:rsid w:val="00796AFA"/>
    <w:rsid w:val="00797651"/>
    <w:rsid w:val="007977D7"/>
    <w:rsid w:val="007A0301"/>
    <w:rsid w:val="007A030F"/>
    <w:rsid w:val="007A06E0"/>
    <w:rsid w:val="007A0A5F"/>
    <w:rsid w:val="007A0A84"/>
    <w:rsid w:val="007A0FA0"/>
    <w:rsid w:val="007A111A"/>
    <w:rsid w:val="007A1C60"/>
    <w:rsid w:val="007A208C"/>
    <w:rsid w:val="007A2F32"/>
    <w:rsid w:val="007A336E"/>
    <w:rsid w:val="007A34B3"/>
    <w:rsid w:val="007A4184"/>
    <w:rsid w:val="007A4260"/>
    <w:rsid w:val="007A42EB"/>
    <w:rsid w:val="007A4397"/>
    <w:rsid w:val="007A468D"/>
    <w:rsid w:val="007A4809"/>
    <w:rsid w:val="007A4AC5"/>
    <w:rsid w:val="007A4B34"/>
    <w:rsid w:val="007A4EAC"/>
    <w:rsid w:val="007A4F2E"/>
    <w:rsid w:val="007A5268"/>
    <w:rsid w:val="007A561A"/>
    <w:rsid w:val="007A5945"/>
    <w:rsid w:val="007A6511"/>
    <w:rsid w:val="007A66F3"/>
    <w:rsid w:val="007A67E8"/>
    <w:rsid w:val="007A6A13"/>
    <w:rsid w:val="007A73EA"/>
    <w:rsid w:val="007A754E"/>
    <w:rsid w:val="007A76B5"/>
    <w:rsid w:val="007A76ED"/>
    <w:rsid w:val="007A7AB5"/>
    <w:rsid w:val="007A7E28"/>
    <w:rsid w:val="007B00EF"/>
    <w:rsid w:val="007B03F4"/>
    <w:rsid w:val="007B0656"/>
    <w:rsid w:val="007B0A9F"/>
    <w:rsid w:val="007B0AB0"/>
    <w:rsid w:val="007B0EA9"/>
    <w:rsid w:val="007B0ECD"/>
    <w:rsid w:val="007B0F50"/>
    <w:rsid w:val="007B1295"/>
    <w:rsid w:val="007B13A7"/>
    <w:rsid w:val="007B13FC"/>
    <w:rsid w:val="007B1428"/>
    <w:rsid w:val="007B1C58"/>
    <w:rsid w:val="007B1D37"/>
    <w:rsid w:val="007B2107"/>
    <w:rsid w:val="007B2514"/>
    <w:rsid w:val="007B2A4F"/>
    <w:rsid w:val="007B2D4A"/>
    <w:rsid w:val="007B2E7B"/>
    <w:rsid w:val="007B3481"/>
    <w:rsid w:val="007B38E6"/>
    <w:rsid w:val="007B4263"/>
    <w:rsid w:val="007B457A"/>
    <w:rsid w:val="007B4DAE"/>
    <w:rsid w:val="007B59CF"/>
    <w:rsid w:val="007B5A3C"/>
    <w:rsid w:val="007B5B73"/>
    <w:rsid w:val="007B6E3C"/>
    <w:rsid w:val="007B6F65"/>
    <w:rsid w:val="007B70E0"/>
    <w:rsid w:val="007B7857"/>
    <w:rsid w:val="007B78D6"/>
    <w:rsid w:val="007B7A23"/>
    <w:rsid w:val="007B7AE2"/>
    <w:rsid w:val="007C02FC"/>
    <w:rsid w:val="007C0582"/>
    <w:rsid w:val="007C06A0"/>
    <w:rsid w:val="007C075C"/>
    <w:rsid w:val="007C0A27"/>
    <w:rsid w:val="007C0FFF"/>
    <w:rsid w:val="007C2261"/>
    <w:rsid w:val="007C2B97"/>
    <w:rsid w:val="007C2D3D"/>
    <w:rsid w:val="007C2D80"/>
    <w:rsid w:val="007C30F7"/>
    <w:rsid w:val="007C35C2"/>
    <w:rsid w:val="007C3610"/>
    <w:rsid w:val="007C3687"/>
    <w:rsid w:val="007C3706"/>
    <w:rsid w:val="007C39E1"/>
    <w:rsid w:val="007C3AD9"/>
    <w:rsid w:val="007C493A"/>
    <w:rsid w:val="007C5862"/>
    <w:rsid w:val="007C5BDA"/>
    <w:rsid w:val="007C5C3D"/>
    <w:rsid w:val="007C5CB1"/>
    <w:rsid w:val="007C67BD"/>
    <w:rsid w:val="007C6B2D"/>
    <w:rsid w:val="007C6C5B"/>
    <w:rsid w:val="007C7069"/>
    <w:rsid w:val="007C7120"/>
    <w:rsid w:val="007C78BF"/>
    <w:rsid w:val="007C7B5F"/>
    <w:rsid w:val="007C7C97"/>
    <w:rsid w:val="007C7CE3"/>
    <w:rsid w:val="007D0A9E"/>
    <w:rsid w:val="007D0B36"/>
    <w:rsid w:val="007D10B8"/>
    <w:rsid w:val="007D1142"/>
    <w:rsid w:val="007D11E2"/>
    <w:rsid w:val="007D1256"/>
    <w:rsid w:val="007D150C"/>
    <w:rsid w:val="007D1849"/>
    <w:rsid w:val="007D1B2A"/>
    <w:rsid w:val="007D1EE5"/>
    <w:rsid w:val="007D2070"/>
    <w:rsid w:val="007D2F8D"/>
    <w:rsid w:val="007D2FAB"/>
    <w:rsid w:val="007D3319"/>
    <w:rsid w:val="007D3BC2"/>
    <w:rsid w:val="007D3F52"/>
    <w:rsid w:val="007D4170"/>
    <w:rsid w:val="007D4B25"/>
    <w:rsid w:val="007D4B2E"/>
    <w:rsid w:val="007D4E55"/>
    <w:rsid w:val="007D5102"/>
    <w:rsid w:val="007D5360"/>
    <w:rsid w:val="007D5BB8"/>
    <w:rsid w:val="007D5CF6"/>
    <w:rsid w:val="007D5D8B"/>
    <w:rsid w:val="007D675A"/>
    <w:rsid w:val="007D69AB"/>
    <w:rsid w:val="007D6A42"/>
    <w:rsid w:val="007D6C7B"/>
    <w:rsid w:val="007D7272"/>
    <w:rsid w:val="007D732F"/>
    <w:rsid w:val="007D7AAE"/>
    <w:rsid w:val="007E030D"/>
    <w:rsid w:val="007E10CF"/>
    <w:rsid w:val="007E115B"/>
    <w:rsid w:val="007E146C"/>
    <w:rsid w:val="007E1696"/>
    <w:rsid w:val="007E16B9"/>
    <w:rsid w:val="007E1814"/>
    <w:rsid w:val="007E29F2"/>
    <w:rsid w:val="007E2C41"/>
    <w:rsid w:val="007E2CF2"/>
    <w:rsid w:val="007E2D49"/>
    <w:rsid w:val="007E2EF9"/>
    <w:rsid w:val="007E3150"/>
    <w:rsid w:val="007E317B"/>
    <w:rsid w:val="007E3218"/>
    <w:rsid w:val="007E3287"/>
    <w:rsid w:val="007E33F0"/>
    <w:rsid w:val="007E36FA"/>
    <w:rsid w:val="007E3763"/>
    <w:rsid w:val="007E38EE"/>
    <w:rsid w:val="007E39BA"/>
    <w:rsid w:val="007E4550"/>
    <w:rsid w:val="007E459A"/>
    <w:rsid w:val="007E474D"/>
    <w:rsid w:val="007E4AC1"/>
    <w:rsid w:val="007E4E86"/>
    <w:rsid w:val="007E53A0"/>
    <w:rsid w:val="007E5434"/>
    <w:rsid w:val="007E55AD"/>
    <w:rsid w:val="007E56EE"/>
    <w:rsid w:val="007E58CF"/>
    <w:rsid w:val="007E5BF5"/>
    <w:rsid w:val="007E653D"/>
    <w:rsid w:val="007E6782"/>
    <w:rsid w:val="007E726F"/>
    <w:rsid w:val="007E73D4"/>
    <w:rsid w:val="007E74BC"/>
    <w:rsid w:val="007E76C6"/>
    <w:rsid w:val="007E76D2"/>
    <w:rsid w:val="007E7732"/>
    <w:rsid w:val="007E7809"/>
    <w:rsid w:val="007E7DA4"/>
    <w:rsid w:val="007E7DA7"/>
    <w:rsid w:val="007E7FE6"/>
    <w:rsid w:val="007F0928"/>
    <w:rsid w:val="007F0961"/>
    <w:rsid w:val="007F0A91"/>
    <w:rsid w:val="007F0ADD"/>
    <w:rsid w:val="007F0E1A"/>
    <w:rsid w:val="007F105D"/>
    <w:rsid w:val="007F18D8"/>
    <w:rsid w:val="007F1E8F"/>
    <w:rsid w:val="007F21AF"/>
    <w:rsid w:val="007F2629"/>
    <w:rsid w:val="007F2A44"/>
    <w:rsid w:val="007F2AA1"/>
    <w:rsid w:val="007F336B"/>
    <w:rsid w:val="007F3AFC"/>
    <w:rsid w:val="007F42B5"/>
    <w:rsid w:val="007F4D3E"/>
    <w:rsid w:val="007F55C3"/>
    <w:rsid w:val="007F580A"/>
    <w:rsid w:val="007F5CBB"/>
    <w:rsid w:val="007F65E1"/>
    <w:rsid w:val="007F6727"/>
    <w:rsid w:val="007F6940"/>
    <w:rsid w:val="0080031F"/>
    <w:rsid w:val="00800F22"/>
    <w:rsid w:val="00801224"/>
    <w:rsid w:val="008021A3"/>
    <w:rsid w:val="00802384"/>
    <w:rsid w:val="008029C5"/>
    <w:rsid w:val="008029CC"/>
    <w:rsid w:val="00802D71"/>
    <w:rsid w:val="00802EA9"/>
    <w:rsid w:val="00802FC8"/>
    <w:rsid w:val="008033CA"/>
    <w:rsid w:val="008035AF"/>
    <w:rsid w:val="008039F8"/>
    <w:rsid w:val="00803B6A"/>
    <w:rsid w:val="00803BD3"/>
    <w:rsid w:val="008048BD"/>
    <w:rsid w:val="00804B23"/>
    <w:rsid w:val="00804F4B"/>
    <w:rsid w:val="00805239"/>
    <w:rsid w:val="00805428"/>
    <w:rsid w:val="0080558C"/>
    <w:rsid w:val="008057C8"/>
    <w:rsid w:val="0080594E"/>
    <w:rsid w:val="00805961"/>
    <w:rsid w:val="00806199"/>
    <w:rsid w:val="00806593"/>
    <w:rsid w:val="008067D6"/>
    <w:rsid w:val="00806CC2"/>
    <w:rsid w:val="00807895"/>
    <w:rsid w:val="00810009"/>
    <w:rsid w:val="008101D0"/>
    <w:rsid w:val="00810627"/>
    <w:rsid w:val="0081062B"/>
    <w:rsid w:val="0081097B"/>
    <w:rsid w:val="00810A37"/>
    <w:rsid w:val="00810A95"/>
    <w:rsid w:val="00810CC6"/>
    <w:rsid w:val="008114C6"/>
    <w:rsid w:val="0081186D"/>
    <w:rsid w:val="0081198B"/>
    <w:rsid w:val="00811B44"/>
    <w:rsid w:val="00811B6A"/>
    <w:rsid w:val="00812AAA"/>
    <w:rsid w:val="00812C01"/>
    <w:rsid w:val="00812D07"/>
    <w:rsid w:val="00812FEC"/>
    <w:rsid w:val="0081314D"/>
    <w:rsid w:val="00813849"/>
    <w:rsid w:val="00813ACC"/>
    <w:rsid w:val="00813DB5"/>
    <w:rsid w:val="00813DBA"/>
    <w:rsid w:val="00813E02"/>
    <w:rsid w:val="00814863"/>
    <w:rsid w:val="00815306"/>
    <w:rsid w:val="0081604C"/>
    <w:rsid w:val="00816281"/>
    <w:rsid w:val="008167D6"/>
    <w:rsid w:val="008167E3"/>
    <w:rsid w:val="008168A5"/>
    <w:rsid w:val="008169FE"/>
    <w:rsid w:val="00816EFB"/>
    <w:rsid w:val="008173DD"/>
    <w:rsid w:val="0081757B"/>
    <w:rsid w:val="00817BBF"/>
    <w:rsid w:val="00817EBA"/>
    <w:rsid w:val="00817FF1"/>
    <w:rsid w:val="008200C6"/>
    <w:rsid w:val="0082025E"/>
    <w:rsid w:val="0082097B"/>
    <w:rsid w:val="00820B12"/>
    <w:rsid w:val="00820D53"/>
    <w:rsid w:val="00820E70"/>
    <w:rsid w:val="008211D1"/>
    <w:rsid w:val="008225E9"/>
    <w:rsid w:val="00822B1E"/>
    <w:rsid w:val="008234FD"/>
    <w:rsid w:val="00823BE5"/>
    <w:rsid w:val="00824844"/>
    <w:rsid w:val="00825034"/>
    <w:rsid w:val="0082552A"/>
    <w:rsid w:val="00825A4C"/>
    <w:rsid w:val="00825BA7"/>
    <w:rsid w:val="00825E3A"/>
    <w:rsid w:val="00825FE9"/>
    <w:rsid w:val="00826808"/>
    <w:rsid w:val="00826938"/>
    <w:rsid w:val="00826DCE"/>
    <w:rsid w:val="008272D4"/>
    <w:rsid w:val="00827574"/>
    <w:rsid w:val="00827705"/>
    <w:rsid w:val="00827A50"/>
    <w:rsid w:val="00827A6C"/>
    <w:rsid w:val="00827BA0"/>
    <w:rsid w:val="00827BBB"/>
    <w:rsid w:val="0083057A"/>
    <w:rsid w:val="00830795"/>
    <w:rsid w:val="0083082E"/>
    <w:rsid w:val="00830890"/>
    <w:rsid w:val="0083092A"/>
    <w:rsid w:val="00830997"/>
    <w:rsid w:val="0083099F"/>
    <w:rsid w:val="00830BDC"/>
    <w:rsid w:val="0083140F"/>
    <w:rsid w:val="008315D5"/>
    <w:rsid w:val="00831648"/>
    <w:rsid w:val="00831786"/>
    <w:rsid w:val="00831AA4"/>
    <w:rsid w:val="00831DCC"/>
    <w:rsid w:val="00831DD6"/>
    <w:rsid w:val="00832001"/>
    <w:rsid w:val="00832242"/>
    <w:rsid w:val="00833501"/>
    <w:rsid w:val="0083397B"/>
    <w:rsid w:val="00833A0C"/>
    <w:rsid w:val="00833A87"/>
    <w:rsid w:val="008342E7"/>
    <w:rsid w:val="0083453D"/>
    <w:rsid w:val="0083472C"/>
    <w:rsid w:val="00834A15"/>
    <w:rsid w:val="0083567C"/>
    <w:rsid w:val="00835733"/>
    <w:rsid w:val="00835874"/>
    <w:rsid w:val="008358B4"/>
    <w:rsid w:val="00835911"/>
    <w:rsid w:val="00835B46"/>
    <w:rsid w:val="00835B9B"/>
    <w:rsid w:val="00835E39"/>
    <w:rsid w:val="00836892"/>
    <w:rsid w:val="00836D77"/>
    <w:rsid w:val="00836ED7"/>
    <w:rsid w:val="00836FDC"/>
    <w:rsid w:val="00837216"/>
    <w:rsid w:val="00837538"/>
    <w:rsid w:val="00837AE6"/>
    <w:rsid w:val="00837F1F"/>
    <w:rsid w:val="008405AE"/>
    <w:rsid w:val="008406EA"/>
    <w:rsid w:val="00840775"/>
    <w:rsid w:val="008409C9"/>
    <w:rsid w:val="008412AD"/>
    <w:rsid w:val="00841515"/>
    <w:rsid w:val="008415FB"/>
    <w:rsid w:val="00841BEE"/>
    <w:rsid w:val="0084236E"/>
    <w:rsid w:val="008426F0"/>
    <w:rsid w:val="00843007"/>
    <w:rsid w:val="008432B7"/>
    <w:rsid w:val="008433C4"/>
    <w:rsid w:val="00843575"/>
    <w:rsid w:val="008438BD"/>
    <w:rsid w:val="008438FF"/>
    <w:rsid w:val="00843AB9"/>
    <w:rsid w:val="008441A2"/>
    <w:rsid w:val="008446DA"/>
    <w:rsid w:val="00844846"/>
    <w:rsid w:val="008449BF"/>
    <w:rsid w:val="008449F2"/>
    <w:rsid w:val="00844C15"/>
    <w:rsid w:val="00845003"/>
    <w:rsid w:val="008450F5"/>
    <w:rsid w:val="00845C80"/>
    <w:rsid w:val="00846554"/>
    <w:rsid w:val="008469EB"/>
    <w:rsid w:val="00846D73"/>
    <w:rsid w:val="00846FB9"/>
    <w:rsid w:val="008471D1"/>
    <w:rsid w:val="0084724C"/>
    <w:rsid w:val="00847585"/>
    <w:rsid w:val="00847EF9"/>
    <w:rsid w:val="00850C41"/>
    <w:rsid w:val="0085124C"/>
    <w:rsid w:val="008513A6"/>
    <w:rsid w:val="008515DD"/>
    <w:rsid w:val="008519F8"/>
    <w:rsid w:val="00852534"/>
    <w:rsid w:val="008526C4"/>
    <w:rsid w:val="00852910"/>
    <w:rsid w:val="00853798"/>
    <w:rsid w:val="00853A0A"/>
    <w:rsid w:val="00853C12"/>
    <w:rsid w:val="00853CBC"/>
    <w:rsid w:val="008542BC"/>
    <w:rsid w:val="008544BB"/>
    <w:rsid w:val="008548EF"/>
    <w:rsid w:val="00854971"/>
    <w:rsid w:val="00854994"/>
    <w:rsid w:val="00854D93"/>
    <w:rsid w:val="00856666"/>
    <w:rsid w:val="00856E3B"/>
    <w:rsid w:val="0085727E"/>
    <w:rsid w:val="008573AD"/>
    <w:rsid w:val="0085773E"/>
    <w:rsid w:val="00857CCB"/>
    <w:rsid w:val="00860133"/>
    <w:rsid w:val="00860387"/>
    <w:rsid w:val="00860BD8"/>
    <w:rsid w:val="00860D8B"/>
    <w:rsid w:val="00860E62"/>
    <w:rsid w:val="0086131F"/>
    <w:rsid w:val="00861683"/>
    <w:rsid w:val="00861C5F"/>
    <w:rsid w:val="00861D2C"/>
    <w:rsid w:val="008623E8"/>
    <w:rsid w:val="00862617"/>
    <w:rsid w:val="0086270D"/>
    <w:rsid w:val="00862E53"/>
    <w:rsid w:val="00862F27"/>
    <w:rsid w:val="0086402C"/>
    <w:rsid w:val="0086472F"/>
    <w:rsid w:val="00865129"/>
    <w:rsid w:val="00865617"/>
    <w:rsid w:val="00865E07"/>
    <w:rsid w:val="00865E09"/>
    <w:rsid w:val="00865FC5"/>
    <w:rsid w:val="008669D2"/>
    <w:rsid w:val="00866A4A"/>
    <w:rsid w:val="00866B6A"/>
    <w:rsid w:val="00866BFB"/>
    <w:rsid w:val="00866C0B"/>
    <w:rsid w:val="008674FE"/>
    <w:rsid w:val="008703D6"/>
    <w:rsid w:val="00870E44"/>
    <w:rsid w:val="008712CD"/>
    <w:rsid w:val="00871973"/>
    <w:rsid w:val="00871AC8"/>
    <w:rsid w:val="0087257E"/>
    <w:rsid w:val="00872C53"/>
    <w:rsid w:val="00872CED"/>
    <w:rsid w:val="00872E4F"/>
    <w:rsid w:val="008731FE"/>
    <w:rsid w:val="00873A57"/>
    <w:rsid w:val="0087412B"/>
    <w:rsid w:val="008744E0"/>
    <w:rsid w:val="00874ACF"/>
    <w:rsid w:val="00874F78"/>
    <w:rsid w:val="0087516C"/>
    <w:rsid w:val="00875366"/>
    <w:rsid w:val="008755C2"/>
    <w:rsid w:val="00875870"/>
    <w:rsid w:val="008768F8"/>
    <w:rsid w:val="00876A3A"/>
    <w:rsid w:val="00876CE7"/>
    <w:rsid w:val="008771DD"/>
    <w:rsid w:val="00877948"/>
    <w:rsid w:val="00877A72"/>
    <w:rsid w:val="00880213"/>
    <w:rsid w:val="008802C5"/>
    <w:rsid w:val="00880654"/>
    <w:rsid w:val="00881210"/>
    <w:rsid w:val="008814D9"/>
    <w:rsid w:val="008817DB"/>
    <w:rsid w:val="00881A83"/>
    <w:rsid w:val="00881C2C"/>
    <w:rsid w:val="00881DBA"/>
    <w:rsid w:val="008822ED"/>
    <w:rsid w:val="00882565"/>
    <w:rsid w:val="00882A2F"/>
    <w:rsid w:val="00882DCE"/>
    <w:rsid w:val="00883729"/>
    <w:rsid w:val="00883804"/>
    <w:rsid w:val="00883E8F"/>
    <w:rsid w:val="0088441D"/>
    <w:rsid w:val="008847FD"/>
    <w:rsid w:val="00884A41"/>
    <w:rsid w:val="00884A71"/>
    <w:rsid w:val="00885119"/>
    <w:rsid w:val="00885239"/>
    <w:rsid w:val="008853AA"/>
    <w:rsid w:val="0088589A"/>
    <w:rsid w:val="00885982"/>
    <w:rsid w:val="00885F6C"/>
    <w:rsid w:val="0088662F"/>
    <w:rsid w:val="0088686F"/>
    <w:rsid w:val="00886FFD"/>
    <w:rsid w:val="00890016"/>
    <w:rsid w:val="008900C6"/>
    <w:rsid w:val="00890ABE"/>
    <w:rsid w:val="00890F85"/>
    <w:rsid w:val="008912B7"/>
    <w:rsid w:val="0089152C"/>
    <w:rsid w:val="0089163C"/>
    <w:rsid w:val="00891648"/>
    <w:rsid w:val="008916DA"/>
    <w:rsid w:val="008917A6"/>
    <w:rsid w:val="00891A0E"/>
    <w:rsid w:val="00891EA2"/>
    <w:rsid w:val="0089239A"/>
    <w:rsid w:val="0089290C"/>
    <w:rsid w:val="008929A2"/>
    <w:rsid w:val="00892C8D"/>
    <w:rsid w:val="00893062"/>
    <w:rsid w:val="0089312D"/>
    <w:rsid w:val="0089332A"/>
    <w:rsid w:val="008933FD"/>
    <w:rsid w:val="00893419"/>
    <w:rsid w:val="0089372D"/>
    <w:rsid w:val="0089385F"/>
    <w:rsid w:val="008949B9"/>
    <w:rsid w:val="008954FB"/>
    <w:rsid w:val="00895527"/>
    <w:rsid w:val="008962D8"/>
    <w:rsid w:val="0089651F"/>
    <w:rsid w:val="00896678"/>
    <w:rsid w:val="00896FCA"/>
    <w:rsid w:val="00897208"/>
    <w:rsid w:val="008973B8"/>
    <w:rsid w:val="008A0916"/>
    <w:rsid w:val="008A0BDB"/>
    <w:rsid w:val="008A0DBE"/>
    <w:rsid w:val="008A1291"/>
    <w:rsid w:val="008A17B1"/>
    <w:rsid w:val="008A1853"/>
    <w:rsid w:val="008A242B"/>
    <w:rsid w:val="008A24A1"/>
    <w:rsid w:val="008A2DC3"/>
    <w:rsid w:val="008A3476"/>
    <w:rsid w:val="008A3921"/>
    <w:rsid w:val="008A39D6"/>
    <w:rsid w:val="008A3A2E"/>
    <w:rsid w:val="008A3DE9"/>
    <w:rsid w:val="008A420C"/>
    <w:rsid w:val="008A43B1"/>
    <w:rsid w:val="008A446B"/>
    <w:rsid w:val="008A45FC"/>
    <w:rsid w:val="008A4A12"/>
    <w:rsid w:val="008A5A5D"/>
    <w:rsid w:val="008A69EC"/>
    <w:rsid w:val="008A6D6B"/>
    <w:rsid w:val="008A77F5"/>
    <w:rsid w:val="008A7803"/>
    <w:rsid w:val="008B0034"/>
    <w:rsid w:val="008B0145"/>
    <w:rsid w:val="008B0205"/>
    <w:rsid w:val="008B04AE"/>
    <w:rsid w:val="008B0B34"/>
    <w:rsid w:val="008B0CEE"/>
    <w:rsid w:val="008B0E05"/>
    <w:rsid w:val="008B1066"/>
    <w:rsid w:val="008B1435"/>
    <w:rsid w:val="008B144F"/>
    <w:rsid w:val="008B1B58"/>
    <w:rsid w:val="008B1E4D"/>
    <w:rsid w:val="008B276D"/>
    <w:rsid w:val="008B2842"/>
    <w:rsid w:val="008B289D"/>
    <w:rsid w:val="008B3C1B"/>
    <w:rsid w:val="008B481D"/>
    <w:rsid w:val="008B4845"/>
    <w:rsid w:val="008B4D2F"/>
    <w:rsid w:val="008B53AE"/>
    <w:rsid w:val="008B555D"/>
    <w:rsid w:val="008B5602"/>
    <w:rsid w:val="008B5C17"/>
    <w:rsid w:val="008B643A"/>
    <w:rsid w:val="008B6C0F"/>
    <w:rsid w:val="008B741B"/>
    <w:rsid w:val="008C032F"/>
    <w:rsid w:val="008C04F1"/>
    <w:rsid w:val="008C0756"/>
    <w:rsid w:val="008C0803"/>
    <w:rsid w:val="008C0F4C"/>
    <w:rsid w:val="008C10AC"/>
    <w:rsid w:val="008C15CE"/>
    <w:rsid w:val="008C176C"/>
    <w:rsid w:val="008C26DD"/>
    <w:rsid w:val="008C2865"/>
    <w:rsid w:val="008C2B90"/>
    <w:rsid w:val="008C2BCE"/>
    <w:rsid w:val="008C2D6F"/>
    <w:rsid w:val="008C3587"/>
    <w:rsid w:val="008C35BC"/>
    <w:rsid w:val="008C3975"/>
    <w:rsid w:val="008C40D9"/>
    <w:rsid w:val="008C4102"/>
    <w:rsid w:val="008C4ABD"/>
    <w:rsid w:val="008C4B97"/>
    <w:rsid w:val="008C51C0"/>
    <w:rsid w:val="008C59D6"/>
    <w:rsid w:val="008C5A0A"/>
    <w:rsid w:val="008C5B57"/>
    <w:rsid w:val="008C615D"/>
    <w:rsid w:val="008C6275"/>
    <w:rsid w:val="008C6DFA"/>
    <w:rsid w:val="008C72C8"/>
    <w:rsid w:val="008C73B1"/>
    <w:rsid w:val="008C7768"/>
    <w:rsid w:val="008C7D00"/>
    <w:rsid w:val="008D000E"/>
    <w:rsid w:val="008D03E5"/>
    <w:rsid w:val="008D0832"/>
    <w:rsid w:val="008D0D2E"/>
    <w:rsid w:val="008D1228"/>
    <w:rsid w:val="008D1606"/>
    <w:rsid w:val="008D1973"/>
    <w:rsid w:val="008D1B29"/>
    <w:rsid w:val="008D1EF6"/>
    <w:rsid w:val="008D2457"/>
    <w:rsid w:val="008D248B"/>
    <w:rsid w:val="008D275F"/>
    <w:rsid w:val="008D3B5A"/>
    <w:rsid w:val="008D44FD"/>
    <w:rsid w:val="008D4532"/>
    <w:rsid w:val="008D47A5"/>
    <w:rsid w:val="008D4DF4"/>
    <w:rsid w:val="008D5D0C"/>
    <w:rsid w:val="008D63D3"/>
    <w:rsid w:val="008D64DE"/>
    <w:rsid w:val="008D6B4A"/>
    <w:rsid w:val="008D70AD"/>
    <w:rsid w:val="008D73B7"/>
    <w:rsid w:val="008D7400"/>
    <w:rsid w:val="008D7787"/>
    <w:rsid w:val="008D788A"/>
    <w:rsid w:val="008D79D8"/>
    <w:rsid w:val="008D7DD7"/>
    <w:rsid w:val="008D7F68"/>
    <w:rsid w:val="008D7FC8"/>
    <w:rsid w:val="008E0036"/>
    <w:rsid w:val="008E0268"/>
    <w:rsid w:val="008E05C2"/>
    <w:rsid w:val="008E0DB0"/>
    <w:rsid w:val="008E1138"/>
    <w:rsid w:val="008E1233"/>
    <w:rsid w:val="008E1297"/>
    <w:rsid w:val="008E1672"/>
    <w:rsid w:val="008E18B8"/>
    <w:rsid w:val="008E1C86"/>
    <w:rsid w:val="008E210B"/>
    <w:rsid w:val="008E280B"/>
    <w:rsid w:val="008E2ABB"/>
    <w:rsid w:val="008E2E84"/>
    <w:rsid w:val="008E3205"/>
    <w:rsid w:val="008E35C9"/>
    <w:rsid w:val="008E37FC"/>
    <w:rsid w:val="008E3D1C"/>
    <w:rsid w:val="008E3F33"/>
    <w:rsid w:val="008E4188"/>
    <w:rsid w:val="008E44DF"/>
    <w:rsid w:val="008E4B3E"/>
    <w:rsid w:val="008E4E59"/>
    <w:rsid w:val="008E4F86"/>
    <w:rsid w:val="008E5352"/>
    <w:rsid w:val="008E545C"/>
    <w:rsid w:val="008E561D"/>
    <w:rsid w:val="008E56D3"/>
    <w:rsid w:val="008E56F1"/>
    <w:rsid w:val="008E57F6"/>
    <w:rsid w:val="008E5AB3"/>
    <w:rsid w:val="008E5AE5"/>
    <w:rsid w:val="008E5BA4"/>
    <w:rsid w:val="008E5BB4"/>
    <w:rsid w:val="008E5EAF"/>
    <w:rsid w:val="008E6502"/>
    <w:rsid w:val="008E66F5"/>
    <w:rsid w:val="008E69A2"/>
    <w:rsid w:val="008E6B93"/>
    <w:rsid w:val="008E6CBC"/>
    <w:rsid w:val="008E6D98"/>
    <w:rsid w:val="008E6E02"/>
    <w:rsid w:val="008E7385"/>
    <w:rsid w:val="008E7918"/>
    <w:rsid w:val="008E7A6B"/>
    <w:rsid w:val="008F025C"/>
    <w:rsid w:val="008F08BD"/>
    <w:rsid w:val="008F0C06"/>
    <w:rsid w:val="008F0C17"/>
    <w:rsid w:val="008F1289"/>
    <w:rsid w:val="008F146A"/>
    <w:rsid w:val="008F19BE"/>
    <w:rsid w:val="008F19EB"/>
    <w:rsid w:val="008F1A26"/>
    <w:rsid w:val="008F1C9A"/>
    <w:rsid w:val="008F2094"/>
    <w:rsid w:val="008F214E"/>
    <w:rsid w:val="008F23B2"/>
    <w:rsid w:val="008F2A6F"/>
    <w:rsid w:val="008F2BCB"/>
    <w:rsid w:val="008F30DB"/>
    <w:rsid w:val="008F3960"/>
    <w:rsid w:val="008F4873"/>
    <w:rsid w:val="008F4F70"/>
    <w:rsid w:val="008F4FD2"/>
    <w:rsid w:val="008F570A"/>
    <w:rsid w:val="008F57F1"/>
    <w:rsid w:val="008F5C23"/>
    <w:rsid w:val="008F6854"/>
    <w:rsid w:val="008F6A2D"/>
    <w:rsid w:val="008F6C59"/>
    <w:rsid w:val="008F6F17"/>
    <w:rsid w:val="008F750D"/>
    <w:rsid w:val="008F783E"/>
    <w:rsid w:val="008F7861"/>
    <w:rsid w:val="008F7D81"/>
    <w:rsid w:val="008F7ECB"/>
    <w:rsid w:val="009004D7"/>
    <w:rsid w:val="00900979"/>
    <w:rsid w:val="00900DBC"/>
    <w:rsid w:val="00900F67"/>
    <w:rsid w:val="0090193A"/>
    <w:rsid w:val="00902384"/>
    <w:rsid w:val="00902996"/>
    <w:rsid w:val="00902D50"/>
    <w:rsid w:val="00902E6B"/>
    <w:rsid w:val="009030F6"/>
    <w:rsid w:val="00903337"/>
    <w:rsid w:val="0090333F"/>
    <w:rsid w:val="00903571"/>
    <w:rsid w:val="00903E44"/>
    <w:rsid w:val="00904409"/>
    <w:rsid w:val="009045E0"/>
    <w:rsid w:val="00904780"/>
    <w:rsid w:val="00904970"/>
    <w:rsid w:val="00904B07"/>
    <w:rsid w:val="00904B8D"/>
    <w:rsid w:val="00904EC3"/>
    <w:rsid w:val="00905A47"/>
    <w:rsid w:val="00905F64"/>
    <w:rsid w:val="00906023"/>
    <w:rsid w:val="009060DE"/>
    <w:rsid w:val="009061F6"/>
    <w:rsid w:val="009062C9"/>
    <w:rsid w:val="00907607"/>
    <w:rsid w:val="00907B1A"/>
    <w:rsid w:val="00907DA9"/>
    <w:rsid w:val="0091058D"/>
    <w:rsid w:val="0091168E"/>
    <w:rsid w:val="009119A2"/>
    <w:rsid w:val="00911D4F"/>
    <w:rsid w:val="009126F9"/>
    <w:rsid w:val="009129C4"/>
    <w:rsid w:val="009130D7"/>
    <w:rsid w:val="00913A5C"/>
    <w:rsid w:val="00913C71"/>
    <w:rsid w:val="00913DA1"/>
    <w:rsid w:val="00913F1C"/>
    <w:rsid w:val="00913FDB"/>
    <w:rsid w:val="009140FA"/>
    <w:rsid w:val="0091436D"/>
    <w:rsid w:val="00914871"/>
    <w:rsid w:val="00914A80"/>
    <w:rsid w:val="00914E61"/>
    <w:rsid w:val="00914FEE"/>
    <w:rsid w:val="0091511F"/>
    <w:rsid w:val="00915431"/>
    <w:rsid w:val="00915C75"/>
    <w:rsid w:val="00915D51"/>
    <w:rsid w:val="00916435"/>
    <w:rsid w:val="009166F9"/>
    <w:rsid w:val="00916CDF"/>
    <w:rsid w:val="00916D5E"/>
    <w:rsid w:val="00916F2D"/>
    <w:rsid w:val="00916F53"/>
    <w:rsid w:val="009170C0"/>
    <w:rsid w:val="00917A21"/>
    <w:rsid w:val="00917E1F"/>
    <w:rsid w:val="0092026A"/>
    <w:rsid w:val="009202B1"/>
    <w:rsid w:val="009206A0"/>
    <w:rsid w:val="009207B7"/>
    <w:rsid w:val="00920865"/>
    <w:rsid w:val="00920CBF"/>
    <w:rsid w:val="00920D41"/>
    <w:rsid w:val="00921514"/>
    <w:rsid w:val="0092173E"/>
    <w:rsid w:val="009217C3"/>
    <w:rsid w:val="009217F9"/>
    <w:rsid w:val="00921B73"/>
    <w:rsid w:val="00921DFC"/>
    <w:rsid w:val="00921EAF"/>
    <w:rsid w:val="00922384"/>
    <w:rsid w:val="009223C0"/>
    <w:rsid w:val="0092244D"/>
    <w:rsid w:val="0092265B"/>
    <w:rsid w:val="00923496"/>
    <w:rsid w:val="0092360B"/>
    <w:rsid w:val="0092362D"/>
    <w:rsid w:val="009236F9"/>
    <w:rsid w:val="00923F8D"/>
    <w:rsid w:val="00923FBC"/>
    <w:rsid w:val="0092455F"/>
    <w:rsid w:val="009246CD"/>
    <w:rsid w:val="009248CD"/>
    <w:rsid w:val="0092494E"/>
    <w:rsid w:val="00924B57"/>
    <w:rsid w:val="0092535C"/>
    <w:rsid w:val="0092552F"/>
    <w:rsid w:val="00925DAA"/>
    <w:rsid w:val="00925E1F"/>
    <w:rsid w:val="00925EBF"/>
    <w:rsid w:val="00926825"/>
    <w:rsid w:val="0092693A"/>
    <w:rsid w:val="00926B83"/>
    <w:rsid w:val="0092746A"/>
    <w:rsid w:val="0092771F"/>
    <w:rsid w:val="00927989"/>
    <w:rsid w:val="00927C95"/>
    <w:rsid w:val="00927EFB"/>
    <w:rsid w:val="0093040B"/>
    <w:rsid w:val="0093047B"/>
    <w:rsid w:val="00930B69"/>
    <w:rsid w:val="009311C3"/>
    <w:rsid w:val="0093128D"/>
    <w:rsid w:val="009315D9"/>
    <w:rsid w:val="009318C5"/>
    <w:rsid w:val="00931C28"/>
    <w:rsid w:val="00931F45"/>
    <w:rsid w:val="009326AA"/>
    <w:rsid w:val="009327A7"/>
    <w:rsid w:val="00932B0F"/>
    <w:rsid w:val="00932DBC"/>
    <w:rsid w:val="0093324F"/>
    <w:rsid w:val="009339A7"/>
    <w:rsid w:val="00933B30"/>
    <w:rsid w:val="00933DD0"/>
    <w:rsid w:val="00934123"/>
    <w:rsid w:val="009341A3"/>
    <w:rsid w:val="00934808"/>
    <w:rsid w:val="00934E38"/>
    <w:rsid w:val="00934E93"/>
    <w:rsid w:val="00935003"/>
    <w:rsid w:val="00935429"/>
    <w:rsid w:val="00935CF0"/>
    <w:rsid w:val="00936196"/>
    <w:rsid w:val="00936660"/>
    <w:rsid w:val="0093691A"/>
    <w:rsid w:val="00936CC4"/>
    <w:rsid w:val="009372E4"/>
    <w:rsid w:val="0094005D"/>
    <w:rsid w:val="0094023A"/>
    <w:rsid w:val="009402DA"/>
    <w:rsid w:val="00940423"/>
    <w:rsid w:val="00940767"/>
    <w:rsid w:val="0094096E"/>
    <w:rsid w:val="00940ED0"/>
    <w:rsid w:val="00940FBA"/>
    <w:rsid w:val="00941E12"/>
    <w:rsid w:val="009422A8"/>
    <w:rsid w:val="009429F0"/>
    <w:rsid w:val="00942B02"/>
    <w:rsid w:val="00942DA9"/>
    <w:rsid w:val="00942E4C"/>
    <w:rsid w:val="00942F7F"/>
    <w:rsid w:val="00942FA6"/>
    <w:rsid w:val="0094360F"/>
    <w:rsid w:val="00943DA9"/>
    <w:rsid w:val="00944877"/>
    <w:rsid w:val="00944CA0"/>
    <w:rsid w:val="00944D0C"/>
    <w:rsid w:val="00944DFF"/>
    <w:rsid w:val="0094526C"/>
    <w:rsid w:val="009455DE"/>
    <w:rsid w:val="00945BB9"/>
    <w:rsid w:val="00946614"/>
    <w:rsid w:val="0094670C"/>
    <w:rsid w:val="00946C8C"/>
    <w:rsid w:val="00946DB4"/>
    <w:rsid w:val="00946DDA"/>
    <w:rsid w:val="00947047"/>
    <w:rsid w:val="009473CA"/>
    <w:rsid w:val="009475D9"/>
    <w:rsid w:val="009476F5"/>
    <w:rsid w:val="009477BA"/>
    <w:rsid w:val="00947AAA"/>
    <w:rsid w:val="009500C6"/>
    <w:rsid w:val="009504D2"/>
    <w:rsid w:val="009506BE"/>
    <w:rsid w:val="0095081D"/>
    <w:rsid w:val="00950D60"/>
    <w:rsid w:val="00950DE8"/>
    <w:rsid w:val="0095161B"/>
    <w:rsid w:val="009526BB"/>
    <w:rsid w:val="00952853"/>
    <w:rsid w:val="00953506"/>
    <w:rsid w:val="009536B2"/>
    <w:rsid w:val="00953AF2"/>
    <w:rsid w:val="009541A8"/>
    <w:rsid w:val="0095429B"/>
    <w:rsid w:val="0095458F"/>
    <w:rsid w:val="00954638"/>
    <w:rsid w:val="00954960"/>
    <w:rsid w:val="00954B55"/>
    <w:rsid w:val="00954BD8"/>
    <w:rsid w:val="00954DBA"/>
    <w:rsid w:val="0095563B"/>
    <w:rsid w:val="00955B58"/>
    <w:rsid w:val="00955FCD"/>
    <w:rsid w:val="00956159"/>
    <w:rsid w:val="0095632F"/>
    <w:rsid w:val="00956481"/>
    <w:rsid w:val="009564C2"/>
    <w:rsid w:val="00956A8C"/>
    <w:rsid w:val="00956AE2"/>
    <w:rsid w:val="00956DA0"/>
    <w:rsid w:val="0095706D"/>
    <w:rsid w:val="009576A0"/>
    <w:rsid w:val="009578BF"/>
    <w:rsid w:val="00957A8E"/>
    <w:rsid w:val="00960412"/>
    <w:rsid w:val="009604C5"/>
    <w:rsid w:val="00960CD2"/>
    <w:rsid w:val="0096120D"/>
    <w:rsid w:val="0096154F"/>
    <w:rsid w:val="009615E5"/>
    <w:rsid w:val="0096189A"/>
    <w:rsid w:val="00962836"/>
    <w:rsid w:val="00962CF4"/>
    <w:rsid w:val="00962EE6"/>
    <w:rsid w:val="009639D4"/>
    <w:rsid w:val="00963A84"/>
    <w:rsid w:val="00963BCD"/>
    <w:rsid w:val="009640B2"/>
    <w:rsid w:val="0096414A"/>
    <w:rsid w:val="009646E2"/>
    <w:rsid w:val="0096482C"/>
    <w:rsid w:val="009650CC"/>
    <w:rsid w:val="00965672"/>
    <w:rsid w:val="00965A17"/>
    <w:rsid w:val="00965E49"/>
    <w:rsid w:val="0096617A"/>
    <w:rsid w:val="0096635C"/>
    <w:rsid w:val="0096647C"/>
    <w:rsid w:val="009664BC"/>
    <w:rsid w:val="0096689C"/>
    <w:rsid w:val="00966D57"/>
    <w:rsid w:val="00966E45"/>
    <w:rsid w:val="00967484"/>
    <w:rsid w:val="00967722"/>
    <w:rsid w:val="00967A36"/>
    <w:rsid w:val="00967D1E"/>
    <w:rsid w:val="00970188"/>
    <w:rsid w:val="0097074C"/>
    <w:rsid w:val="00970910"/>
    <w:rsid w:val="009709E8"/>
    <w:rsid w:val="00970D77"/>
    <w:rsid w:val="0097179A"/>
    <w:rsid w:val="009718D4"/>
    <w:rsid w:val="00971B10"/>
    <w:rsid w:val="009724A1"/>
    <w:rsid w:val="009724B5"/>
    <w:rsid w:val="00973C9C"/>
    <w:rsid w:val="00973F21"/>
    <w:rsid w:val="0097476E"/>
    <w:rsid w:val="009748FD"/>
    <w:rsid w:val="00974EB0"/>
    <w:rsid w:val="00974F09"/>
    <w:rsid w:val="009755C8"/>
    <w:rsid w:val="00975D95"/>
    <w:rsid w:val="00975F1A"/>
    <w:rsid w:val="00976101"/>
    <w:rsid w:val="00976103"/>
    <w:rsid w:val="00976675"/>
    <w:rsid w:val="0097693F"/>
    <w:rsid w:val="00976A1A"/>
    <w:rsid w:val="00976A94"/>
    <w:rsid w:val="0097741B"/>
    <w:rsid w:val="00977422"/>
    <w:rsid w:val="009778AA"/>
    <w:rsid w:val="00977C4B"/>
    <w:rsid w:val="00980C1E"/>
    <w:rsid w:val="00980D64"/>
    <w:rsid w:val="00980EEE"/>
    <w:rsid w:val="00980FD8"/>
    <w:rsid w:val="0098118C"/>
    <w:rsid w:val="00981BC5"/>
    <w:rsid w:val="00982526"/>
    <w:rsid w:val="0098274F"/>
    <w:rsid w:val="00982963"/>
    <w:rsid w:val="00982BD4"/>
    <w:rsid w:val="00982E53"/>
    <w:rsid w:val="00982F26"/>
    <w:rsid w:val="0098347A"/>
    <w:rsid w:val="0098349B"/>
    <w:rsid w:val="00983A28"/>
    <w:rsid w:val="00983A61"/>
    <w:rsid w:val="00983A91"/>
    <w:rsid w:val="00983ACF"/>
    <w:rsid w:val="00984345"/>
    <w:rsid w:val="00984A7D"/>
    <w:rsid w:val="00984E1C"/>
    <w:rsid w:val="00984E83"/>
    <w:rsid w:val="00984FCB"/>
    <w:rsid w:val="00984FE8"/>
    <w:rsid w:val="00985063"/>
    <w:rsid w:val="00985401"/>
    <w:rsid w:val="00985797"/>
    <w:rsid w:val="00985926"/>
    <w:rsid w:val="00985DC1"/>
    <w:rsid w:val="00985E09"/>
    <w:rsid w:val="0098613D"/>
    <w:rsid w:val="00986DFE"/>
    <w:rsid w:val="00986EED"/>
    <w:rsid w:val="00987521"/>
    <w:rsid w:val="0098771D"/>
    <w:rsid w:val="00987720"/>
    <w:rsid w:val="00987779"/>
    <w:rsid w:val="00987CDC"/>
    <w:rsid w:val="00990FDC"/>
    <w:rsid w:val="0099117B"/>
    <w:rsid w:val="0099156C"/>
    <w:rsid w:val="00991995"/>
    <w:rsid w:val="00992403"/>
    <w:rsid w:val="009924E3"/>
    <w:rsid w:val="00993375"/>
    <w:rsid w:val="00993421"/>
    <w:rsid w:val="009936E7"/>
    <w:rsid w:val="0099372B"/>
    <w:rsid w:val="00993955"/>
    <w:rsid w:val="00993DFE"/>
    <w:rsid w:val="00993EDA"/>
    <w:rsid w:val="00993EFA"/>
    <w:rsid w:val="0099404F"/>
    <w:rsid w:val="00994D1B"/>
    <w:rsid w:val="00994FB5"/>
    <w:rsid w:val="0099526D"/>
    <w:rsid w:val="009953B1"/>
    <w:rsid w:val="00995486"/>
    <w:rsid w:val="00995999"/>
    <w:rsid w:val="00995B22"/>
    <w:rsid w:val="00995D13"/>
    <w:rsid w:val="009962B9"/>
    <w:rsid w:val="00996437"/>
    <w:rsid w:val="009964E1"/>
    <w:rsid w:val="00996586"/>
    <w:rsid w:val="00996CFA"/>
    <w:rsid w:val="00996E4C"/>
    <w:rsid w:val="00996E95"/>
    <w:rsid w:val="0099757A"/>
    <w:rsid w:val="009979D6"/>
    <w:rsid w:val="00997B45"/>
    <w:rsid w:val="009A01D8"/>
    <w:rsid w:val="009A01E8"/>
    <w:rsid w:val="009A058B"/>
    <w:rsid w:val="009A0B5F"/>
    <w:rsid w:val="009A1025"/>
    <w:rsid w:val="009A1033"/>
    <w:rsid w:val="009A11B1"/>
    <w:rsid w:val="009A1B98"/>
    <w:rsid w:val="009A21EA"/>
    <w:rsid w:val="009A2387"/>
    <w:rsid w:val="009A2457"/>
    <w:rsid w:val="009A2537"/>
    <w:rsid w:val="009A2C69"/>
    <w:rsid w:val="009A2CB0"/>
    <w:rsid w:val="009A3ADD"/>
    <w:rsid w:val="009A41AB"/>
    <w:rsid w:val="009A4290"/>
    <w:rsid w:val="009A4828"/>
    <w:rsid w:val="009A4B6F"/>
    <w:rsid w:val="009A4F48"/>
    <w:rsid w:val="009A5315"/>
    <w:rsid w:val="009A54EF"/>
    <w:rsid w:val="009A6340"/>
    <w:rsid w:val="009A636E"/>
    <w:rsid w:val="009A667D"/>
    <w:rsid w:val="009A7180"/>
    <w:rsid w:val="009A727E"/>
    <w:rsid w:val="009A79B5"/>
    <w:rsid w:val="009A7D4E"/>
    <w:rsid w:val="009A7EC8"/>
    <w:rsid w:val="009B00A5"/>
    <w:rsid w:val="009B03D6"/>
    <w:rsid w:val="009B0556"/>
    <w:rsid w:val="009B0AB4"/>
    <w:rsid w:val="009B0C39"/>
    <w:rsid w:val="009B1348"/>
    <w:rsid w:val="009B26B1"/>
    <w:rsid w:val="009B29B4"/>
    <w:rsid w:val="009B2A08"/>
    <w:rsid w:val="009B2A45"/>
    <w:rsid w:val="009B2B76"/>
    <w:rsid w:val="009B31AF"/>
    <w:rsid w:val="009B31DB"/>
    <w:rsid w:val="009B39B8"/>
    <w:rsid w:val="009B3D3D"/>
    <w:rsid w:val="009B413A"/>
    <w:rsid w:val="009B455D"/>
    <w:rsid w:val="009B4562"/>
    <w:rsid w:val="009B466F"/>
    <w:rsid w:val="009B4B01"/>
    <w:rsid w:val="009B5309"/>
    <w:rsid w:val="009B5849"/>
    <w:rsid w:val="009B5B3F"/>
    <w:rsid w:val="009B5DAE"/>
    <w:rsid w:val="009B5FCD"/>
    <w:rsid w:val="009B655F"/>
    <w:rsid w:val="009B68BF"/>
    <w:rsid w:val="009B6D9F"/>
    <w:rsid w:val="009B6DF7"/>
    <w:rsid w:val="009B7325"/>
    <w:rsid w:val="009B7526"/>
    <w:rsid w:val="009B77F0"/>
    <w:rsid w:val="009B7F3F"/>
    <w:rsid w:val="009C0155"/>
    <w:rsid w:val="009C036E"/>
    <w:rsid w:val="009C03A8"/>
    <w:rsid w:val="009C0B31"/>
    <w:rsid w:val="009C0C8E"/>
    <w:rsid w:val="009C1156"/>
    <w:rsid w:val="009C140D"/>
    <w:rsid w:val="009C142F"/>
    <w:rsid w:val="009C1B3A"/>
    <w:rsid w:val="009C2287"/>
    <w:rsid w:val="009C28B7"/>
    <w:rsid w:val="009C2E36"/>
    <w:rsid w:val="009C3B0C"/>
    <w:rsid w:val="009C3D01"/>
    <w:rsid w:val="009C406B"/>
    <w:rsid w:val="009C43E9"/>
    <w:rsid w:val="009C499A"/>
    <w:rsid w:val="009C4C52"/>
    <w:rsid w:val="009C4C63"/>
    <w:rsid w:val="009C4C97"/>
    <w:rsid w:val="009C5875"/>
    <w:rsid w:val="009C67E7"/>
    <w:rsid w:val="009C6C97"/>
    <w:rsid w:val="009C6F08"/>
    <w:rsid w:val="009C7545"/>
    <w:rsid w:val="009C78CA"/>
    <w:rsid w:val="009C7BE6"/>
    <w:rsid w:val="009D02B2"/>
    <w:rsid w:val="009D07D8"/>
    <w:rsid w:val="009D0920"/>
    <w:rsid w:val="009D0C2F"/>
    <w:rsid w:val="009D0DC0"/>
    <w:rsid w:val="009D1161"/>
    <w:rsid w:val="009D1ABD"/>
    <w:rsid w:val="009D2452"/>
    <w:rsid w:val="009D263F"/>
    <w:rsid w:val="009D2AA1"/>
    <w:rsid w:val="009D3017"/>
    <w:rsid w:val="009D31CB"/>
    <w:rsid w:val="009D40D8"/>
    <w:rsid w:val="009D422E"/>
    <w:rsid w:val="009D4BB3"/>
    <w:rsid w:val="009D53C4"/>
    <w:rsid w:val="009D586E"/>
    <w:rsid w:val="009D5C1B"/>
    <w:rsid w:val="009D61C4"/>
    <w:rsid w:val="009D66B4"/>
    <w:rsid w:val="009D6BC6"/>
    <w:rsid w:val="009D6E77"/>
    <w:rsid w:val="009D7681"/>
    <w:rsid w:val="009E00DC"/>
    <w:rsid w:val="009E083E"/>
    <w:rsid w:val="009E08DF"/>
    <w:rsid w:val="009E09EA"/>
    <w:rsid w:val="009E0D72"/>
    <w:rsid w:val="009E115D"/>
    <w:rsid w:val="009E11ED"/>
    <w:rsid w:val="009E1FAF"/>
    <w:rsid w:val="009E2472"/>
    <w:rsid w:val="009E2541"/>
    <w:rsid w:val="009E27B0"/>
    <w:rsid w:val="009E3230"/>
    <w:rsid w:val="009E3468"/>
    <w:rsid w:val="009E48EF"/>
    <w:rsid w:val="009E4D5E"/>
    <w:rsid w:val="009E4ED1"/>
    <w:rsid w:val="009E5998"/>
    <w:rsid w:val="009E5B4A"/>
    <w:rsid w:val="009E5B6D"/>
    <w:rsid w:val="009E688C"/>
    <w:rsid w:val="009E694D"/>
    <w:rsid w:val="009E748B"/>
    <w:rsid w:val="009E7730"/>
    <w:rsid w:val="009E7A42"/>
    <w:rsid w:val="009E7A60"/>
    <w:rsid w:val="009F039F"/>
    <w:rsid w:val="009F0641"/>
    <w:rsid w:val="009F0FE7"/>
    <w:rsid w:val="009F1061"/>
    <w:rsid w:val="009F12A9"/>
    <w:rsid w:val="009F13FA"/>
    <w:rsid w:val="009F182F"/>
    <w:rsid w:val="009F1B52"/>
    <w:rsid w:val="009F1B8D"/>
    <w:rsid w:val="009F1C76"/>
    <w:rsid w:val="009F1D59"/>
    <w:rsid w:val="009F2E9D"/>
    <w:rsid w:val="009F2FA5"/>
    <w:rsid w:val="009F30A3"/>
    <w:rsid w:val="009F3504"/>
    <w:rsid w:val="009F3548"/>
    <w:rsid w:val="009F3DE8"/>
    <w:rsid w:val="009F3E13"/>
    <w:rsid w:val="009F43D4"/>
    <w:rsid w:val="009F43F5"/>
    <w:rsid w:val="009F4FBE"/>
    <w:rsid w:val="009F4FCC"/>
    <w:rsid w:val="009F53AE"/>
    <w:rsid w:val="009F53B9"/>
    <w:rsid w:val="009F5D4B"/>
    <w:rsid w:val="009F5DA1"/>
    <w:rsid w:val="009F5F8B"/>
    <w:rsid w:val="009F6054"/>
    <w:rsid w:val="009F6148"/>
    <w:rsid w:val="009F619E"/>
    <w:rsid w:val="009F651A"/>
    <w:rsid w:val="009F7011"/>
    <w:rsid w:val="009F707B"/>
    <w:rsid w:val="009F7327"/>
    <w:rsid w:val="009F793D"/>
    <w:rsid w:val="009F79BA"/>
    <w:rsid w:val="009F7EC3"/>
    <w:rsid w:val="00A000F6"/>
    <w:rsid w:val="00A00156"/>
    <w:rsid w:val="00A00569"/>
    <w:rsid w:val="00A00906"/>
    <w:rsid w:val="00A00F0F"/>
    <w:rsid w:val="00A014FE"/>
    <w:rsid w:val="00A01664"/>
    <w:rsid w:val="00A01672"/>
    <w:rsid w:val="00A01D83"/>
    <w:rsid w:val="00A01FC6"/>
    <w:rsid w:val="00A020FB"/>
    <w:rsid w:val="00A02B87"/>
    <w:rsid w:val="00A033EE"/>
    <w:rsid w:val="00A038EB"/>
    <w:rsid w:val="00A03906"/>
    <w:rsid w:val="00A03D53"/>
    <w:rsid w:val="00A0452C"/>
    <w:rsid w:val="00A04A92"/>
    <w:rsid w:val="00A05666"/>
    <w:rsid w:val="00A05CB6"/>
    <w:rsid w:val="00A05F3A"/>
    <w:rsid w:val="00A05FD3"/>
    <w:rsid w:val="00A067BB"/>
    <w:rsid w:val="00A06A37"/>
    <w:rsid w:val="00A06AF1"/>
    <w:rsid w:val="00A06B38"/>
    <w:rsid w:val="00A06FE1"/>
    <w:rsid w:val="00A06FE7"/>
    <w:rsid w:val="00A07756"/>
    <w:rsid w:val="00A07E51"/>
    <w:rsid w:val="00A1061F"/>
    <w:rsid w:val="00A10B66"/>
    <w:rsid w:val="00A11264"/>
    <w:rsid w:val="00A113AF"/>
    <w:rsid w:val="00A11639"/>
    <w:rsid w:val="00A11AB4"/>
    <w:rsid w:val="00A11EBA"/>
    <w:rsid w:val="00A1273C"/>
    <w:rsid w:val="00A127B7"/>
    <w:rsid w:val="00A12812"/>
    <w:rsid w:val="00A12AF6"/>
    <w:rsid w:val="00A12F84"/>
    <w:rsid w:val="00A13B05"/>
    <w:rsid w:val="00A13F1E"/>
    <w:rsid w:val="00A1415D"/>
    <w:rsid w:val="00A14332"/>
    <w:rsid w:val="00A14418"/>
    <w:rsid w:val="00A1515F"/>
    <w:rsid w:val="00A151CE"/>
    <w:rsid w:val="00A15600"/>
    <w:rsid w:val="00A15ADE"/>
    <w:rsid w:val="00A15B3E"/>
    <w:rsid w:val="00A15B55"/>
    <w:rsid w:val="00A15B69"/>
    <w:rsid w:val="00A161C0"/>
    <w:rsid w:val="00A16265"/>
    <w:rsid w:val="00A1658F"/>
    <w:rsid w:val="00A165B4"/>
    <w:rsid w:val="00A166CB"/>
    <w:rsid w:val="00A16871"/>
    <w:rsid w:val="00A168DE"/>
    <w:rsid w:val="00A17417"/>
    <w:rsid w:val="00A174B6"/>
    <w:rsid w:val="00A1763A"/>
    <w:rsid w:val="00A1784A"/>
    <w:rsid w:val="00A17884"/>
    <w:rsid w:val="00A17971"/>
    <w:rsid w:val="00A17A65"/>
    <w:rsid w:val="00A17F35"/>
    <w:rsid w:val="00A202B2"/>
    <w:rsid w:val="00A203B7"/>
    <w:rsid w:val="00A212E5"/>
    <w:rsid w:val="00A213C6"/>
    <w:rsid w:val="00A2176F"/>
    <w:rsid w:val="00A21A51"/>
    <w:rsid w:val="00A21BF6"/>
    <w:rsid w:val="00A21FAE"/>
    <w:rsid w:val="00A2217E"/>
    <w:rsid w:val="00A223AB"/>
    <w:rsid w:val="00A23050"/>
    <w:rsid w:val="00A24172"/>
    <w:rsid w:val="00A24487"/>
    <w:rsid w:val="00A24919"/>
    <w:rsid w:val="00A24D3D"/>
    <w:rsid w:val="00A258D1"/>
    <w:rsid w:val="00A25A9E"/>
    <w:rsid w:val="00A25B28"/>
    <w:rsid w:val="00A25B97"/>
    <w:rsid w:val="00A25CCE"/>
    <w:rsid w:val="00A25E9A"/>
    <w:rsid w:val="00A2612F"/>
    <w:rsid w:val="00A266A5"/>
    <w:rsid w:val="00A30018"/>
    <w:rsid w:val="00A301B7"/>
    <w:rsid w:val="00A30DCC"/>
    <w:rsid w:val="00A3107D"/>
    <w:rsid w:val="00A31964"/>
    <w:rsid w:val="00A31AD9"/>
    <w:rsid w:val="00A31B1B"/>
    <w:rsid w:val="00A31C59"/>
    <w:rsid w:val="00A31E9C"/>
    <w:rsid w:val="00A323F1"/>
    <w:rsid w:val="00A32406"/>
    <w:rsid w:val="00A3274E"/>
    <w:rsid w:val="00A32A50"/>
    <w:rsid w:val="00A335A6"/>
    <w:rsid w:val="00A33995"/>
    <w:rsid w:val="00A344B9"/>
    <w:rsid w:val="00A3459D"/>
    <w:rsid w:val="00A34723"/>
    <w:rsid w:val="00A34B61"/>
    <w:rsid w:val="00A34C90"/>
    <w:rsid w:val="00A34E52"/>
    <w:rsid w:val="00A34EC4"/>
    <w:rsid w:val="00A352E7"/>
    <w:rsid w:val="00A35550"/>
    <w:rsid w:val="00A3570B"/>
    <w:rsid w:val="00A3570E"/>
    <w:rsid w:val="00A35782"/>
    <w:rsid w:val="00A358BC"/>
    <w:rsid w:val="00A35906"/>
    <w:rsid w:val="00A36194"/>
    <w:rsid w:val="00A36CF2"/>
    <w:rsid w:val="00A370FF"/>
    <w:rsid w:val="00A3710A"/>
    <w:rsid w:val="00A37300"/>
    <w:rsid w:val="00A3750D"/>
    <w:rsid w:val="00A3765F"/>
    <w:rsid w:val="00A37AEA"/>
    <w:rsid w:val="00A37CF1"/>
    <w:rsid w:val="00A37D41"/>
    <w:rsid w:val="00A401DD"/>
    <w:rsid w:val="00A40510"/>
    <w:rsid w:val="00A405F9"/>
    <w:rsid w:val="00A40CFA"/>
    <w:rsid w:val="00A40D3F"/>
    <w:rsid w:val="00A4118B"/>
    <w:rsid w:val="00A4124D"/>
    <w:rsid w:val="00A41349"/>
    <w:rsid w:val="00A4174B"/>
    <w:rsid w:val="00A41BBC"/>
    <w:rsid w:val="00A41C9D"/>
    <w:rsid w:val="00A41E15"/>
    <w:rsid w:val="00A41E86"/>
    <w:rsid w:val="00A42071"/>
    <w:rsid w:val="00A42319"/>
    <w:rsid w:val="00A42533"/>
    <w:rsid w:val="00A426A4"/>
    <w:rsid w:val="00A43345"/>
    <w:rsid w:val="00A43541"/>
    <w:rsid w:val="00A43620"/>
    <w:rsid w:val="00A436F4"/>
    <w:rsid w:val="00A4381F"/>
    <w:rsid w:val="00A43A75"/>
    <w:rsid w:val="00A43B37"/>
    <w:rsid w:val="00A43F3D"/>
    <w:rsid w:val="00A44358"/>
    <w:rsid w:val="00A449A4"/>
    <w:rsid w:val="00A44FF9"/>
    <w:rsid w:val="00A45A34"/>
    <w:rsid w:val="00A45C57"/>
    <w:rsid w:val="00A46145"/>
    <w:rsid w:val="00A46737"/>
    <w:rsid w:val="00A46857"/>
    <w:rsid w:val="00A469ED"/>
    <w:rsid w:val="00A46C61"/>
    <w:rsid w:val="00A46D23"/>
    <w:rsid w:val="00A473DD"/>
    <w:rsid w:val="00A47426"/>
    <w:rsid w:val="00A47A5F"/>
    <w:rsid w:val="00A47A92"/>
    <w:rsid w:val="00A47AF4"/>
    <w:rsid w:val="00A47D0D"/>
    <w:rsid w:val="00A47D4B"/>
    <w:rsid w:val="00A504EF"/>
    <w:rsid w:val="00A505E3"/>
    <w:rsid w:val="00A506B6"/>
    <w:rsid w:val="00A50A70"/>
    <w:rsid w:val="00A51706"/>
    <w:rsid w:val="00A5173A"/>
    <w:rsid w:val="00A51AF3"/>
    <w:rsid w:val="00A51D47"/>
    <w:rsid w:val="00A51E79"/>
    <w:rsid w:val="00A51F5B"/>
    <w:rsid w:val="00A5280F"/>
    <w:rsid w:val="00A54450"/>
    <w:rsid w:val="00A54963"/>
    <w:rsid w:val="00A54C2E"/>
    <w:rsid w:val="00A5529B"/>
    <w:rsid w:val="00A5551E"/>
    <w:rsid w:val="00A5576A"/>
    <w:rsid w:val="00A55D4E"/>
    <w:rsid w:val="00A56059"/>
    <w:rsid w:val="00A561EC"/>
    <w:rsid w:val="00A5641D"/>
    <w:rsid w:val="00A568F8"/>
    <w:rsid w:val="00A56949"/>
    <w:rsid w:val="00A56C10"/>
    <w:rsid w:val="00A56D1E"/>
    <w:rsid w:val="00A5708F"/>
    <w:rsid w:val="00A57694"/>
    <w:rsid w:val="00A57815"/>
    <w:rsid w:val="00A604DA"/>
    <w:rsid w:val="00A6109D"/>
    <w:rsid w:val="00A61159"/>
    <w:rsid w:val="00A611B3"/>
    <w:rsid w:val="00A6151E"/>
    <w:rsid w:val="00A616A2"/>
    <w:rsid w:val="00A617C1"/>
    <w:rsid w:val="00A6229B"/>
    <w:rsid w:val="00A623FA"/>
    <w:rsid w:val="00A6258E"/>
    <w:rsid w:val="00A6268D"/>
    <w:rsid w:val="00A629AF"/>
    <w:rsid w:val="00A62CBF"/>
    <w:rsid w:val="00A62F29"/>
    <w:rsid w:val="00A63032"/>
    <w:rsid w:val="00A6337E"/>
    <w:rsid w:val="00A636CD"/>
    <w:rsid w:val="00A6388B"/>
    <w:rsid w:val="00A6394B"/>
    <w:rsid w:val="00A63B92"/>
    <w:rsid w:val="00A63C81"/>
    <w:rsid w:val="00A63EAF"/>
    <w:rsid w:val="00A645B3"/>
    <w:rsid w:val="00A6463B"/>
    <w:rsid w:val="00A647CA"/>
    <w:rsid w:val="00A648AB"/>
    <w:rsid w:val="00A64A17"/>
    <w:rsid w:val="00A64F0B"/>
    <w:rsid w:val="00A65415"/>
    <w:rsid w:val="00A65D3E"/>
    <w:rsid w:val="00A6600F"/>
    <w:rsid w:val="00A66106"/>
    <w:rsid w:val="00A6623E"/>
    <w:rsid w:val="00A66BE8"/>
    <w:rsid w:val="00A66EF1"/>
    <w:rsid w:val="00A66F82"/>
    <w:rsid w:val="00A672F8"/>
    <w:rsid w:val="00A6783B"/>
    <w:rsid w:val="00A67F41"/>
    <w:rsid w:val="00A7008A"/>
    <w:rsid w:val="00A706BC"/>
    <w:rsid w:val="00A70885"/>
    <w:rsid w:val="00A70997"/>
    <w:rsid w:val="00A712BC"/>
    <w:rsid w:val="00A712E9"/>
    <w:rsid w:val="00A714D6"/>
    <w:rsid w:val="00A716D0"/>
    <w:rsid w:val="00A718B7"/>
    <w:rsid w:val="00A71E4C"/>
    <w:rsid w:val="00A72BEE"/>
    <w:rsid w:val="00A72E4B"/>
    <w:rsid w:val="00A7307A"/>
    <w:rsid w:val="00A73254"/>
    <w:rsid w:val="00A73339"/>
    <w:rsid w:val="00A735A7"/>
    <w:rsid w:val="00A73654"/>
    <w:rsid w:val="00A737F7"/>
    <w:rsid w:val="00A73A5F"/>
    <w:rsid w:val="00A73AC8"/>
    <w:rsid w:val="00A73E72"/>
    <w:rsid w:val="00A741D5"/>
    <w:rsid w:val="00A751ED"/>
    <w:rsid w:val="00A75224"/>
    <w:rsid w:val="00A754DD"/>
    <w:rsid w:val="00A755E4"/>
    <w:rsid w:val="00A75763"/>
    <w:rsid w:val="00A75773"/>
    <w:rsid w:val="00A75FE9"/>
    <w:rsid w:val="00A760D9"/>
    <w:rsid w:val="00A7650D"/>
    <w:rsid w:val="00A7678E"/>
    <w:rsid w:val="00A77227"/>
    <w:rsid w:val="00A77CF5"/>
    <w:rsid w:val="00A8056B"/>
    <w:rsid w:val="00A809D9"/>
    <w:rsid w:val="00A80FBE"/>
    <w:rsid w:val="00A817AC"/>
    <w:rsid w:val="00A828AE"/>
    <w:rsid w:val="00A82D88"/>
    <w:rsid w:val="00A834A9"/>
    <w:rsid w:val="00A834F5"/>
    <w:rsid w:val="00A8350A"/>
    <w:rsid w:val="00A836CC"/>
    <w:rsid w:val="00A83B39"/>
    <w:rsid w:val="00A83E43"/>
    <w:rsid w:val="00A83EA4"/>
    <w:rsid w:val="00A840A8"/>
    <w:rsid w:val="00A855A6"/>
    <w:rsid w:val="00A85812"/>
    <w:rsid w:val="00A859FA"/>
    <w:rsid w:val="00A85EDF"/>
    <w:rsid w:val="00A8617E"/>
    <w:rsid w:val="00A8632A"/>
    <w:rsid w:val="00A86419"/>
    <w:rsid w:val="00A866F6"/>
    <w:rsid w:val="00A873F6"/>
    <w:rsid w:val="00A87C78"/>
    <w:rsid w:val="00A87C87"/>
    <w:rsid w:val="00A87D3A"/>
    <w:rsid w:val="00A9046F"/>
    <w:rsid w:val="00A905AA"/>
    <w:rsid w:val="00A90786"/>
    <w:rsid w:val="00A907E2"/>
    <w:rsid w:val="00A91129"/>
    <w:rsid w:val="00A9132B"/>
    <w:rsid w:val="00A9151A"/>
    <w:rsid w:val="00A91620"/>
    <w:rsid w:val="00A91E96"/>
    <w:rsid w:val="00A91EA9"/>
    <w:rsid w:val="00A91F5A"/>
    <w:rsid w:val="00A92710"/>
    <w:rsid w:val="00A930E5"/>
    <w:rsid w:val="00A93549"/>
    <w:rsid w:val="00A93E5A"/>
    <w:rsid w:val="00A94352"/>
    <w:rsid w:val="00A94B2D"/>
    <w:rsid w:val="00A9530A"/>
    <w:rsid w:val="00A9572E"/>
    <w:rsid w:val="00A95D4E"/>
    <w:rsid w:val="00A960A7"/>
    <w:rsid w:val="00A96314"/>
    <w:rsid w:val="00A965BA"/>
    <w:rsid w:val="00A965C3"/>
    <w:rsid w:val="00A96A42"/>
    <w:rsid w:val="00AA019B"/>
    <w:rsid w:val="00AA03DB"/>
    <w:rsid w:val="00AA06A4"/>
    <w:rsid w:val="00AA06D6"/>
    <w:rsid w:val="00AA0DD9"/>
    <w:rsid w:val="00AA11C6"/>
    <w:rsid w:val="00AA1402"/>
    <w:rsid w:val="00AA1648"/>
    <w:rsid w:val="00AA1720"/>
    <w:rsid w:val="00AA1762"/>
    <w:rsid w:val="00AA1B93"/>
    <w:rsid w:val="00AA1E3C"/>
    <w:rsid w:val="00AA1F15"/>
    <w:rsid w:val="00AA2041"/>
    <w:rsid w:val="00AA278C"/>
    <w:rsid w:val="00AA2B56"/>
    <w:rsid w:val="00AA2C16"/>
    <w:rsid w:val="00AA2F1C"/>
    <w:rsid w:val="00AA300D"/>
    <w:rsid w:val="00AA370E"/>
    <w:rsid w:val="00AA4502"/>
    <w:rsid w:val="00AA4528"/>
    <w:rsid w:val="00AA47DF"/>
    <w:rsid w:val="00AA49FD"/>
    <w:rsid w:val="00AA4DDE"/>
    <w:rsid w:val="00AA5961"/>
    <w:rsid w:val="00AA5FB4"/>
    <w:rsid w:val="00AA6097"/>
    <w:rsid w:val="00AA6224"/>
    <w:rsid w:val="00AA659F"/>
    <w:rsid w:val="00AA6664"/>
    <w:rsid w:val="00AA67FA"/>
    <w:rsid w:val="00AA6845"/>
    <w:rsid w:val="00AA6B8B"/>
    <w:rsid w:val="00AA6C6A"/>
    <w:rsid w:val="00AA6ED5"/>
    <w:rsid w:val="00AA6F20"/>
    <w:rsid w:val="00AA790F"/>
    <w:rsid w:val="00AA7989"/>
    <w:rsid w:val="00AA7C40"/>
    <w:rsid w:val="00AA7E88"/>
    <w:rsid w:val="00AB006C"/>
    <w:rsid w:val="00AB0762"/>
    <w:rsid w:val="00AB09D1"/>
    <w:rsid w:val="00AB0D64"/>
    <w:rsid w:val="00AB0D94"/>
    <w:rsid w:val="00AB0F45"/>
    <w:rsid w:val="00AB11A6"/>
    <w:rsid w:val="00AB11B0"/>
    <w:rsid w:val="00AB17B8"/>
    <w:rsid w:val="00AB1C98"/>
    <w:rsid w:val="00AB1E89"/>
    <w:rsid w:val="00AB21F7"/>
    <w:rsid w:val="00AB2428"/>
    <w:rsid w:val="00AB2A67"/>
    <w:rsid w:val="00AB3EC3"/>
    <w:rsid w:val="00AB3EF1"/>
    <w:rsid w:val="00AB405E"/>
    <w:rsid w:val="00AB414D"/>
    <w:rsid w:val="00AB4422"/>
    <w:rsid w:val="00AB4443"/>
    <w:rsid w:val="00AB4588"/>
    <w:rsid w:val="00AB4927"/>
    <w:rsid w:val="00AB539F"/>
    <w:rsid w:val="00AB5524"/>
    <w:rsid w:val="00AB5924"/>
    <w:rsid w:val="00AB59AC"/>
    <w:rsid w:val="00AB5CB1"/>
    <w:rsid w:val="00AB5F43"/>
    <w:rsid w:val="00AB6405"/>
    <w:rsid w:val="00AB6B54"/>
    <w:rsid w:val="00AB6F2B"/>
    <w:rsid w:val="00AB7946"/>
    <w:rsid w:val="00AB7B20"/>
    <w:rsid w:val="00AB7F35"/>
    <w:rsid w:val="00AC057C"/>
    <w:rsid w:val="00AC0779"/>
    <w:rsid w:val="00AC09C3"/>
    <w:rsid w:val="00AC0A64"/>
    <w:rsid w:val="00AC0B6B"/>
    <w:rsid w:val="00AC1144"/>
    <w:rsid w:val="00AC11EE"/>
    <w:rsid w:val="00AC14C6"/>
    <w:rsid w:val="00AC155F"/>
    <w:rsid w:val="00AC1600"/>
    <w:rsid w:val="00AC1F1A"/>
    <w:rsid w:val="00AC21B4"/>
    <w:rsid w:val="00AC250F"/>
    <w:rsid w:val="00AC2570"/>
    <w:rsid w:val="00AC28BD"/>
    <w:rsid w:val="00AC2BD3"/>
    <w:rsid w:val="00AC2D72"/>
    <w:rsid w:val="00AC301E"/>
    <w:rsid w:val="00AC31CC"/>
    <w:rsid w:val="00AC32AF"/>
    <w:rsid w:val="00AC3D4B"/>
    <w:rsid w:val="00AC42DB"/>
    <w:rsid w:val="00AC4341"/>
    <w:rsid w:val="00AC45CA"/>
    <w:rsid w:val="00AC46DF"/>
    <w:rsid w:val="00AC4740"/>
    <w:rsid w:val="00AC476A"/>
    <w:rsid w:val="00AC48CB"/>
    <w:rsid w:val="00AC4F37"/>
    <w:rsid w:val="00AC5759"/>
    <w:rsid w:val="00AC5B28"/>
    <w:rsid w:val="00AC6063"/>
    <w:rsid w:val="00AC609C"/>
    <w:rsid w:val="00AC619F"/>
    <w:rsid w:val="00AC66B4"/>
    <w:rsid w:val="00AC69A6"/>
    <w:rsid w:val="00AC6C6E"/>
    <w:rsid w:val="00AC6E24"/>
    <w:rsid w:val="00AC6E99"/>
    <w:rsid w:val="00AC7412"/>
    <w:rsid w:val="00AC780F"/>
    <w:rsid w:val="00AC78DE"/>
    <w:rsid w:val="00AC7BA1"/>
    <w:rsid w:val="00AC7E89"/>
    <w:rsid w:val="00AC7FB2"/>
    <w:rsid w:val="00AD02B1"/>
    <w:rsid w:val="00AD0C44"/>
    <w:rsid w:val="00AD0DD7"/>
    <w:rsid w:val="00AD1F7B"/>
    <w:rsid w:val="00AD2175"/>
    <w:rsid w:val="00AD253E"/>
    <w:rsid w:val="00AD263A"/>
    <w:rsid w:val="00AD265A"/>
    <w:rsid w:val="00AD2EE4"/>
    <w:rsid w:val="00AD312D"/>
    <w:rsid w:val="00AD3167"/>
    <w:rsid w:val="00AD3864"/>
    <w:rsid w:val="00AD3884"/>
    <w:rsid w:val="00AD3C91"/>
    <w:rsid w:val="00AD3D5E"/>
    <w:rsid w:val="00AD3EB4"/>
    <w:rsid w:val="00AD406D"/>
    <w:rsid w:val="00AD4386"/>
    <w:rsid w:val="00AD47ED"/>
    <w:rsid w:val="00AD4A72"/>
    <w:rsid w:val="00AD4F2A"/>
    <w:rsid w:val="00AD5113"/>
    <w:rsid w:val="00AD5363"/>
    <w:rsid w:val="00AD589E"/>
    <w:rsid w:val="00AD5AB3"/>
    <w:rsid w:val="00AD5C16"/>
    <w:rsid w:val="00AD6085"/>
    <w:rsid w:val="00AD63B4"/>
    <w:rsid w:val="00AD68DF"/>
    <w:rsid w:val="00AD696D"/>
    <w:rsid w:val="00AD6A3F"/>
    <w:rsid w:val="00AD6C50"/>
    <w:rsid w:val="00AD6EF6"/>
    <w:rsid w:val="00AD7304"/>
    <w:rsid w:val="00AD7FEF"/>
    <w:rsid w:val="00AE047B"/>
    <w:rsid w:val="00AE05B6"/>
    <w:rsid w:val="00AE0DC3"/>
    <w:rsid w:val="00AE0FA0"/>
    <w:rsid w:val="00AE10CB"/>
    <w:rsid w:val="00AE1127"/>
    <w:rsid w:val="00AE1492"/>
    <w:rsid w:val="00AE1640"/>
    <w:rsid w:val="00AE1AD5"/>
    <w:rsid w:val="00AE26C9"/>
    <w:rsid w:val="00AE2862"/>
    <w:rsid w:val="00AE3523"/>
    <w:rsid w:val="00AE3688"/>
    <w:rsid w:val="00AE3B55"/>
    <w:rsid w:val="00AE41DA"/>
    <w:rsid w:val="00AE423B"/>
    <w:rsid w:val="00AE51E3"/>
    <w:rsid w:val="00AE592F"/>
    <w:rsid w:val="00AE5B02"/>
    <w:rsid w:val="00AE5D26"/>
    <w:rsid w:val="00AE634A"/>
    <w:rsid w:val="00AE6809"/>
    <w:rsid w:val="00AE6A5E"/>
    <w:rsid w:val="00AE761E"/>
    <w:rsid w:val="00AE78FE"/>
    <w:rsid w:val="00AE7CCE"/>
    <w:rsid w:val="00AF031D"/>
    <w:rsid w:val="00AF0A7A"/>
    <w:rsid w:val="00AF10FD"/>
    <w:rsid w:val="00AF12CA"/>
    <w:rsid w:val="00AF13C2"/>
    <w:rsid w:val="00AF1BCA"/>
    <w:rsid w:val="00AF1F35"/>
    <w:rsid w:val="00AF212D"/>
    <w:rsid w:val="00AF24C6"/>
    <w:rsid w:val="00AF270B"/>
    <w:rsid w:val="00AF2D18"/>
    <w:rsid w:val="00AF3002"/>
    <w:rsid w:val="00AF3010"/>
    <w:rsid w:val="00AF3425"/>
    <w:rsid w:val="00AF3AFE"/>
    <w:rsid w:val="00AF416A"/>
    <w:rsid w:val="00AF4324"/>
    <w:rsid w:val="00AF43A9"/>
    <w:rsid w:val="00AF4C74"/>
    <w:rsid w:val="00AF4CC8"/>
    <w:rsid w:val="00AF4D4B"/>
    <w:rsid w:val="00AF574C"/>
    <w:rsid w:val="00AF5CBC"/>
    <w:rsid w:val="00AF615F"/>
    <w:rsid w:val="00AF6E5F"/>
    <w:rsid w:val="00AF71E8"/>
    <w:rsid w:val="00AF7722"/>
    <w:rsid w:val="00AF79EE"/>
    <w:rsid w:val="00AF7BE2"/>
    <w:rsid w:val="00AF7C0D"/>
    <w:rsid w:val="00AF7D0E"/>
    <w:rsid w:val="00AF7F54"/>
    <w:rsid w:val="00B0059D"/>
    <w:rsid w:val="00B005FC"/>
    <w:rsid w:val="00B00631"/>
    <w:rsid w:val="00B0112E"/>
    <w:rsid w:val="00B0220F"/>
    <w:rsid w:val="00B02ACF"/>
    <w:rsid w:val="00B033AC"/>
    <w:rsid w:val="00B03A43"/>
    <w:rsid w:val="00B0498D"/>
    <w:rsid w:val="00B04D5E"/>
    <w:rsid w:val="00B050CE"/>
    <w:rsid w:val="00B055F6"/>
    <w:rsid w:val="00B05CDA"/>
    <w:rsid w:val="00B05EB3"/>
    <w:rsid w:val="00B0672D"/>
    <w:rsid w:val="00B0699F"/>
    <w:rsid w:val="00B06CB7"/>
    <w:rsid w:val="00B071EC"/>
    <w:rsid w:val="00B0736A"/>
    <w:rsid w:val="00B0761B"/>
    <w:rsid w:val="00B07B99"/>
    <w:rsid w:val="00B07C7C"/>
    <w:rsid w:val="00B101B3"/>
    <w:rsid w:val="00B10330"/>
    <w:rsid w:val="00B103FE"/>
    <w:rsid w:val="00B105CB"/>
    <w:rsid w:val="00B10F4D"/>
    <w:rsid w:val="00B11687"/>
    <w:rsid w:val="00B11C7E"/>
    <w:rsid w:val="00B121BD"/>
    <w:rsid w:val="00B124E3"/>
    <w:rsid w:val="00B1258B"/>
    <w:rsid w:val="00B12592"/>
    <w:rsid w:val="00B12CE7"/>
    <w:rsid w:val="00B1360E"/>
    <w:rsid w:val="00B13D0C"/>
    <w:rsid w:val="00B143AE"/>
    <w:rsid w:val="00B14C85"/>
    <w:rsid w:val="00B14CCF"/>
    <w:rsid w:val="00B14D9E"/>
    <w:rsid w:val="00B14E26"/>
    <w:rsid w:val="00B15252"/>
    <w:rsid w:val="00B15C45"/>
    <w:rsid w:val="00B15C7D"/>
    <w:rsid w:val="00B15F52"/>
    <w:rsid w:val="00B162E7"/>
    <w:rsid w:val="00B1660D"/>
    <w:rsid w:val="00B1700D"/>
    <w:rsid w:val="00B170A1"/>
    <w:rsid w:val="00B17521"/>
    <w:rsid w:val="00B178E2"/>
    <w:rsid w:val="00B17A69"/>
    <w:rsid w:val="00B20036"/>
    <w:rsid w:val="00B200EE"/>
    <w:rsid w:val="00B204BE"/>
    <w:rsid w:val="00B206A1"/>
    <w:rsid w:val="00B20B4B"/>
    <w:rsid w:val="00B213FC"/>
    <w:rsid w:val="00B21477"/>
    <w:rsid w:val="00B21783"/>
    <w:rsid w:val="00B21F2B"/>
    <w:rsid w:val="00B220AF"/>
    <w:rsid w:val="00B22466"/>
    <w:rsid w:val="00B22980"/>
    <w:rsid w:val="00B23258"/>
    <w:rsid w:val="00B23639"/>
    <w:rsid w:val="00B23B67"/>
    <w:rsid w:val="00B24661"/>
    <w:rsid w:val="00B24776"/>
    <w:rsid w:val="00B2480A"/>
    <w:rsid w:val="00B24AAA"/>
    <w:rsid w:val="00B24B4B"/>
    <w:rsid w:val="00B24B71"/>
    <w:rsid w:val="00B2583B"/>
    <w:rsid w:val="00B25C6D"/>
    <w:rsid w:val="00B25D1E"/>
    <w:rsid w:val="00B26573"/>
    <w:rsid w:val="00B26C25"/>
    <w:rsid w:val="00B26ED2"/>
    <w:rsid w:val="00B26EF0"/>
    <w:rsid w:val="00B275F0"/>
    <w:rsid w:val="00B27F18"/>
    <w:rsid w:val="00B27F6D"/>
    <w:rsid w:val="00B30501"/>
    <w:rsid w:val="00B309A3"/>
    <w:rsid w:val="00B30A9C"/>
    <w:rsid w:val="00B30AF1"/>
    <w:rsid w:val="00B30B19"/>
    <w:rsid w:val="00B30CBC"/>
    <w:rsid w:val="00B30FDC"/>
    <w:rsid w:val="00B3114C"/>
    <w:rsid w:val="00B315AB"/>
    <w:rsid w:val="00B31DD0"/>
    <w:rsid w:val="00B32109"/>
    <w:rsid w:val="00B322C4"/>
    <w:rsid w:val="00B324E9"/>
    <w:rsid w:val="00B32644"/>
    <w:rsid w:val="00B32752"/>
    <w:rsid w:val="00B32E1D"/>
    <w:rsid w:val="00B337EF"/>
    <w:rsid w:val="00B339C8"/>
    <w:rsid w:val="00B33ABE"/>
    <w:rsid w:val="00B33B63"/>
    <w:rsid w:val="00B33D2E"/>
    <w:rsid w:val="00B3412E"/>
    <w:rsid w:val="00B34372"/>
    <w:rsid w:val="00B3480C"/>
    <w:rsid w:val="00B348F3"/>
    <w:rsid w:val="00B35BFA"/>
    <w:rsid w:val="00B36090"/>
    <w:rsid w:val="00B361A0"/>
    <w:rsid w:val="00B36DD8"/>
    <w:rsid w:val="00B36E98"/>
    <w:rsid w:val="00B37053"/>
    <w:rsid w:val="00B370E8"/>
    <w:rsid w:val="00B401BE"/>
    <w:rsid w:val="00B41034"/>
    <w:rsid w:val="00B412A7"/>
    <w:rsid w:val="00B4166A"/>
    <w:rsid w:val="00B41714"/>
    <w:rsid w:val="00B41958"/>
    <w:rsid w:val="00B41DAB"/>
    <w:rsid w:val="00B41ED9"/>
    <w:rsid w:val="00B423FC"/>
    <w:rsid w:val="00B426A4"/>
    <w:rsid w:val="00B43999"/>
    <w:rsid w:val="00B43CA9"/>
    <w:rsid w:val="00B43F41"/>
    <w:rsid w:val="00B4416C"/>
    <w:rsid w:val="00B44B97"/>
    <w:rsid w:val="00B45061"/>
    <w:rsid w:val="00B45083"/>
    <w:rsid w:val="00B45849"/>
    <w:rsid w:val="00B45B18"/>
    <w:rsid w:val="00B45C55"/>
    <w:rsid w:val="00B4603E"/>
    <w:rsid w:val="00B46F84"/>
    <w:rsid w:val="00B474F0"/>
    <w:rsid w:val="00B47546"/>
    <w:rsid w:val="00B47A0A"/>
    <w:rsid w:val="00B47A75"/>
    <w:rsid w:val="00B47A7A"/>
    <w:rsid w:val="00B50097"/>
    <w:rsid w:val="00B509DD"/>
    <w:rsid w:val="00B50AF4"/>
    <w:rsid w:val="00B5108A"/>
    <w:rsid w:val="00B51525"/>
    <w:rsid w:val="00B51720"/>
    <w:rsid w:val="00B51C36"/>
    <w:rsid w:val="00B51C70"/>
    <w:rsid w:val="00B5220B"/>
    <w:rsid w:val="00B52774"/>
    <w:rsid w:val="00B52BB8"/>
    <w:rsid w:val="00B52F6A"/>
    <w:rsid w:val="00B53414"/>
    <w:rsid w:val="00B5383D"/>
    <w:rsid w:val="00B53D43"/>
    <w:rsid w:val="00B541ED"/>
    <w:rsid w:val="00B54325"/>
    <w:rsid w:val="00B544AC"/>
    <w:rsid w:val="00B54906"/>
    <w:rsid w:val="00B549E6"/>
    <w:rsid w:val="00B54EC1"/>
    <w:rsid w:val="00B550B9"/>
    <w:rsid w:val="00B5543E"/>
    <w:rsid w:val="00B556F2"/>
    <w:rsid w:val="00B55969"/>
    <w:rsid w:val="00B56326"/>
    <w:rsid w:val="00B57D12"/>
    <w:rsid w:val="00B57EB6"/>
    <w:rsid w:val="00B60D1C"/>
    <w:rsid w:val="00B611F1"/>
    <w:rsid w:val="00B6122A"/>
    <w:rsid w:val="00B614BC"/>
    <w:rsid w:val="00B61537"/>
    <w:rsid w:val="00B61DC7"/>
    <w:rsid w:val="00B61F18"/>
    <w:rsid w:val="00B62F69"/>
    <w:rsid w:val="00B635C8"/>
    <w:rsid w:val="00B63691"/>
    <w:rsid w:val="00B638D2"/>
    <w:rsid w:val="00B63ADB"/>
    <w:rsid w:val="00B63F10"/>
    <w:rsid w:val="00B64081"/>
    <w:rsid w:val="00B64280"/>
    <w:rsid w:val="00B642BE"/>
    <w:rsid w:val="00B642DE"/>
    <w:rsid w:val="00B64557"/>
    <w:rsid w:val="00B6466E"/>
    <w:rsid w:val="00B64E28"/>
    <w:rsid w:val="00B6501F"/>
    <w:rsid w:val="00B65023"/>
    <w:rsid w:val="00B6517F"/>
    <w:rsid w:val="00B65263"/>
    <w:rsid w:val="00B65B89"/>
    <w:rsid w:val="00B65C31"/>
    <w:rsid w:val="00B6626C"/>
    <w:rsid w:val="00B66314"/>
    <w:rsid w:val="00B66654"/>
    <w:rsid w:val="00B66694"/>
    <w:rsid w:val="00B66772"/>
    <w:rsid w:val="00B66B3A"/>
    <w:rsid w:val="00B66BEC"/>
    <w:rsid w:val="00B66C44"/>
    <w:rsid w:val="00B67571"/>
    <w:rsid w:val="00B6763A"/>
    <w:rsid w:val="00B67A95"/>
    <w:rsid w:val="00B67D67"/>
    <w:rsid w:val="00B701E0"/>
    <w:rsid w:val="00B7079A"/>
    <w:rsid w:val="00B708BC"/>
    <w:rsid w:val="00B710D8"/>
    <w:rsid w:val="00B711D8"/>
    <w:rsid w:val="00B713F5"/>
    <w:rsid w:val="00B716C0"/>
    <w:rsid w:val="00B71CB8"/>
    <w:rsid w:val="00B71DD2"/>
    <w:rsid w:val="00B7233E"/>
    <w:rsid w:val="00B726EF"/>
    <w:rsid w:val="00B72A59"/>
    <w:rsid w:val="00B73A51"/>
    <w:rsid w:val="00B74503"/>
    <w:rsid w:val="00B7470E"/>
    <w:rsid w:val="00B74FD7"/>
    <w:rsid w:val="00B75070"/>
    <w:rsid w:val="00B750C6"/>
    <w:rsid w:val="00B752B0"/>
    <w:rsid w:val="00B75F74"/>
    <w:rsid w:val="00B7641A"/>
    <w:rsid w:val="00B76808"/>
    <w:rsid w:val="00B7708C"/>
    <w:rsid w:val="00B7745A"/>
    <w:rsid w:val="00B7794D"/>
    <w:rsid w:val="00B77EAC"/>
    <w:rsid w:val="00B80EC0"/>
    <w:rsid w:val="00B81124"/>
    <w:rsid w:val="00B819DC"/>
    <w:rsid w:val="00B82347"/>
    <w:rsid w:val="00B823E6"/>
    <w:rsid w:val="00B82665"/>
    <w:rsid w:val="00B82891"/>
    <w:rsid w:val="00B82C43"/>
    <w:rsid w:val="00B830F7"/>
    <w:rsid w:val="00B8357C"/>
    <w:rsid w:val="00B838B4"/>
    <w:rsid w:val="00B83CFD"/>
    <w:rsid w:val="00B84422"/>
    <w:rsid w:val="00B84486"/>
    <w:rsid w:val="00B84555"/>
    <w:rsid w:val="00B845DF"/>
    <w:rsid w:val="00B84ADA"/>
    <w:rsid w:val="00B84B99"/>
    <w:rsid w:val="00B85116"/>
    <w:rsid w:val="00B85DF9"/>
    <w:rsid w:val="00B85F4E"/>
    <w:rsid w:val="00B860DD"/>
    <w:rsid w:val="00B8610F"/>
    <w:rsid w:val="00B865DD"/>
    <w:rsid w:val="00B866E6"/>
    <w:rsid w:val="00B872CE"/>
    <w:rsid w:val="00B87D1A"/>
    <w:rsid w:val="00B87D36"/>
    <w:rsid w:val="00B90465"/>
    <w:rsid w:val="00B90535"/>
    <w:rsid w:val="00B90AE2"/>
    <w:rsid w:val="00B90B66"/>
    <w:rsid w:val="00B90F73"/>
    <w:rsid w:val="00B9166D"/>
    <w:rsid w:val="00B9178F"/>
    <w:rsid w:val="00B9193B"/>
    <w:rsid w:val="00B91B2C"/>
    <w:rsid w:val="00B91F08"/>
    <w:rsid w:val="00B91FBD"/>
    <w:rsid w:val="00B92036"/>
    <w:rsid w:val="00B92089"/>
    <w:rsid w:val="00B92207"/>
    <w:rsid w:val="00B922EA"/>
    <w:rsid w:val="00B9241B"/>
    <w:rsid w:val="00B92D25"/>
    <w:rsid w:val="00B93491"/>
    <w:rsid w:val="00B935BE"/>
    <w:rsid w:val="00B9383D"/>
    <w:rsid w:val="00B93973"/>
    <w:rsid w:val="00B93989"/>
    <w:rsid w:val="00B93B6F"/>
    <w:rsid w:val="00B93CF5"/>
    <w:rsid w:val="00B93E2D"/>
    <w:rsid w:val="00B94422"/>
    <w:rsid w:val="00B94554"/>
    <w:rsid w:val="00B95128"/>
    <w:rsid w:val="00B951E2"/>
    <w:rsid w:val="00B953D6"/>
    <w:rsid w:val="00B95807"/>
    <w:rsid w:val="00B95C1A"/>
    <w:rsid w:val="00B95CCB"/>
    <w:rsid w:val="00B95FFA"/>
    <w:rsid w:val="00B96AFF"/>
    <w:rsid w:val="00B96C2E"/>
    <w:rsid w:val="00B96D6C"/>
    <w:rsid w:val="00B97917"/>
    <w:rsid w:val="00B97B2D"/>
    <w:rsid w:val="00BA0460"/>
    <w:rsid w:val="00BA0763"/>
    <w:rsid w:val="00BA08D4"/>
    <w:rsid w:val="00BA0D53"/>
    <w:rsid w:val="00BA12EB"/>
    <w:rsid w:val="00BA1365"/>
    <w:rsid w:val="00BA152A"/>
    <w:rsid w:val="00BA15E3"/>
    <w:rsid w:val="00BA2254"/>
    <w:rsid w:val="00BA268C"/>
    <w:rsid w:val="00BA2954"/>
    <w:rsid w:val="00BA36A6"/>
    <w:rsid w:val="00BA3785"/>
    <w:rsid w:val="00BA3D4E"/>
    <w:rsid w:val="00BA475E"/>
    <w:rsid w:val="00BA4929"/>
    <w:rsid w:val="00BA4B63"/>
    <w:rsid w:val="00BA4B7B"/>
    <w:rsid w:val="00BA6486"/>
    <w:rsid w:val="00BA6C38"/>
    <w:rsid w:val="00BA6C58"/>
    <w:rsid w:val="00BA6D2C"/>
    <w:rsid w:val="00BA75F1"/>
    <w:rsid w:val="00BA783A"/>
    <w:rsid w:val="00BB0250"/>
    <w:rsid w:val="00BB02C1"/>
    <w:rsid w:val="00BB0578"/>
    <w:rsid w:val="00BB0939"/>
    <w:rsid w:val="00BB097C"/>
    <w:rsid w:val="00BB0989"/>
    <w:rsid w:val="00BB0C14"/>
    <w:rsid w:val="00BB10AF"/>
    <w:rsid w:val="00BB16D4"/>
    <w:rsid w:val="00BB176A"/>
    <w:rsid w:val="00BB1816"/>
    <w:rsid w:val="00BB1A1A"/>
    <w:rsid w:val="00BB2A01"/>
    <w:rsid w:val="00BB324D"/>
    <w:rsid w:val="00BB35EA"/>
    <w:rsid w:val="00BB37B9"/>
    <w:rsid w:val="00BB3A28"/>
    <w:rsid w:val="00BB3DBF"/>
    <w:rsid w:val="00BB3E04"/>
    <w:rsid w:val="00BB4448"/>
    <w:rsid w:val="00BB4636"/>
    <w:rsid w:val="00BB53D5"/>
    <w:rsid w:val="00BB64BB"/>
    <w:rsid w:val="00BB69AF"/>
    <w:rsid w:val="00BB6C6E"/>
    <w:rsid w:val="00BB7474"/>
    <w:rsid w:val="00BC009D"/>
    <w:rsid w:val="00BC00E9"/>
    <w:rsid w:val="00BC058B"/>
    <w:rsid w:val="00BC0719"/>
    <w:rsid w:val="00BC08A5"/>
    <w:rsid w:val="00BC0962"/>
    <w:rsid w:val="00BC0D5B"/>
    <w:rsid w:val="00BC0F2B"/>
    <w:rsid w:val="00BC13CC"/>
    <w:rsid w:val="00BC191B"/>
    <w:rsid w:val="00BC1F14"/>
    <w:rsid w:val="00BC23A9"/>
    <w:rsid w:val="00BC247F"/>
    <w:rsid w:val="00BC2742"/>
    <w:rsid w:val="00BC312D"/>
    <w:rsid w:val="00BC344F"/>
    <w:rsid w:val="00BC3500"/>
    <w:rsid w:val="00BC3873"/>
    <w:rsid w:val="00BC3C27"/>
    <w:rsid w:val="00BC3D98"/>
    <w:rsid w:val="00BC40CC"/>
    <w:rsid w:val="00BC4CF6"/>
    <w:rsid w:val="00BC564F"/>
    <w:rsid w:val="00BC5D94"/>
    <w:rsid w:val="00BC621D"/>
    <w:rsid w:val="00BC73EA"/>
    <w:rsid w:val="00BC77FC"/>
    <w:rsid w:val="00BC78B3"/>
    <w:rsid w:val="00BD00AE"/>
    <w:rsid w:val="00BD1136"/>
    <w:rsid w:val="00BD1567"/>
    <w:rsid w:val="00BD1B41"/>
    <w:rsid w:val="00BD1C1E"/>
    <w:rsid w:val="00BD247B"/>
    <w:rsid w:val="00BD24DD"/>
    <w:rsid w:val="00BD29A6"/>
    <w:rsid w:val="00BD29BE"/>
    <w:rsid w:val="00BD2BEE"/>
    <w:rsid w:val="00BD3046"/>
    <w:rsid w:val="00BD3635"/>
    <w:rsid w:val="00BD430A"/>
    <w:rsid w:val="00BD469F"/>
    <w:rsid w:val="00BD4710"/>
    <w:rsid w:val="00BD47B7"/>
    <w:rsid w:val="00BD4E0E"/>
    <w:rsid w:val="00BD551C"/>
    <w:rsid w:val="00BD5A2C"/>
    <w:rsid w:val="00BD5BA2"/>
    <w:rsid w:val="00BD5C64"/>
    <w:rsid w:val="00BD5DB0"/>
    <w:rsid w:val="00BD60AB"/>
    <w:rsid w:val="00BD63FB"/>
    <w:rsid w:val="00BD686F"/>
    <w:rsid w:val="00BD7053"/>
    <w:rsid w:val="00BD794E"/>
    <w:rsid w:val="00BD7EAD"/>
    <w:rsid w:val="00BE015F"/>
    <w:rsid w:val="00BE0AE9"/>
    <w:rsid w:val="00BE0F49"/>
    <w:rsid w:val="00BE11E8"/>
    <w:rsid w:val="00BE14DF"/>
    <w:rsid w:val="00BE183F"/>
    <w:rsid w:val="00BE1A53"/>
    <w:rsid w:val="00BE1C68"/>
    <w:rsid w:val="00BE1DDC"/>
    <w:rsid w:val="00BE2BFE"/>
    <w:rsid w:val="00BE2CCA"/>
    <w:rsid w:val="00BE32FC"/>
    <w:rsid w:val="00BE3564"/>
    <w:rsid w:val="00BE367E"/>
    <w:rsid w:val="00BE37C8"/>
    <w:rsid w:val="00BE3889"/>
    <w:rsid w:val="00BE396C"/>
    <w:rsid w:val="00BE4328"/>
    <w:rsid w:val="00BE4454"/>
    <w:rsid w:val="00BE4BEC"/>
    <w:rsid w:val="00BE4CF5"/>
    <w:rsid w:val="00BE4E88"/>
    <w:rsid w:val="00BE5118"/>
    <w:rsid w:val="00BE5165"/>
    <w:rsid w:val="00BE5629"/>
    <w:rsid w:val="00BE57C6"/>
    <w:rsid w:val="00BE5CFE"/>
    <w:rsid w:val="00BE63B1"/>
    <w:rsid w:val="00BE63CA"/>
    <w:rsid w:val="00BE6B5E"/>
    <w:rsid w:val="00BE6CB3"/>
    <w:rsid w:val="00BE6F02"/>
    <w:rsid w:val="00BE6FE5"/>
    <w:rsid w:val="00BE715A"/>
    <w:rsid w:val="00BE71A4"/>
    <w:rsid w:val="00BE7526"/>
    <w:rsid w:val="00BE7B98"/>
    <w:rsid w:val="00BE7DE5"/>
    <w:rsid w:val="00BF0054"/>
    <w:rsid w:val="00BF0411"/>
    <w:rsid w:val="00BF0513"/>
    <w:rsid w:val="00BF0B21"/>
    <w:rsid w:val="00BF13D3"/>
    <w:rsid w:val="00BF1A2F"/>
    <w:rsid w:val="00BF1BA1"/>
    <w:rsid w:val="00BF1D83"/>
    <w:rsid w:val="00BF1DA8"/>
    <w:rsid w:val="00BF203A"/>
    <w:rsid w:val="00BF2CBD"/>
    <w:rsid w:val="00BF362E"/>
    <w:rsid w:val="00BF380E"/>
    <w:rsid w:val="00BF39C2"/>
    <w:rsid w:val="00BF3B5E"/>
    <w:rsid w:val="00BF4601"/>
    <w:rsid w:val="00BF4767"/>
    <w:rsid w:val="00BF588A"/>
    <w:rsid w:val="00BF611E"/>
    <w:rsid w:val="00BF6190"/>
    <w:rsid w:val="00BF62BF"/>
    <w:rsid w:val="00BF65F7"/>
    <w:rsid w:val="00BF6FAE"/>
    <w:rsid w:val="00BF700D"/>
    <w:rsid w:val="00BF71AD"/>
    <w:rsid w:val="00BF7336"/>
    <w:rsid w:val="00BF79C8"/>
    <w:rsid w:val="00BF79D5"/>
    <w:rsid w:val="00BF7D24"/>
    <w:rsid w:val="00BF7E32"/>
    <w:rsid w:val="00C00200"/>
    <w:rsid w:val="00C00D83"/>
    <w:rsid w:val="00C017B5"/>
    <w:rsid w:val="00C01BC3"/>
    <w:rsid w:val="00C01DE2"/>
    <w:rsid w:val="00C035F0"/>
    <w:rsid w:val="00C03E0C"/>
    <w:rsid w:val="00C04572"/>
    <w:rsid w:val="00C047A2"/>
    <w:rsid w:val="00C04960"/>
    <w:rsid w:val="00C04B11"/>
    <w:rsid w:val="00C04E26"/>
    <w:rsid w:val="00C05448"/>
    <w:rsid w:val="00C05604"/>
    <w:rsid w:val="00C05737"/>
    <w:rsid w:val="00C05C25"/>
    <w:rsid w:val="00C05E0B"/>
    <w:rsid w:val="00C05F21"/>
    <w:rsid w:val="00C060E1"/>
    <w:rsid w:val="00C0668C"/>
    <w:rsid w:val="00C067B4"/>
    <w:rsid w:val="00C06994"/>
    <w:rsid w:val="00C06E37"/>
    <w:rsid w:val="00C06F33"/>
    <w:rsid w:val="00C07505"/>
    <w:rsid w:val="00C077F1"/>
    <w:rsid w:val="00C07F75"/>
    <w:rsid w:val="00C11109"/>
    <w:rsid w:val="00C111D2"/>
    <w:rsid w:val="00C11544"/>
    <w:rsid w:val="00C1184E"/>
    <w:rsid w:val="00C11DC0"/>
    <w:rsid w:val="00C11F04"/>
    <w:rsid w:val="00C11F77"/>
    <w:rsid w:val="00C1273A"/>
    <w:rsid w:val="00C12CAE"/>
    <w:rsid w:val="00C13042"/>
    <w:rsid w:val="00C13066"/>
    <w:rsid w:val="00C130D9"/>
    <w:rsid w:val="00C13A2D"/>
    <w:rsid w:val="00C13C28"/>
    <w:rsid w:val="00C1460D"/>
    <w:rsid w:val="00C14666"/>
    <w:rsid w:val="00C14970"/>
    <w:rsid w:val="00C14AE1"/>
    <w:rsid w:val="00C15216"/>
    <w:rsid w:val="00C154EA"/>
    <w:rsid w:val="00C1561F"/>
    <w:rsid w:val="00C15901"/>
    <w:rsid w:val="00C1596A"/>
    <w:rsid w:val="00C15BA7"/>
    <w:rsid w:val="00C1608F"/>
    <w:rsid w:val="00C166BE"/>
    <w:rsid w:val="00C17185"/>
    <w:rsid w:val="00C17470"/>
    <w:rsid w:val="00C17BE1"/>
    <w:rsid w:val="00C17E06"/>
    <w:rsid w:val="00C203D4"/>
    <w:rsid w:val="00C20864"/>
    <w:rsid w:val="00C20B87"/>
    <w:rsid w:val="00C20BFC"/>
    <w:rsid w:val="00C20DB7"/>
    <w:rsid w:val="00C20F19"/>
    <w:rsid w:val="00C21289"/>
    <w:rsid w:val="00C212F1"/>
    <w:rsid w:val="00C213E4"/>
    <w:rsid w:val="00C216F5"/>
    <w:rsid w:val="00C2191F"/>
    <w:rsid w:val="00C22194"/>
    <w:rsid w:val="00C22303"/>
    <w:rsid w:val="00C224F5"/>
    <w:rsid w:val="00C2299C"/>
    <w:rsid w:val="00C229D7"/>
    <w:rsid w:val="00C22BEB"/>
    <w:rsid w:val="00C231A6"/>
    <w:rsid w:val="00C23EC4"/>
    <w:rsid w:val="00C24036"/>
    <w:rsid w:val="00C2413B"/>
    <w:rsid w:val="00C2421A"/>
    <w:rsid w:val="00C24237"/>
    <w:rsid w:val="00C248F7"/>
    <w:rsid w:val="00C2493D"/>
    <w:rsid w:val="00C249D7"/>
    <w:rsid w:val="00C24B26"/>
    <w:rsid w:val="00C24E59"/>
    <w:rsid w:val="00C24FA0"/>
    <w:rsid w:val="00C2516A"/>
    <w:rsid w:val="00C25225"/>
    <w:rsid w:val="00C25AB1"/>
    <w:rsid w:val="00C25AFF"/>
    <w:rsid w:val="00C25BD2"/>
    <w:rsid w:val="00C25CA2"/>
    <w:rsid w:val="00C2604B"/>
    <w:rsid w:val="00C26513"/>
    <w:rsid w:val="00C26540"/>
    <w:rsid w:val="00C27412"/>
    <w:rsid w:val="00C275DA"/>
    <w:rsid w:val="00C27B5E"/>
    <w:rsid w:val="00C27D46"/>
    <w:rsid w:val="00C3015E"/>
    <w:rsid w:val="00C301B5"/>
    <w:rsid w:val="00C303CF"/>
    <w:rsid w:val="00C3097C"/>
    <w:rsid w:val="00C30E84"/>
    <w:rsid w:val="00C3132B"/>
    <w:rsid w:val="00C31772"/>
    <w:rsid w:val="00C31B88"/>
    <w:rsid w:val="00C32585"/>
    <w:rsid w:val="00C3292F"/>
    <w:rsid w:val="00C32B4F"/>
    <w:rsid w:val="00C32C72"/>
    <w:rsid w:val="00C32E3E"/>
    <w:rsid w:val="00C33D17"/>
    <w:rsid w:val="00C34279"/>
    <w:rsid w:val="00C34369"/>
    <w:rsid w:val="00C346FC"/>
    <w:rsid w:val="00C34B03"/>
    <w:rsid w:val="00C34D08"/>
    <w:rsid w:val="00C34D22"/>
    <w:rsid w:val="00C34D3C"/>
    <w:rsid w:val="00C353CF"/>
    <w:rsid w:val="00C35829"/>
    <w:rsid w:val="00C35875"/>
    <w:rsid w:val="00C35A7C"/>
    <w:rsid w:val="00C35A83"/>
    <w:rsid w:val="00C35B13"/>
    <w:rsid w:val="00C36373"/>
    <w:rsid w:val="00C363AC"/>
    <w:rsid w:val="00C36483"/>
    <w:rsid w:val="00C36544"/>
    <w:rsid w:val="00C36DE5"/>
    <w:rsid w:val="00C3739D"/>
    <w:rsid w:val="00C37558"/>
    <w:rsid w:val="00C37C93"/>
    <w:rsid w:val="00C40448"/>
    <w:rsid w:val="00C406D4"/>
    <w:rsid w:val="00C41013"/>
    <w:rsid w:val="00C41E26"/>
    <w:rsid w:val="00C4250B"/>
    <w:rsid w:val="00C42BCA"/>
    <w:rsid w:val="00C42ED4"/>
    <w:rsid w:val="00C42F53"/>
    <w:rsid w:val="00C43607"/>
    <w:rsid w:val="00C43789"/>
    <w:rsid w:val="00C437DF"/>
    <w:rsid w:val="00C43888"/>
    <w:rsid w:val="00C43CED"/>
    <w:rsid w:val="00C4400F"/>
    <w:rsid w:val="00C442CB"/>
    <w:rsid w:val="00C443A8"/>
    <w:rsid w:val="00C44530"/>
    <w:rsid w:val="00C44FAD"/>
    <w:rsid w:val="00C45175"/>
    <w:rsid w:val="00C45998"/>
    <w:rsid w:val="00C468D2"/>
    <w:rsid w:val="00C46998"/>
    <w:rsid w:val="00C46CC5"/>
    <w:rsid w:val="00C473A4"/>
    <w:rsid w:val="00C47BDB"/>
    <w:rsid w:val="00C47C34"/>
    <w:rsid w:val="00C502C4"/>
    <w:rsid w:val="00C50464"/>
    <w:rsid w:val="00C50B9B"/>
    <w:rsid w:val="00C50C35"/>
    <w:rsid w:val="00C5180E"/>
    <w:rsid w:val="00C51FBE"/>
    <w:rsid w:val="00C5202D"/>
    <w:rsid w:val="00C5203A"/>
    <w:rsid w:val="00C5224C"/>
    <w:rsid w:val="00C5253A"/>
    <w:rsid w:val="00C5289F"/>
    <w:rsid w:val="00C52B39"/>
    <w:rsid w:val="00C52C31"/>
    <w:rsid w:val="00C530C5"/>
    <w:rsid w:val="00C53DBD"/>
    <w:rsid w:val="00C547A4"/>
    <w:rsid w:val="00C548EA"/>
    <w:rsid w:val="00C54A7B"/>
    <w:rsid w:val="00C54D9A"/>
    <w:rsid w:val="00C54DB6"/>
    <w:rsid w:val="00C54FCE"/>
    <w:rsid w:val="00C56119"/>
    <w:rsid w:val="00C569BE"/>
    <w:rsid w:val="00C56A41"/>
    <w:rsid w:val="00C56B53"/>
    <w:rsid w:val="00C56C95"/>
    <w:rsid w:val="00C56D36"/>
    <w:rsid w:val="00C56D75"/>
    <w:rsid w:val="00C572A8"/>
    <w:rsid w:val="00C573BB"/>
    <w:rsid w:val="00C578B4"/>
    <w:rsid w:val="00C6029E"/>
    <w:rsid w:val="00C604A6"/>
    <w:rsid w:val="00C6055E"/>
    <w:rsid w:val="00C606EC"/>
    <w:rsid w:val="00C60740"/>
    <w:rsid w:val="00C607C7"/>
    <w:rsid w:val="00C610A4"/>
    <w:rsid w:val="00C614B0"/>
    <w:rsid w:val="00C6152E"/>
    <w:rsid w:val="00C61659"/>
    <w:rsid w:val="00C6185D"/>
    <w:rsid w:val="00C618B6"/>
    <w:rsid w:val="00C61D7E"/>
    <w:rsid w:val="00C61F3F"/>
    <w:rsid w:val="00C62021"/>
    <w:rsid w:val="00C62570"/>
    <w:rsid w:val="00C63012"/>
    <w:rsid w:val="00C634AD"/>
    <w:rsid w:val="00C635D8"/>
    <w:rsid w:val="00C63DA6"/>
    <w:rsid w:val="00C63F0C"/>
    <w:rsid w:val="00C64497"/>
    <w:rsid w:val="00C64DC6"/>
    <w:rsid w:val="00C64ED0"/>
    <w:rsid w:val="00C64FE0"/>
    <w:rsid w:val="00C652D2"/>
    <w:rsid w:val="00C657E7"/>
    <w:rsid w:val="00C66DFD"/>
    <w:rsid w:val="00C67A4A"/>
    <w:rsid w:val="00C709AE"/>
    <w:rsid w:val="00C70A28"/>
    <w:rsid w:val="00C70D1A"/>
    <w:rsid w:val="00C70F89"/>
    <w:rsid w:val="00C719B5"/>
    <w:rsid w:val="00C71C9E"/>
    <w:rsid w:val="00C722C6"/>
    <w:rsid w:val="00C722E5"/>
    <w:rsid w:val="00C722F9"/>
    <w:rsid w:val="00C72357"/>
    <w:rsid w:val="00C728F4"/>
    <w:rsid w:val="00C7299A"/>
    <w:rsid w:val="00C7355A"/>
    <w:rsid w:val="00C735A0"/>
    <w:rsid w:val="00C73600"/>
    <w:rsid w:val="00C736D9"/>
    <w:rsid w:val="00C736FA"/>
    <w:rsid w:val="00C73D5F"/>
    <w:rsid w:val="00C73E6E"/>
    <w:rsid w:val="00C74100"/>
    <w:rsid w:val="00C748EE"/>
    <w:rsid w:val="00C74B3E"/>
    <w:rsid w:val="00C7524D"/>
    <w:rsid w:val="00C75408"/>
    <w:rsid w:val="00C756CB"/>
    <w:rsid w:val="00C757AF"/>
    <w:rsid w:val="00C758E0"/>
    <w:rsid w:val="00C75CD7"/>
    <w:rsid w:val="00C76162"/>
    <w:rsid w:val="00C7704D"/>
    <w:rsid w:val="00C77068"/>
    <w:rsid w:val="00C77471"/>
    <w:rsid w:val="00C7757C"/>
    <w:rsid w:val="00C775E3"/>
    <w:rsid w:val="00C77636"/>
    <w:rsid w:val="00C7766C"/>
    <w:rsid w:val="00C778CA"/>
    <w:rsid w:val="00C80005"/>
    <w:rsid w:val="00C803FD"/>
    <w:rsid w:val="00C809DF"/>
    <w:rsid w:val="00C80EA6"/>
    <w:rsid w:val="00C80FF8"/>
    <w:rsid w:val="00C8110D"/>
    <w:rsid w:val="00C81394"/>
    <w:rsid w:val="00C8149D"/>
    <w:rsid w:val="00C81A08"/>
    <w:rsid w:val="00C81AF5"/>
    <w:rsid w:val="00C81BD4"/>
    <w:rsid w:val="00C8261F"/>
    <w:rsid w:val="00C82702"/>
    <w:rsid w:val="00C82ABE"/>
    <w:rsid w:val="00C82B43"/>
    <w:rsid w:val="00C82F8C"/>
    <w:rsid w:val="00C830F4"/>
    <w:rsid w:val="00C831ED"/>
    <w:rsid w:val="00C83355"/>
    <w:rsid w:val="00C83793"/>
    <w:rsid w:val="00C838E0"/>
    <w:rsid w:val="00C83A0A"/>
    <w:rsid w:val="00C83D5C"/>
    <w:rsid w:val="00C83DC7"/>
    <w:rsid w:val="00C849F7"/>
    <w:rsid w:val="00C84AA5"/>
    <w:rsid w:val="00C84E2F"/>
    <w:rsid w:val="00C84F54"/>
    <w:rsid w:val="00C84FFF"/>
    <w:rsid w:val="00C8546A"/>
    <w:rsid w:val="00C8556F"/>
    <w:rsid w:val="00C85576"/>
    <w:rsid w:val="00C855B6"/>
    <w:rsid w:val="00C857EE"/>
    <w:rsid w:val="00C860E7"/>
    <w:rsid w:val="00C86300"/>
    <w:rsid w:val="00C86316"/>
    <w:rsid w:val="00C86341"/>
    <w:rsid w:val="00C86678"/>
    <w:rsid w:val="00C86BF8"/>
    <w:rsid w:val="00C86C12"/>
    <w:rsid w:val="00C87069"/>
    <w:rsid w:val="00C87555"/>
    <w:rsid w:val="00C87687"/>
    <w:rsid w:val="00C878E2"/>
    <w:rsid w:val="00C87AC0"/>
    <w:rsid w:val="00C87C05"/>
    <w:rsid w:val="00C87E23"/>
    <w:rsid w:val="00C9001E"/>
    <w:rsid w:val="00C9033E"/>
    <w:rsid w:val="00C90E68"/>
    <w:rsid w:val="00C90EA6"/>
    <w:rsid w:val="00C914E3"/>
    <w:rsid w:val="00C91680"/>
    <w:rsid w:val="00C916EE"/>
    <w:rsid w:val="00C917AE"/>
    <w:rsid w:val="00C91CA4"/>
    <w:rsid w:val="00C92636"/>
    <w:rsid w:val="00C9272F"/>
    <w:rsid w:val="00C92D58"/>
    <w:rsid w:val="00C932B3"/>
    <w:rsid w:val="00C93E36"/>
    <w:rsid w:val="00C94232"/>
    <w:rsid w:val="00C945AA"/>
    <w:rsid w:val="00C94BA4"/>
    <w:rsid w:val="00C94E9F"/>
    <w:rsid w:val="00C94F31"/>
    <w:rsid w:val="00C954B0"/>
    <w:rsid w:val="00C95879"/>
    <w:rsid w:val="00C95BA0"/>
    <w:rsid w:val="00C9667D"/>
    <w:rsid w:val="00C9674B"/>
    <w:rsid w:val="00C96771"/>
    <w:rsid w:val="00C96A26"/>
    <w:rsid w:val="00C96B68"/>
    <w:rsid w:val="00C96D18"/>
    <w:rsid w:val="00C96E87"/>
    <w:rsid w:val="00C976EF"/>
    <w:rsid w:val="00C978D3"/>
    <w:rsid w:val="00C97E72"/>
    <w:rsid w:val="00CA0134"/>
    <w:rsid w:val="00CA029D"/>
    <w:rsid w:val="00CA0B4E"/>
    <w:rsid w:val="00CA0E45"/>
    <w:rsid w:val="00CA0F21"/>
    <w:rsid w:val="00CA10F1"/>
    <w:rsid w:val="00CA1112"/>
    <w:rsid w:val="00CA1360"/>
    <w:rsid w:val="00CA16C1"/>
    <w:rsid w:val="00CA1D91"/>
    <w:rsid w:val="00CA2738"/>
    <w:rsid w:val="00CA31B6"/>
    <w:rsid w:val="00CA337C"/>
    <w:rsid w:val="00CA4129"/>
    <w:rsid w:val="00CA4145"/>
    <w:rsid w:val="00CA4C41"/>
    <w:rsid w:val="00CA4CA0"/>
    <w:rsid w:val="00CA5368"/>
    <w:rsid w:val="00CA5380"/>
    <w:rsid w:val="00CA54D1"/>
    <w:rsid w:val="00CA5CC6"/>
    <w:rsid w:val="00CA5FD3"/>
    <w:rsid w:val="00CA61DD"/>
    <w:rsid w:val="00CA64AE"/>
    <w:rsid w:val="00CA65E5"/>
    <w:rsid w:val="00CA6755"/>
    <w:rsid w:val="00CA6AED"/>
    <w:rsid w:val="00CA6B4F"/>
    <w:rsid w:val="00CA6FF6"/>
    <w:rsid w:val="00CA7228"/>
    <w:rsid w:val="00CA7DC8"/>
    <w:rsid w:val="00CA7EF3"/>
    <w:rsid w:val="00CB04BC"/>
    <w:rsid w:val="00CB0643"/>
    <w:rsid w:val="00CB0894"/>
    <w:rsid w:val="00CB0C8A"/>
    <w:rsid w:val="00CB182C"/>
    <w:rsid w:val="00CB1CFD"/>
    <w:rsid w:val="00CB20F9"/>
    <w:rsid w:val="00CB22E7"/>
    <w:rsid w:val="00CB25AE"/>
    <w:rsid w:val="00CB2635"/>
    <w:rsid w:val="00CB2789"/>
    <w:rsid w:val="00CB33AE"/>
    <w:rsid w:val="00CB346E"/>
    <w:rsid w:val="00CB36A6"/>
    <w:rsid w:val="00CB3E05"/>
    <w:rsid w:val="00CB4021"/>
    <w:rsid w:val="00CB4576"/>
    <w:rsid w:val="00CB45C6"/>
    <w:rsid w:val="00CB49B8"/>
    <w:rsid w:val="00CB5385"/>
    <w:rsid w:val="00CB54B0"/>
    <w:rsid w:val="00CB5B68"/>
    <w:rsid w:val="00CB5E15"/>
    <w:rsid w:val="00CB5FD0"/>
    <w:rsid w:val="00CB6A75"/>
    <w:rsid w:val="00CB73FD"/>
    <w:rsid w:val="00CB79C1"/>
    <w:rsid w:val="00CB7D04"/>
    <w:rsid w:val="00CC035A"/>
    <w:rsid w:val="00CC04C8"/>
    <w:rsid w:val="00CC091D"/>
    <w:rsid w:val="00CC0E0E"/>
    <w:rsid w:val="00CC0EC4"/>
    <w:rsid w:val="00CC0F83"/>
    <w:rsid w:val="00CC1815"/>
    <w:rsid w:val="00CC18AC"/>
    <w:rsid w:val="00CC1A95"/>
    <w:rsid w:val="00CC1C95"/>
    <w:rsid w:val="00CC209F"/>
    <w:rsid w:val="00CC21DF"/>
    <w:rsid w:val="00CC2230"/>
    <w:rsid w:val="00CC2836"/>
    <w:rsid w:val="00CC2B74"/>
    <w:rsid w:val="00CC2C94"/>
    <w:rsid w:val="00CC2D4B"/>
    <w:rsid w:val="00CC2EBB"/>
    <w:rsid w:val="00CC30EE"/>
    <w:rsid w:val="00CC36A6"/>
    <w:rsid w:val="00CC3918"/>
    <w:rsid w:val="00CC3E0A"/>
    <w:rsid w:val="00CC4289"/>
    <w:rsid w:val="00CC47AC"/>
    <w:rsid w:val="00CC4C16"/>
    <w:rsid w:val="00CC4F0D"/>
    <w:rsid w:val="00CC5479"/>
    <w:rsid w:val="00CC5DE2"/>
    <w:rsid w:val="00CC5ECB"/>
    <w:rsid w:val="00CC60CA"/>
    <w:rsid w:val="00CC6558"/>
    <w:rsid w:val="00CC688C"/>
    <w:rsid w:val="00CC754B"/>
    <w:rsid w:val="00CC7647"/>
    <w:rsid w:val="00CD0622"/>
    <w:rsid w:val="00CD0624"/>
    <w:rsid w:val="00CD0749"/>
    <w:rsid w:val="00CD0A10"/>
    <w:rsid w:val="00CD11EC"/>
    <w:rsid w:val="00CD1471"/>
    <w:rsid w:val="00CD2362"/>
    <w:rsid w:val="00CD2890"/>
    <w:rsid w:val="00CD329C"/>
    <w:rsid w:val="00CD3857"/>
    <w:rsid w:val="00CD3A25"/>
    <w:rsid w:val="00CD3B22"/>
    <w:rsid w:val="00CD3E3B"/>
    <w:rsid w:val="00CD406B"/>
    <w:rsid w:val="00CD42E7"/>
    <w:rsid w:val="00CD47A2"/>
    <w:rsid w:val="00CD47C6"/>
    <w:rsid w:val="00CD49D5"/>
    <w:rsid w:val="00CD4EB8"/>
    <w:rsid w:val="00CD5791"/>
    <w:rsid w:val="00CD5A6B"/>
    <w:rsid w:val="00CD5D00"/>
    <w:rsid w:val="00CD6049"/>
    <w:rsid w:val="00CD63A3"/>
    <w:rsid w:val="00CD67AF"/>
    <w:rsid w:val="00CD7400"/>
    <w:rsid w:val="00CD7826"/>
    <w:rsid w:val="00CD793E"/>
    <w:rsid w:val="00CD7B76"/>
    <w:rsid w:val="00CE01C3"/>
    <w:rsid w:val="00CE028C"/>
    <w:rsid w:val="00CE06FA"/>
    <w:rsid w:val="00CE0739"/>
    <w:rsid w:val="00CE07E3"/>
    <w:rsid w:val="00CE0AE4"/>
    <w:rsid w:val="00CE0C4B"/>
    <w:rsid w:val="00CE1BFF"/>
    <w:rsid w:val="00CE1DE2"/>
    <w:rsid w:val="00CE1F98"/>
    <w:rsid w:val="00CE2122"/>
    <w:rsid w:val="00CE23A1"/>
    <w:rsid w:val="00CE242A"/>
    <w:rsid w:val="00CE28CA"/>
    <w:rsid w:val="00CE2D6E"/>
    <w:rsid w:val="00CE34C9"/>
    <w:rsid w:val="00CE36D7"/>
    <w:rsid w:val="00CE37F4"/>
    <w:rsid w:val="00CE37F5"/>
    <w:rsid w:val="00CE3F66"/>
    <w:rsid w:val="00CE416E"/>
    <w:rsid w:val="00CE41E5"/>
    <w:rsid w:val="00CE43D6"/>
    <w:rsid w:val="00CE4614"/>
    <w:rsid w:val="00CE4AD6"/>
    <w:rsid w:val="00CE4B72"/>
    <w:rsid w:val="00CE5556"/>
    <w:rsid w:val="00CE5935"/>
    <w:rsid w:val="00CE5B82"/>
    <w:rsid w:val="00CE5D87"/>
    <w:rsid w:val="00CE6258"/>
    <w:rsid w:val="00CE647F"/>
    <w:rsid w:val="00CE657F"/>
    <w:rsid w:val="00CE6AE6"/>
    <w:rsid w:val="00CE6D43"/>
    <w:rsid w:val="00CE6D72"/>
    <w:rsid w:val="00CE6D76"/>
    <w:rsid w:val="00CE6E18"/>
    <w:rsid w:val="00CE6E4C"/>
    <w:rsid w:val="00CE7574"/>
    <w:rsid w:val="00CE77B7"/>
    <w:rsid w:val="00CE7FD7"/>
    <w:rsid w:val="00CF0085"/>
    <w:rsid w:val="00CF0316"/>
    <w:rsid w:val="00CF07CA"/>
    <w:rsid w:val="00CF08CE"/>
    <w:rsid w:val="00CF103F"/>
    <w:rsid w:val="00CF1083"/>
    <w:rsid w:val="00CF175D"/>
    <w:rsid w:val="00CF1B57"/>
    <w:rsid w:val="00CF1DAC"/>
    <w:rsid w:val="00CF1F3A"/>
    <w:rsid w:val="00CF23A2"/>
    <w:rsid w:val="00CF257E"/>
    <w:rsid w:val="00CF26CF"/>
    <w:rsid w:val="00CF2890"/>
    <w:rsid w:val="00CF2E0F"/>
    <w:rsid w:val="00CF300A"/>
    <w:rsid w:val="00CF3502"/>
    <w:rsid w:val="00CF3571"/>
    <w:rsid w:val="00CF39DB"/>
    <w:rsid w:val="00CF41CB"/>
    <w:rsid w:val="00CF4990"/>
    <w:rsid w:val="00CF4C34"/>
    <w:rsid w:val="00CF54B9"/>
    <w:rsid w:val="00CF558F"/>
    <w:rsid w:val="00CF5C26"/>
    <w:rsid w:val="00CF5E8D"/>
    <w:rsid w:val="00CF693D"/>
    <w:rsid w:val="00CF6AA6"/>
    <w:rsid w:val="00CF6B55"/>
    <w:rsid w:val="00CF6FB6"/>
    <w:rsid w:val="00CF7073"/>
    <w:rsid w:val="00CF707A"/>
    <w:rsid w:val="00CF7243"/>
    <w:rsid w:val="00CF7601"/>
    <w:rsid w:val="00CF7613"/>
    <w:rsid w:val="00D00AEF"/>
    <w:rsid w:val="00D00B5B"/>
    <w:rsid w:val="00D00DB4"/>
    <w:rsid w:val="00D012A6"/>
    <w:rsid w:val="00D01A7B"/>
    <w:rsid w:val="00D0239D"/>
    <w:rsid w:val="00D023D2"/>
    <w:rsid w:val="00D023D5"/>
    <w:rsid w:val="00D025A3"/>
    <w:rsid w:val="00D0270A"/>
    <w:rsid w:val="00D027AF"/>
    <w:rsid w:val="00D02D27"/>
    <w:rsid w:val="00D02E35"/>
    <w:rsid w:val="00D0315C"/>
    <w:rsid w:val="00D03531"/>
    <w:rsid w:val="00D03ADC"/>
    <w:rsid w:val="00D04407"/>
    <w:rsid w:val="00D04492"/>
    <w:rsid w:val="00D047B6"/>
    <w:rsid w:val="00D048AD"/>
    <w:rsid w:val="00D04C71"/>
    <w:rsid w:val="00D04D1C"/>
    <w:rsid w:val="00D04D86"/>
    <w:rsid w:val="00D05507"/>
    <w:rsid w:val="00D0557C"/>
    <w:rsid w:val="00D056FA"/>
    <w:rsid w:val="00D0590D"/>
    <w:rsid w:val="00D06028"/>
    <w:rsid w:val="00D0639F"/>
    <w:rsid w:val="00D064EC"/>
    <w:rsid w:val="00D06747"/>
    <w:rsid w:val="00D06BD2"/>
    <w:rsid w:val="00D06FAA"/>
    <w:rsid w:val="00D06FCD"/>
    <w:rsid w:val="00D07842"/>
    <w:rsid w:val="00D0790D"/>
    <w:rsid w:val="00D07C11"/>
    <w:rsid w:val="00D10714"/>
    <w:rsid w:val="00D10AE0"/>
    <w:rsid w:val="00D10DE3"/>
    <w:rsid w:val="00D10FA3"/>
    <w:rsid w:val="00D1102C"/>
    <w:rsid w:val="00D1106B"/>
    <w:rsid w:val="00D110AC"/>
    <w:rsid w:val="00D113FB"/>
    <w:rsid w:val="00D11E6A"/>
    <w:rsid w:val="00D11F58"/>
    <w:rsid w:val="00D1225C"/>
    <w:rsid w:val="00D123B0"/>
    <w:rsid w:val="00D12B70"/>
    <w:rsid w:val="00D12CAE"/>
    <w:rsid w:val="00D1317E"/>
    <w:rsid w:val="00D13349"/>
    <w:rsid w:val="00D13818"/>
    <w:rsid w:val="00D13C90"/>
    <w:rsid w:val="00D13E8C"/>
    <w:rsid w:val="00D1480C"/>
    <w:rsid w:val="00D1485F"/>
    <w:rsid w:val="00D14B03"/>
    <w:rsid w:val="00D14C35"/>
    <w:rsid w:val="00D14EE6"/>
    <w:rsid w:val="00D15133"/>
    <w:rsid w:val="00D152F5"/>
    <w:rsid w:val="00D15322"/>
    <w:rsid w:val="00D15832"/>
    <w:rsid w:val="00D1588F"/>
    <w:rsid w:val="00D15DA5"/>
    <w:rsid w:val="00D1644A"/>
    <w:rsid w:val="00D167AE"/>
    <w:rsid w:val="00D16BC9"/>
    <w:rsid w:val="00D16C42"/>
    <w:rsid w:val="00D16EEE"/>
    <w:rsid w:val="00D1748A"/>
    <w:rsid w:val="00D1755D"/>
    <w:rsid w:val="00D177CA"/>
    <w:rsid w:val="00D177F1"/>
    <w:rsid w:val="00D17C4C"/>
    <w:rsid w:val="00D17E7D"/>
    <w:rsid w:val="00D17EA9"/>
    <w:rsid w:val="00D17F18"/>
    <w:rsid w:val="00D204C0"/>
    <w:rsid w:val="00D20545"/>
    <w:rsid w:val="00D212A0"/>
    <w:rsid w:val="00D21434"/>
    <w:rsid w:val="00D22053"/>
    <w:rsid w:val="00D220DC"/>
    <w:rsid w:val="00D232AE"/>
    <w:rsid w:val="00D234E6"/>
    <w:rsid w:val="00D23710"/>
    <w:rsid w:val="00D23906"/>
    <w:rsid w:val="00D2393B"/>
    <w:rsid w:val="00D23A0F"/>
    <w:rsid w:val="00D24373"/>
    <w:rsid w:val="00D253A7"/>
    <w:rsid w:val="00D2598E"/>
    <w:rsid w:val="00D26229"/>
    <w:rsid w:val="00D26841"/>
    <w:rsid w:val="00D26DDA"/>
    <w:rsid w:val="00D26F7D"/>
    <w:rsid w:val="00D273B3"/>
    <w:rsid w:val="00D2767D"/>
    <w:rsid w:val="00D278A7"/>
    <w:rsid w:val="00D278E9"/>
    <w:rsid w:val="00D27934"/>
    <w:rsid w:val="00D27C6C"/>
    <w:rsid w:val="00D3002B"/>
    <w:rsid w:val="00D3018A"/>
    <w:rsid w:val="00D3019E"/>
    <w:rsid w:val="00D301ED"/>
    <w:rsid w:val="00D3037A"/>
    <w:rsid w:val="00D30FD6"/>
    <w:rsid w:val="00D31582"/>
    <w:rsid w:val="00D31688"/>
    <w:rsid w:val="00D3191F"/>
    <w:rsid w:val="00D31966"/>
    <w:rsid w:val="00D31EAC"/>
    <w:rsid w:val="00D32205"/>
    <w:rsid w:val="00D32225"/>
    <w:rsid w:val="00D32682"/>
    <w:rsid w:val="00D32B36"/>
    <w:rsid w:val="00D32BE2"/>
    <w:rsid w:val="00D32EDA"/>
    <w:rsid w:val="00D3319D"/>
    <w:rsid w:val="00D3325F"/>
    <w:rsid w:val="00D333DC"/>
    <w:rsid w:val="00D3361E"/>
    <w:rsid w:val="00D3367C"/>
    <w:rsid w:val="00D33683"/>
    <w:rsid w:val="00D33AB4"/>
    <w:rsid w:val="00D33B63"/>
    <w:rsid w:val="00D33F6F"/>
    <w:rsid w:val="00D34470"/>
    <w:rsid w:val="00D34BE2"/>
    <w:rsid w:val="00D35442"/>
    <w:rsid w:val="00D35763"/>
    <w:rsid w:val="00D35E1E"/>
    <w:rsid w:val="00D3681B"/>
    <w:rsid w:val="00D36937"/>
    <w:rsid w:val="00D37C1F"/>
    <w:rsid w:val="00D37D45"/>
    <w:rsid w:val="00D4082E"/>
    <w:rsid w:val="00D4184E"/>
    <w:rsid w:val="00D41884"/>
    <w:rsid w:val="00D41DA8"/>
    <w:rsid w:val="00D41EFD"/>
    <w:rsid w:val="00D420A2"/>
    <w:rsid w:val="00D42464"/>
    <w:rsid w:val="00D4256F"/>
    <w:rsid w:val="00D4262F"/>
    <w:rsid w:val="00D42643"/>
    <w:rsid w:val="00D42747"/>
    <w:rsid w:val="00D42B60"/>
    <w:rsid w:val="00D4300C"/>
    <w:rsid w:val="00D43033"/>
    <w:rsid w:val="00D4346D"/>
    <w:rsid w:val="00D435C7"/>
    <w:rsid w:val="00D43735"/>
    <w:rsid w:val="00D43CF4"/>
    <w:rsid w:val="00D43F85"/>
    <w:rsid w:val="00D4409B"/>
    <w:rsid w:val="00D44133"/>
    <w:rsid w:val="00D4432F"/>
    <w:rsid w:val="00D443AD"/>
    <w:rsid w:val="00D44615"/>
    <w:rsid w:val="00D44909"/>
    <w:rsid w:val="00D44D5A"/>
    <w:rsid w:val="00D44F7D"/>
    <w:rsid w:val="00D45469"/>
    <w:rsid w:val="00D45795"/>
    <w:rsid w:val="00D45B75"/>
    <w:rsid w:val="00D45C89"/>
    <w:rsid w:val="00D462A0"/>
    <w:rsid w:val="00D46658"/>
    <w:rsid w:val="00D4677B"/>
    <w:rsid w:val="00D46AB4"/>
    <w:rsid w:val="00D46AE2"/>
    <w:rsid w:val="00D471FC"/>
    <w:rsid w:val="00D47297"/>
    <w:rsid w:val="00D474D0"/>
    <w:rsid w:val="00D47554"/>
    <w:rsid w:val="00D47B5C"/>
    <w:rsid w:val="00D504F8"/>
    <w:rsid w:val="00D50646"/>
    <w:rsid w:val="00D5068F"/>
    <w:rsid w:val="00D50B67"/>
    <w:rsid w:val="00D50CCA"/>
    <w:rsid w:val="00D50FC0"/>
    <w:rsid w:val="00D51240"/>
    <w:rsid w:val="00D51EA5"/>
    <w:rsid w:val="00D524A7"/>
    <w:rsid w:val="00D52505"/>
    <w:rsid w:val="00D52618"/>
    <w:rsid w:val="00D52825"/>
    <w:rsid w:val="00D5293A"/>
    <w:rsid w:val="00D52AA6"/>
    <w:rsid w:val="00D52B44"/>
    <w:rsid w:val="00D533F6"/>
    <w:rsid w:val="00D539FF"/>
    <w:rsid w:val="00D53C19"/>
    <w:rsid w:val="00D5426F"/>
    <w:rsid w:val="00D54644"/>
    <w:rsid w:val="00D54D51"/>
    <w:rsid w:val="00D54E0D"/>
    <w:rsid w:val="00D54E50"/>
    <w:rsid w:val="00D55051"/>
    <w:rsid w:val="00D55639"/>
    <w:rsid w:val="00D556C7"/>
    <w:rsid w:val="00D55B99"/>
    <w:rsid w:val="00D56F7C"/>
    <w:rsid w:val="00D5713F"/>
    <w:rsid w:val="00D57467"/>
    <w:rsid w:val="00D5764C"/>
    <w:rsid w:val="00D57C3C"/>
    <w:rsid w:val="00D57D2C"/>
    <w:rsid w:val="00D57DD9"/>
    <w:rsid w:val="00D57E0C"/>
    <w:rsid w:val="00D600F7"/>
    <w:rsid w:val="00D60BB5"/>
    <w:rsid w:val="00D60CD2"/>
    <w:rsid w:val="00D60E2F"/>
    <w:rsid w:val="00D60E3D"/>
    <w:rsid w:val="00D61063"/>
    <w:rsid w:val="00D62479"/>
    <w:rsid w:val="00D62996"/>
    <w:rsid w:val="00D62A1B"/>
    <w:rsid w:val="00D62A35"/>
    <w:rsid w:val="00D63165"/>
    <w:rsid w:val="00D63318"/>
    <w:rsid w:val="00D63BB7"/>
    <w:rsid w:val="00D63C10"/>
    <w:rsid w:val="00D63C46"/>
    <w:rsid w:val="00D6407B"/>
    <w:rsid w:val="00D6425F"/>
    <w:rsid w:val="00D644AB"/>
    <w:rsid w:val="00D64720"/>
    <w:rsid w:val="00D656FA"/>
    <w:rsid w:val="00D65AC5"/>
    <w:rsid w:val="00D65DA8"/>
    <w:rsid w:val="00D65F3E"/>
    <w:rsid w:val="00D662CD"/>
    <w:rsid w:val="00D666F3"/>
    <w:rsid w:val="00D66887"/>
    <w:rsid w:val="00D66D48"/>
    <w:rsid w:val="00D67008"/>
    <w:rsid w:val="00D67504"/>
    <w:rsid w:val="00D67578"/>
    <w:rsid w:val="00D675EA"/>
    <w:rsid w:val="00D67A77"/>
    <w:rsid w:val="00D67B2F"/>
    <w:rsid w:val="00D701A9"/>
    <w:rsid w:val="00D70247"/>
    <w:rsid w:val="00D702E4"/>
    <w:rsid w:val="00D703D9"/>
    <w:rsid w:val="00D707EC"/>
    <w:rsid w:val="00D713A0"/>
    <w:rsid w:val="00D7186D"/>
    <w:rsid w:val="00D7193A"/>
    <w:rsid w:val="00D71C0A"/>
    <w:rsid w:val="00D7211B"/>
    <w:rsid w:val="00D7259D"/>
    <w:rsid w:val="00D72788"/>
    <w:rsid w:val="00D73559"/>
    <w:rsid w:val="00D737E3"/>
    <w:rsid w:val="00D73968"/>
    <w:rsid w:val="00D73F17"/>
    <w:rsid w:val="00D740AC"/>
    <w:rsid w:val="00D74207"/>
    <w:rsid w:val="00D7457B"/>
    <w:rsid w:val="00D748AD"/>
    <w:rsid w:val="00D753A1"/>
    <w:rsid w:val="00D75455"/>
    <w:rsid w:val="00D75A65"/>
    <w:rsid w:val="00D75DCB"/>
    <w:rsid w:val="00D760BC"/>
    <w:rsid w:val="00D7636F"/>
    <w:rsid w:val="00D766FC"/>
    <w:rsid w:val="00D7692A"/>
    <w:rsid w:val="00D771E6"/>
    <w:rsid w:val="00D77225"/>
    <w:rsid w:val="00D77895"/>
    <w:rsid w:val="00D77C4C"/>
    <w:rsid w:val="00D77EDE"/>
    <w:rsid w:val="00D80354"/>
    <w:rsid w:val="00D803A1"/>
    <w:rsid w:val="00D808BA"/>
    <w:rsid w:val="00D80D96"/>
    <w:rsid w:val="00D80E1D"/>
    <w:rsid w:val="00D81595"/>
    <w:rsid w:val="00D8195B"/>
    <w:rsid w:val="00D81CEA"/>
    <w:rsid w:val="00D82316"/>
    <w:rsid w:val="00D823ED"/>
    <w:rsid w:val="00D830DA"/>
    <w:rsid w:val="00D83C5A"/>
    <w:rsid w:val="00D83F2D"/>
    <w:rsid w:val="00D83F4C"/>
    <w:rsid w:val="00D83F85"/>
    <w:rsid w:val="00D844A7"/>
    <w:rsid w:val="00D84599"/>
    <w:rsid w:val="00D846AD"/>
    <w:rsid w:val="00D849C9"/>
    <w:rsid w:val="00D84ABE"/>
    <w:rsid w:val="00D84BD1"/>
    <w:rsid w:val="00D84EC8"/>
    <w:rsid w:val="00D84F2F"/>
    <w:rsid w:val="00D850C4"/>
    <w:rsid w:val="00D850DD"/>
    <w:rsid w:val="00D858AA"/>
    <w:rsid w:val="00D85AFC"/>
    <w:rsid w:val="00D865C9"/>
    <w:rsid w:val="00D86BDA"/>
    <w:rsid w:val="00D8788D"/>
    <w:rsid w:val="00D87AC9"/>
    <w:rsid w:val="00D90295"/>
    <w:rsid w:val="00D902E4"/>
    <w:rsid w:val="00D90309"/>
    <w:rsid w:val="00D903E9"/>
    <w:rsid w:val="00D90674"/>
    <w:rsid w:val="00D912C4"/>
    <w:rsid w:val="00D91CF7"/>
    <w:rsid w:val="00D925C9"/>
    <w:rsid w:val="00D92677"/>
    <w:rsid w:val="00D9267A"/>
    <w:rsid w:val="00D92771"/>
    <w:rsid w:val="00D931DD"/>
    <w:rsid w:val="00D935C0"/>
    <w:rsid w:val="00D938AB"/>
    <w:rsid w:val="00D939CB"/>
    <w:rsid w:val="00D93BED"/>
    <w:rsid w:val="00D9423D"/>
    <w:rsid w:val="00D943F0"/>
    <w:rsid w:val="00D9457E"/>
    <w:rsid w:val="00D946E8"/>
    <w:rsid w:val="00D94888"/>
    <w:rsid w:val="00D9494F"/>
    <w:rsid w:val="00D94AA1"/>
    <w:rsid w:val="00D950AD"/>
    <w:rsid w:val="00D950D5"/>
    <w:rsid w:val="00D950F3"/>
    <w:rsid w:val="00D954EC"/>
    <w:rsid w:val="00D96063"/>
    <w:rsid w:val="00D9612D"/>
    <w:rsid w:val="00D96277"/>
    <w:rsid w:val="00D966BC"/>
    <w:rsid w:val="00D967D3"/>
    <w:rsid w:val="00D97196"/>
    <w:rsid w:val="00D9720F"/>
    <w:rsid w:val="00D97EB9"/>
    <w:rsid w:val="00DA02F8"/>
    <w:rsid w:val="00DA059A"/>
    <w:rsid w:val="00DA0B60"/>
    <w:rsid w:val="00DA0BE5"/>
    <w:rsid w:val="00DA0EBA"/>
    <w:rsid w:val="00DA0F30"/>
    <w:rsid w:val="00DA1426"/>
    <w:rsid w:val="00DA15C3"/>
    <w:rsid w:val="00DA1695"/>
    <w:rsid w:val="00DA16E2"/>
    <w:rsid w:val="00DA1C7E"/>
    <w:rsid w:val="00DA1CA7"/>
    <w:rsid w:val="00DA2BD0"/>
    <w:rsid w:val="00DA3043"/>
    <w:rsid w:val="00DA3485"/>
    <w:rsid w:val="00DA387C"/>
    <w:rsid w:val="00DA38D0"/>
    <w:rsid w:val="00DA3ACF"/>
    <w:rsid w:val="00DA3B2C"/>
    <w:rsid w:val="00DA3DF3"/>
    <w:rsid w:val="00DA3FBB"/>
    <w:rsid w:val="00DA42D1"/>
    <w:rsid w:val="00DA437C"/>
    <w:rsid w:val="00DA440C"/>
    <w:rsid w:val="00DA4474"/>
    <w:rsid w:val="00DA45C6"/>
    <w:rsid w:val="00DA4783"/>
    <w:rsid w:val="00DA482A"/>
    <w:rsid w:val="00DA48D1"/>
    <w:rsid w:val="00DA4B6A"/>
    <w:rsid w:val="00DA583D"/>
    <w:rsid w:val="00DA5981"/>
    <w:rsid w:val="00DA5DD5"/>
    <w:rsid w:val="00DA5E59"/>
    <w:rsid w:val="00DA629C"/>
    <w:rsid w:val="00DA6856"/>
    <w:rsid w:val="00DA6B26"/>
    <w:rsid w:val="00DA6E0B"/>
    <w:rsid w:val="00DA70ED"/>
    <w:rsid w:val="00DA7833"/>
    <w:rsid w:val="00DB0200"/>
    <w:rsid w:val="00DB09F2"/>
    <w:rsid w:val="00DB0DA5"/>
    <w:rsid w:val="00DB0DEA"/>
    <w:rsid w:val="00DB11D8"/>
    <w:rsid w:val="00DB1419"/>
    <w:rsid w:val="00DB14A4"/>
    <w:rsid w:val="00DB18B7"/>
    <w:rsid w:val="00DB1D6E"/>
    <w:rsid w:val="00DB1E30"/>
    <w:rsid w:val="00DB1EAC"/>
    <w:rsid w:val="00DB1F4E"/>
    <w:rsid w:val="00DB1FC0"/>
    <w:rsid w:val="00DB2221"/>
    <w:rsid w:val="00DB246F"/>
    <w:rsid w:val="00DB261B"/>
    <w:rsid w:val="00DB2696"/>
    <w:rsid w:val="00DB37DF"/>
    <w:rsid w:val="00DB3872"/>
    <w:rsid w:val="00DB3C52"/>
    <w:rsid w:val="00DB4185"/>
    <w:rsid w:val="00DB4CC7"/>
    <w:rsid w:val="00DB5BAB"/>
    <w:rsid w:val="00DB5EC7"/>
    <w:rsid w:val="00DB5F15"/>
    <w:rsid w:val="00DB6105"/>
    <w:rsid w:val="00DB646C"/>
    <w:rsid w:val="00DB681C"/>
    <w:rsid w:val="00DB7122"/>
    <w:rsid w:val="00DB738E"/>
    <w:rsid w:val="00DB7AB2"/>
    <w:rsid w:val="00DB7B92"/>
    <w:rsid w:val="00DB7D31"/>
    <w:rsid w:val="00DC0083"/>
    <w:rsid w:val="00DC019B"/>
    <w:rsid w:val="00DC0639"/>
    <w:rsid w:val="00DC0702"/>
    <w:rsid w:val="00DC086B"/>
    <w:rsid w:val="00DC0A2D"/>
    <w:rsid w:val="00DC0E5B"/>
    <w:rsid w:val="00DC165E"/>
    <w:rsid w:val="00DC175D"/>
    <w:rsid w:val="00DC2025"/>
    <w:rsid w:val="00DC254F"/>
    <w:rsid w:val="00DC2654"/>
    <w:rsid w:val="00DC275B"/>
    <w:rsid w:val="00DC285D"/>
    <w:rsid w:val="00DC2D5D"/>
    <w:rsid w:val="00DC2EAD"/>
    <w:rsid w:val="00DC3120"/>
    <w:rsid w:val="00DC32BB"/>
    <w:rsid w:val="00DC331F"/>
    <w:rsid w:val="00DC3330"/>
    <w:rsid w:val="00DC3520"/>
    <w:rsid w:val="00DC35BB"/>
    <w:rsid w:val="00DC368A"/>
    <w:rsid w:val="00DC36BE"/>
    <w:rsid w:val="00DC4559"/>
    <w:rsid w:val="00DC4EAE"/>
    <w:rsid w:val="00DC51EF"/>
    <w:rsid w:val="00DC534C"/>
    <w:rsid w:val="00DC542D"/>
    <w:rsid w:val="00DC5A34"/>
    <w:rsid w:val="00DC5F82"/>
    <w:rsid w:val="00DC6243"/>
    <w:rsid w:val="00DC64EA"/>
    <w:rsid w:val="00DC707E"/>
    <w:rsid w:val="00DC7DF0"/>
    <w:rsid w:val="00DD01CA"/>
    <w:rsid w:val="00DD081A"/>
    <w:rsid w:val="00DD0DA8"/>
    <w:rsid w:val="00DD14F8"/>
    <w:rsid w:val="00DD154A"/>
    <w:rsid w:val="00DD198F"/>
    <w:rsid w:val="00DD1BE0"/>
    <w:rsid w:val="00DD1C74"/>
    <w:rsid w:val="00DD1F3F"/>
    <w:rsid w:val="00DD2A33"/>
    <w:rsid w:val="00DD31B0"/>
    <w:rsid w:val="00DD3A41"/>
    <w:rsid w:val="00DD4197"/>
    <w:rsid w:val="00DD4602"/>
    <w:rsid w:val="00DD4968"/>
    <w:rsid w:val="00DD4994"/>
    <w:rsid w:val="00DD4A50"/>
    <w:rsid w:val="00DD4F7A"/>
    <w:rsid w:val="00DD4FD5"/>
    <w:rsid w:val="00DD5181"/>
    <w:rsid w:val="00DD57F1"/>
    <w:rsid w:val="00DD5820"/>
    <w:rsid w:val="00DD7B3E"/>
    <w:rsid w:val="00DD7CCD"/>
    <w:rsid w:val="00DD7F83"/>
    <w:rsid w:val="00DE0206"/>
    <w:rsid w:val="00DE027D"/>
    <w:rsid w:val="00DE0A40"/>
    <w:rsid w:val="00DE0F11"/>
    <w:rsid w:val="00DE1000"/>
    <w:rsid w:val="00DE170A"/>
    <w:rsid w:val="00DE1C27"/>
    <w:rsid w:val="00DE1CCD"/>
    <w:rsid w:val="00DE1F20"/>
    <w:rsid w:val="00DE2E2F"/>
    <w:rsid w:val="00DE321B"/>
    <w:rsid w:val="00DE34EA"/>
    <w:rsid w:val="00DE3BCC"/>
    <w:rsid w:val="00DE3C42"/>
    <w:rsid w:val="00DE3DD0"/>
    <w:rsid w:val="00DE40BA"/>
    <w:rsid w:val="00DE434D"/>
    <w:rsid w:val="00DE46F0"/>
    <w:rsid w:val="00DE473A"/>
    <w:rsid w:val="00DE48BE"/>
    <w:rsid w:val="00DE4919"/>
    <w:rsid w:val="00DE4984"/>
    <w:rsid w:val="00DE49F1"/>
    <w:rsid w:val="00DE4C21"/>
    <w:rsid w:val="00DE5362"/>
    <w:rsid w:val="00DE574A"/>
    <w:rsid w:val="00DE5893"/>
    <w:rsid w:val="00DE5D8E"/>
    <w:rsid w:val="00DE6382"/>
    <w:rsid w:val="00DE6482"/>
    <w:rsid w:val="00DE6C8A"/>
    <w:rsid w:val="00DE6EA9"/>
    <w:rsid w:val="00DE712D"/>
    <w:rsid w:val="00DE7241"/>
    <w:rsid w:val="00DE7B56"/>
    <w:rsid w:val="00DF00E3"/>
    <w:rsid w:val="00DF0282"/>
    <w:rsid w:val="00DF032D"/>
    <w:rsid w:val="00DF076E"/>
    <w:rsid w:val="00DF0BBF"/>
    <w:rsid w:val="00DF0F5F"/>
    <w:rsid w:val="00DF102F"/>
    <w:rsid w:val="00DF16E9"/>
    <w:rsid w:val="00DF17D3"/>
    <w:rsid w:val="00DF18BE"/>
    <w:rsid w:val="00DF23E9"/>
    <w:rsid w:val="00DF251B"/>
    <w:rsid w:val="00DF2620"/>
    <w:rsid w:val="00DF270D"/>
    <w:rsid w:val="00DF290C"/>
    <w:rsid w:val="00DF313F"/>
    <w:rsid w:val="00DF3219"/>
    <w:rsid w:val="00DF36E5"/>
    <w:rsid w:val="00DF3D57"/>
    <w:rsid w:val="00DF41E2"/>
    <w:rsid w:val="00DF420E"/>
    <w:rsid w:val="00DF4E98"/>
    <w:rsid w:val="00DF507B"/>
    <w:rsid w:val="00DF5F30"/>
    <w:rsid w:val="00DF6456"/>
    <w:rsid w:val="00DF64A2"/>
    <w:rsid w:val="00DF66B0"/>
    <w:rsid w:val="00DF68E5"/>
    <w:rsid w:val="00DF6E56"/>
    <w:rsid w:val="00DF7456"/>
    <w:rsid w:val="00DF76BF"/>
    <w:rsid w:val="00DF795D"/>
    <w:rsid w:val="00DF7A19"/>
    <w:rsid w:val="00E00266"/>
    <w:rsid w:val="00E008D6"/>
    <w:rsid w:val="00E0099D"/>
    <w:rsid w:val="00E00A1E"/>
    <w:rsid w:val="00E00D70"/>
    <w:rsid w:val="00E01FDB"/>
    <w:rsid w:val="00E023D9"/>
    <w:rsid w:val="00E024B2"/>
    <w:rsid w:val="00E02684"/>
    <w:rsid w:val="00E02FA9"/>
    <w:rsid w:val="00E0389F"/>
    <w:rsid w:val="00E03EC7"/>
    <w:rsid w:val="00E040E8"/>
    <w:rsid w:val="00E04331"/>
    <w:rsid w:val="00E04700"/>
    <w:rsid w:val="00E055F0"/>
    <w:rsid w:val="00E05971"/>
    <w:rsid w:val="00E05A81"/>
    <w:rsid w:val="00E05F8B"/>
    <w:rsid w:val="00E06135"/>
    <w:rsid w:val="00E06173"/>
    <w:rsid w:val="00E062FB"/>
    <w:rsid w:val="00E0630D"/>
    <w:rsid w:val="00E06880"/>
    <w:rsid w:val="00E0747A"/>
    <w:rsid w:val="00E078A8"/>
    <w:rsid w:val="00E10267"/>
    <w:rsid w:val="00E10488"/>
    <w:rsid w:val="00E10951"/>
    <w:rsid w:val="00E10ACE"/>
    <w:rsid w:val="00E10DDF"/>
    <w:rsid w:val="00E10FF4"/>
    <w:rsid w:val="00E116D8"/>
    <w:rsid w:val="00E1184B"/>
    <w:rsid w:val="00E12E20"/>
    <w:rsid w:val="00E12FD1"/>
    <w:rsid w:val="00E130B5"/>
    <w:rsid w:val="00E13251"/>
    <w:rsid w:val="00E1342C"/>
    <w:rsid w:val="00E137EE"/>
    <w:rsid w:val="00E13846"/>
    <w:rsid w:val="00E14643"/>
    <w:rsid w:val="00E148A7"/>
    <w:rsid w:val="00E149EE"/>
    <w:rsid w:val="00E14C2F"/>
    <w:rsid w:val="00E14FD9"/>
    <w:rsid w:val="00E15027"/>
    <w:rsid w:val="00E153C7"/>
    <w:rsid w:val="00E15763"/>
    <w:rsid w:val="00E15965"/>
    <w:rsid w:val="00E15BB8"/>
    <w:rsid w:val="00E15E4A"/>
    <w:rsid w:val="00E163CC"/>
    <w:rsid w:val="00E1646D"/>
    <w:rsid w:val="00E16949"/>
    <w:rsid w:val="00E16D43"/>
    <w:rsid w:val="00E16FD1"/>
    <w:rsid w:val="00E171B3"/>
    <w:rsid w:val="00E1743F"/>
    <w:rsid w:val="00E17669"/>
    <w:rsid w:val="00E176F0"/>
    <w:rsid w:val="00E177AF"/>
    <w:rsid w:val="00E17B62"/>
    <w:rsid w:val="00E201B5"/>
    <w:rsid w:val="00E202CF"/>
    <w:rsid w:val="00E2067A"/>
    <w:rsid w:val="00E20774"/>
    <w:rsid w:val="00E209AF"/>
    <w:rsid w:val="00E209E3"/>
    <w:rsid w:val="00E20E8A"/>
    <w:rsid w:val="00E219F2"/>
    <w:rsid w:val="00E21C2A"/>
    <w:rsid w:val="00E21DB7"/>
    <w:rsid w:val="00E21DCD"/>
    <w:rsid w:val="00E21DF0"/>
    <w:rsid w:val="00E21E49"/>
    <w:rsid w:val="00E2205C"/>
    <w:rsid w:val="00E2216B"/>
    <w:rsid w:val="00E2228F"/>
    <w:rsid w:val="00E2247D"/>
    <w:rsid w:val="00E2295B"/>
    <w:rsid w:val="00E22CBB"/>
    <w:rsid w:val="00E22E0D"/>
    <w:rsid w:val="00E23034"/>
    <w:rsid w:val="00E230B9"/>
    <w:rsid w:val="00E23823"/>
    <w:rsid w:val="00E2385C"/>
    <w:rsid w:val="00E23FF2"/>
    <w:rsid w:val="00E24164"/>
    <w:rsid w:val="00E24544"/>
    <w:rsid w:val="00E245E8"/>
    <w:rsid w:val="00E24677"/>
    <w:rsid w:val="00E24800"/>
    <w:rsid w:val="00E24B32"/>
    <w:rsid w:val="00E25826"/>
    <w:rsid w:val="00E25F0A"/>
    <w:rsid w:val="00E25FEB"/>
    <w:rsid w:val="00E2655E"/>
    <w:rsid w:val="00E265A1"/>
    <w:rsid w:val="00E26C7D"/>
    <w:rsid w:val="00E26D67"/>
    <w:rsid w:val="00E2749D"/>
    <w:rsid w:val="00E27761"/>
    <w:rsid w:val="00E27813"/>
    <w:rsid w:val="00E27B64"/>
    <w:rsid w:val="00E27BF6"/>
    <w:rsid w:val="00E30491"/>
    <w:rsid w:val="00E304C1"/>
    <w:rsid w:val="00E30861"/>
    <w:rsid w:val="00E30909"/>
    <w:rsid w:val="00E30D6B"/>
    <w:rsid w:val="00E314FE"/>
    <w:rsid w:val="00E31718"/>
    <w:rsid w:val="00E32ACF"/>
    <w:rsid w:val="00E334AC"/>
    <w:rsid w:val="00E3431E"/>
    <w:rsid w:val="00E34547"/>
    <w:rsid w:val="00E3461B"/>
    <w:rsid w:val="00E347C6"/>
    <w:rsid w:val="00E34A80"/>
    <w:rsid w:val="00E34CAF"/>
    <w:rsid w:val="00E355F6"/>
    <w:rsid w:val="00E35659"/>
    <w:rsid w:val="00E35666"/>
    <w:rsid w:val="00E358BF"/>
    <w:rsid w:val="00E35AEA"/>
    <w:rsid w:val="00E3657B"/>
    <w:rsid w:val="00E36EFF"/>
    <w:rsid w:val="00E372DC"/>
    <w:rsid w:val="00E376BD"/>
    <w:rsid w:val="00E40104"/>
    <w:rsid w:val="00E4040C"/>
    <w:rsid w:val="00E4097E"/>
    <w:rsid w:val="00E40D19"/>
    <w:rsid w:val="00E40E27"/>
    <w:rsid w:val="00E412AC"/>
    <w:rsid w:val="00E41451"/>
    <w:rsid w:val="00E41656"/>
    <w:rsid w:val="00E417C9"/>
    <w:rsid w:val="00E42032"/>
    <w:rsid w:val="00E4234D"/>
    <w:rsid w:val="00E428F2"/>
    <w:rsid w:val="00E4298B"/>
    <w:rsid w:val="00E42CD5"/>
    <w:rsid w:val="00E42E8D"/>
    <w:rsid w:val="00E43267"/>
    <w:rsid w:val="00E43359"/>
    <w:rsid w:val="00E433CF"/>
    <w:rsid w:val="00E439EF"/>
    <w:rsid w:val="00E43CE5"/>
    <w:rsid w:val="00E43F32"/>
    <w:rsid w:val="00E43F50"/>
    <w:rsid w:val="00E440C2"/>
    <w:rsid w:val="00E447BE"/>
    <w:rsid w:val="00E44823"/>
    <w:rsid w:val="00E44A84"/>
    <w:rsid w:val="00E44F2E"/>
    <w:rsid w:val="00E45286"/>
    <w:rsid w:val="00E458DF"/>
    <w:rsid w:val="00E45C0B"/>
    <w:rsid w:val="00E4656C"/>
    <w:rsid w:val="00E468C1"/>
    <w:rsid w:val="00E46BF7"/>
    <w:rsid w:val="00E47B76"/>
    <w:rsid w:val="00E5024C"/>
    <w:rsid w:val="00E502E2"/>
    <w:rsid w:val="00E50667"/>
    <w:rsid w:val="00E5066F"/>
    <w:rsid w:val="00E50F8C"/>
    <w:rsid w:val="00E52BCC"/>
    <w:rsid w:val="00E53435"/>
    <w:rsid w:val="00E535F7"/>
    <w:rsid w:val="00E53D45"/>
    <w:rsid w:val="00E53D6E"/>
    <w:rsid w:val="00E540DA"/>
    <w:rsid w:val="00E5466E"/>
    <w:rsid w:val="00E54B23"/>
    <w:rsid w:val="00E55746"/>
    <w:rsid w:val="00E55824"/>
    <w:rsid w:val="00E5588A"/>
    <w:rsid w:val="00E55CCE"/>
    <w:rsid w:val="00E565B7"/>
    <w:rsid w:val="00E56BBE"/>
    <w:rsid w:val="00E56C06"/>
    <w:rsid w:val="00E56F6C"/>
    <w:rsid w:val="00E571B7"/>
    <w:rsid w:val="00E57EF9"/>
    <w:rsid w:val="00E6072E"/>
    <w:rsid w:val="00E60C37"/>
    <w:rsid w:val="00E60F18"/>
    <w:rsid w:val="00E60F75"/>
    <w:rsid w:val="00E6110B"/>
    <w:rsid w:val="00E61C22"/>
    <w:rsid w:val="00E61FC4"/>
    <w:rsid w:val="00E621E8"/>
    <w:rsid w:val="00E6230C"/>
    <w:rsid w:val="00E62812"/>
    <w:rsid w:val="00E63490"/>
    <w:rsid w:val="00E634B2"/>
    <w:rsid w:val="00E63532"/>
    <w:rsid w:val="00E63A3B"/>
    <w:rsid w:val="00E64617"/>
    <w:rsid w:val="00E64775"/>
    <w:rsid w:val="00E64DDB"/>
    <w:rsid w:val="00E65334"/>
    <w:rsid w:val="00E655E9"/>
    <w:rsid w:val="00E656E3"/>
    <w:rsid w:val="00E65A19"/>
    <w:rsid w:val="00E6667E"/>
    <w:rsid w:val="00E66B61"/>
    <w:rsid w:val="00E6787F"/>
    <w:rsid w:val="00E67B88"/>
    <w:rsid w:val="00E67BDA"/>
    <w:rsid w:val="00E67C73"/>
    <w:rsid w:val="00E67ED9"/>
    <w:rsid w:val="00E7019E"/>
    <w:rsid w:val="00E71209"/>
    <w:rsid w:val="00E71719"/>
    <w:rsid w:val="00E71938"/>
    <w:rsid w:val="00E719C0"/>
    <w:rsid w:val="00E71A3D"/>
    <w:rsid w:val="00E71C80"/>
    <w:rsid w:val="00E72258"/>
    <w:rsid w:val="00E724A2"/>
    <w:rsid w:val="00E727F6"/>
    <w:rsid w:val="00E72994"/>
    <w:rsid w:val="00E7341F"/>
    <w:rsid w:val="00E73844"/>
    <w:rsid w:val="00E73B39"/>
    <w:rsid w:val="00E73C80"/>
    <w:rsid w:val="00E73CF0"/>
    <w:rsid w:val="00E73E5E"/>
    <w:rsid w:val="00E73E87"/>
    <w:rsid w:val="00E7418A"/>
    <w:rsid w:val="00E74318"/>
    <w:rsid w:val="00E74544"/>
    <w:rsid w:val="00E74A7B"/>
    <w:rsid w:val="00E74AC8"/>
    <w:rsid w:val="00E74B0A"/>
    <w:rsid w:val="00E74CB9"/>
    <w:rsid w:val="00E75144"/>
    <w:rsid w:val="00E7537E"/>
    <w:rsid w:val="00E755E8"/>
    <w:rsid w:val="00E75F78"/>
    <w:rsid w:val="00E76CEB"/>
    <w:rsid w:val="00E7795E"/>
    <w:rsid w:val="00E77CA7"/>
    <w:rsid w:val="00E80005"/>
    <w:rsid w:val="00E804DE"/>
    <w:rsid w:val="00E807DE"/>
    <w:rsid w:val="00E81A88"/>
    <w:rsid w:val="00E81D79"/>
    <w:rsid w:val="00E82439"/>
    <w:rsid w:val="00E824B7"/>
    <w:rsid w:val="00E835F8"/>
    <w:rsid w:val="00E83995"/>
    <w:rsid w:val="00E83C26"/>
    <w:rsid w:val="00E83FD0"/>
    <w:rsid w:val="00E843A0"/>
    <w:rsid w:val="00E84434"/>
    <w:rsid w:val="00E85163"/>
    <w:rsid w:val="00E85458"/>
    <w:rsid w:val="00E85913"/>
    <w:rsid w:val="00E859C0"/>
    <w:rsid w:val="00E85A2F"/>
    <w:rsid w:val="00E85E8F"/>
    <w:rsid w:val="00E860FC"/>
    <w:rsid w:val="00E866FE"/>
    <w:rsid w:val="00E87724"/>
    <w:rsid w:val="00E877CE"/>
    <w:rsid w:val="00E87ABF"/>
    <w:rsid w:val="00E87B76"/>
    <w:rsid w:val="00E87F39"/>
    <w:rsid w:val="00E87F66"/>
    <w:rsid w:val="00E90114"/>
    <w:rsid w:val="00E902C1"/>
    <w:rsid w:val="00E908A5"/>
    <w:rsid w:val="00E90909"/>
    <w:rsid w:val="00E90B42"/>
    <w:rsid w:val="00E90EA2"/>
    <w:rsid w:val="00E90F14"/>
    <w:rsid w:val="00E91BE9"/>
    <w:rsid w:val="00E91CD4"/>
    <w:rsid w:val="00E91F13"/>
    <w:rsid w:val="00E91F42"/>
    <w:rsid w:val="00E91F4F"/>
    <w:rsid w:val="00E922FF"/>
    <w:rsid w:val="00E92A7B"/>
    <w:rsid w:val="00E92BEA"/>
    <w:rsid w:val="00E92D56"/>
    <w:rsid w:val="00E9329F"/>
    <w:rsid w:val="00E9367F"/>
    <w:rsid w:val="00E9375D"/>
    <w:rsid w:val="00E93A9C"/>
    <w:rsid w:val="00E93DD9"/>
    <w:rsid w:val="00E94496"/>
    <w:rsid w:val="00E94515"/>
    <w:rsid w:val="00E94AB3"/>
    <w:rsid w:val="00E94D6E"/>
    <w:rsid w:val="00E94F4A"/>
    <w:rsid w:val="00E9511B"/>
    <w:rsid w:val="00E95250"/>
    <w:rsid w:val="00E954CB"/>
    <w:rsid w:val="00E954FB"/>
    <w:rsid w:val="00E958AA"/>
    <w:rsid w:val="00E958C0"/>
    <w:rsid w:val="00E95D21"/>
    <w:rsid w:val="00E95ED0"/>
    <w:rsid w:val="00E960DC"/>
    <w:rsid w:val="00E960E2"/>
    <w:rsid w:val="00E962AB"/>
    <w:rsid w:val="00E96986"/>
    <w:rsid w:val="00E96F30"/>
    <w:rsid w:val="00E971E6"/>
    <w:rsid w:val="00E97216"/>
    <w:rsid w:val="00E9722D"/>
    <w:rsid w:val="00EA0620"/>
    <w:rsid w:val="00EA0912"/>
    <w:rsid w:val="00EA0A03"/>
    <w:rsid w:val="00EA0AFC"/>
    <w:rsid w:val="00EA0C0A"/>
    <w:rsid w:val="00EA1D98"/>
    <w:rsid w:val="00EA216F"/>
    <w:rsid w:val="00EA2481"/>
    <w:rsid w:val="00EA25D4"/>
    <w:rsid w:val="00EA2866"/>
    <w:rsid w:val="00EA28BD"/>
    <w:rsid w:val="00EA2A04"/>
    <w:rsid w:val="00EA2E08"/>
    <w:rsid w:val="00EA2E53"/>
    <w:rsid w:val="00EA3008"/>
    <w:rsid w:val="00EA33DC"/>
    <w:rsid w:val="00EA3594"/>
    <w:rsid w:val="00EA3843"/>
    <w:rsid w:val="00EA386C"/>
    <w:rsid w:val="00EA39D3"/>
    <w:rsid w:val="00EA3AAE"/>
    <w:rsid w:val="00EA422A"/>
    <w:rsid w:val="00EA4255"/>
    <w:rsid w:val="00EA4649"/>
    <w:rsid w:val="00EA4AF9"/>
    <w:rsid w:val="00EA4E82"/>
    <w:rsid w:val="00EA50B9"/>
    <w:rsid w:val="00EA52FC"/>
    <w:rsid w:val="00EA5A64"/>
    <w:rsid w:val="00EA5FD1"/>
    <w:rsid w:val="00EA60D8"/>
    <w:rsid w:val="00EA66DC"/>
    <w:rsid w:val="00EA67ED"/>
    <w:rsid w:val="00EA6BBE"/>
    <w:rsid w:val="00EA73A6"/>
    <w:rsid w:val="00EA77D3"/>
    <w:rsid w:val="00EA7920"/>
    <w:rsid w:val="00EA7A0B"/>
    <w:rsid w:val="00EB0058"/>
    <w:rsid w:val="00EB0409"/>
    <w:rsid w:val="00EB097C"/>
    <w:rsid w:val="00EB097D"/>
    <w:rsid w:val="00EB1818"/>
    <w:rsid w:val="00EB1841"/>
    <w:rsid w:val="00EB2447"/>
    <w:rsid w:val="00EB28FF"/>
    <w:rsid w:val="00EB3002"/>
    <w:rsid w:val="00EB3176"/>
    <w:rsid w:val="00EB3225"/>
    <w:rsid w:val="00EB3523"/>
    <w:rsid w:val="00EB353B"/>
    <w:rsid w:val="00EB3A0A"/>
    <w:rsid w:val="00EB40C7"/>
    <w:rsid w:val="00EB43B0"/>
    <w:rsid w:val="00EB466D"/>
    <w:rsid w:val="00EB47A4"/>
    <w:rsid w:val="00EB5044"/>
    <w:rsid w:val="00EB53E4"/>
    <w:rsid w:val="00EB55B6"/>
    <w:rsid w:val="00EB56BE"/>
    <w:rsid w:val="00EB5825"/>
    <w:rsid w:val="00EB5A09"/>
    <w:rsid w:val="00EB5B99"/>
    <w:rsid w:val="00EB6198"/>
    <w:rsid w:val="00EB67B7"/>
    <w:rsid w:val="00EB6908"/>
    <w:rsid w:val="00EB696E"/>
    <w:rsid w:val="00EB7254"/>
    <w:rsid w:val="00EB73E3"/>
    <w:rsid w:val="00EB789B"/>
    <w:rsid w:val="00EB7A5F"/>
    <w:rsid w:val="00EB7D62"/>
    <w:rsid w:val="00EB7D79"/>
    <w:rsid w:val="00EB7F3A"/>
    <w:rsid w:val="00EC003F"/>
    <w:rsid w:val="00EC0BFD"/>
    <w:rsid w:val="00EC10C9"/>
    <w:rsid w:val="00EC1198"/>
    <w:rsid w:val="00EC120D"/>
    <w:rsid w:val="00EC1CD0"/>
    <w:rsid w:val="00EC1E7E"/>
    <w:rsid w:val="00EC2294"/>
    <w:rsid w:val="00EC2BE8"/>
    <w:rsid w:val="00EC3683"/>
    <w:rsid w:val="00EC398E"/>
    <w:rsid w:val="00EC39F4"/>
    <w:rsid w:val="00EC3C4D"/>
    <w:rsid w:val="00EC407D"/>
    <w:rsid w:val="00EC41EA"/>
    <w:rsid w:val="00EC448A"/>
    <w:rsid w:val="00EC51BE"/>
    <w:rsid w:val="00EC52D1"/>
    <w:rsid w:val="00EC5611"/>
    <w:rsid w:val="00EC594D"/>
    <w:rsid w:val="00EC5983"/>
    <w:rsid w:val="00EC5AD6"/>
    <w:rsid w:val="00EC5DE2"/>
    <w:rsid w:val="00EC5E2C"/>
    <w:rsid w:val="00EC61F4"/>
    <w:rsid w:val="00EC67AA"/>
    <w:rsid w:val="00EC69CC"/>
    <w:rsid w:val="00EC7397"/>
    <w:rsid w:val="00EC73BF"/>
    <w:rsid w:val="00EC7408"/>
    <w:rsid w:val="00EC7972"/>
    <w:rsid w:val="00EC79BC"/>
    <w:rsid w:val="00ED00AF"/>
    <w:rsid w:val="00ED0145"/>
    <w:rsid w:val="00ED0474"/>
    <w:rsid w:val="00ED0CE4"/>
    <w:rsid w:val="00ED0EC9"/>
    <w:rsid w:val="00ED13AC"/>
    <w:rsid w:val="00ED13B2"/>
    <w:rsid w:val="00ED1477"/>
    <w:rsid w:val="00ED16B7"/>
    <w:rsid w:val="00ED1AB5"/>
    <w:rsid w:val="00ED21E9"/>
    <w:rsid w:val="00ED2776"/>
    <w:rsid w:val="00ED29CF"/>
    <w:rsid w:val="00ED3422"/>
    <w:rsid w:val="00ED3559"/>
    <w:rsid w:val="00ED378A"/>
    <w:rsid w:val="00ED37A4"/>
    <w:rsid w:val="00ED3A93"/>
    <w:rsid w:val="00ED3E72"/>
    <w:rsid w:val="00ED3EB0"/>
    <w:rsid w:val="00ED404F"/>
    <w:rsid w:val="00ED4AFC"/>
    <w:rsid w:val="00ED4F65"/>
    <w:rsid w:val="00ED5261"/>
    <w:rsid w:val="00ED5AF9"/>
    <w:rsid w:val="00ED5C78"/>
    <w:rsid w:val="00ED5D65"/>
    <w:rsid w:val="00ED62E5"/>
    <w:rsid w:val="00ED6360"/>
    <w:rsid w:val="00ED63AD"/>
    <w:rsid w:val="00ED6507"/>
    <w:rsid w:val="00ED6865"/>
    <w:rsid w:val="00ED6DAF"/>
    <w:rsid w:val="00ED6F7B"/>
    <w:rsid w:val="00ED7809"/>
    <w:rsid w:val="00EE00D6"/>
    <w:rsid w:val="00EE0C64"/>
    <w:rsid w:val="00EE11B9"/>
    <w:rsid w:val="00EE11D5"/>
    <w:rsid w:val="00EE14C8"/>
    <w:rsid w:val="00EE1646"/>
    <w:rsid w:val="00EE1CF1"/>
    <w:rsid w:val="00EE27FE"/>
    <w:rsid w:val="00EE2BED"/>
    <w:rsid w:val="00EE32AC"/>
    <w:rsid w:val="00EE381A"/>
    <w:rsid w:val="00EE3EBF"/>
    <w:rsid w:val="00EE45DF"/>
    <w:rsid w:val="00EE4C08"/>
    <w:rsid w:val="00EE4DB9"/>
    <w:rsid w:val="00EE5680"/>
    <w:rsid w:val="00EE5AC1"/>
    <w:rsid w:val="00EE5B97"/>
    <w:rsid w:val="00EE5D0D"/>
    <w:rsid w:val="00EE5F2E"/>
    <w:rsid w:val="00EE64ED"/>
    <w:rsid w:val="00EE653A"/>
    <w:rsid w:val="00EE697C"/>
    <w:rsid w:val="00EE71DF"/>
    <w:rsid w:val="00EE7859"/>
    <w:rsid w:val="00EE7A9B"/>
    <w:rsid w:val="00EE7BAB"/>
    <w:rsid w:val="00EE7E61"/>
    <w:rsid w:val="00EF0067"/>
    <w:rsid w:val="00EF0514"/>
    <w:rsid w:val="00EF054E"/>
    <w:rsid w:val="00EF061D"/>
    <w:rsid w:val="00EF0629"/>
    <w:rsid w:val="00EF0B84"/>
    <w:rsid w:val="00EF0B97"/>
    <w:rsid w:val="00EF1117"/>
    <w:rsid w:val="00EF1207"/>
    <w:rsid w:val="00EF1787"/>
    <w:rsid w:val="00EF1E99"/>
    <w:rsid w:val="00EF2088"/>
    <w:rsid w:val="00EF2329"/>
    <w:rsid w:val="00EF25A8"/>
    <w:rsid w:val="00EF2A5F"/>
    <w:rsid w:val="00EF30C0"/>
    <w:rsid w:val="00EF34CD"/>
    <w:rsid w:val="00EF3A4D"/>
    <w:rsid w:val="00EF3B89"/>
    <w:rsid w:val="00EF3C45"/>
    <w:rsid w:val="00EF4520"/>
    <w:rsid w:val="00EF56A1"/>
    <w:rsid w:val="00EF57F4"/>
    <w:rsid w:val="00EF58EA"/>
    <w:rsid w:val="00EF5BF8"/>
    <w:rsid w:val="00EF5E59"/>
    <w:rsid w:val="00EF6461"/>
    <w:rsid w:val="00EF652F"/>
    <w:rsid w:val="00EF680F"/>
    <w:rsid w:val="00EF686C"/>
    <w:rsid w:val="00EF6EDE"/>
    <w:rsid w:val="00EF727E"/>
    <w:rsid w:val="00EF7356"/>
    <w:rsid w:val="00EF76A8"/>
    <w:rsid w:val="00EF7959"/>
    <w:rsid w:val="00EF79CE"/>
    <w:rsid w:val="00EF7B1D"/>
    <w:rsid w:val="00EF7D30"/>
    <w:rsid w:val="00F0078C"/>
    <w:rsid w:val="00F00874"/>
    <w:rsid w:val="00F00B3A"/>
    <w:rsid w:val="00F00C2F"/>
    <w:rsid w:val="00F00C44"/>
    <w:rsid w:val="00F00CAA"/>
    <w:rsid w:val="00F01D06"/>
    <w:rsid w:val="00F02137"/>
    <w:rsid w:val="00F0217F"/>
    <w:rsid w:val="00F02224"/>
    <w:rsid w:val="00F02514"/>
    <w:rsid w:val="00F025B9"/>
    <w:rsid w:val="00F02811"/>
    <w:rsid w:val="00F02A73"/>
    <w:rsid w:val="00F031FD"/>
    <w:rsid w:val="00F033C6"/>
    <w:rsid w:val="00F038B2"/>
    <w:rsid w:val="00F0391F"/>
    <w:rsid w:val="00F03E6B"/>
    <w:rsid w:val="00F03F46"/>
    <w:rsid w:val="00F04070"/>
    <w:rsid w:val="00F04345"/>
    <w:rsid w:val="00F0440D"/>
    <w:rsid w:val="00F044E4"/>
    <w:rsid w:val="00F0515B"/>
    <w:rsid w:val="00F0549D"/>
    <w:rsid w:val="00F055C4"/>
    <w:rsid w:val="00F0565D"/>
    <w:rsid w:val="00F057A5"/>
    <w:rsid w:val="00F05990"/>
    <w:rsid w:val="00F05F82"/>
    <w:rsid w:val="00F06676"/>
    <w:rsid w:val="00F067A7"/>
    <w:rsid w:val="00F06C59"/>
    <w:rsid w:val="00F072B1"/>
    <w:rsid w:val="00F075BA"/>
    <w:rsid w:val="00F07B12"/>
    <w:rsid w:val="00F07E5F"/>
    <w:rsid w:val="00F07ED7"/>
    <w:rsid w:val="00F10430"/>
    <w:rsid w:val="00F10644"/>
    <w:rsid w:val="00F10EE7"/>
    <w:rsid w:val="00F110D7"/>
    <w:rsid w:val="00F11529"/>
    <w:rsid w:val="00F11564"/>
    <w:rsid w:val="00F118F1"/>
    <w:rsid w:val="00F11DBD"/>
    <w:rsid w:val="00F11DC6"/>
    <w:rsid w:val="00F11EE8"/>
    <w:rsid w:val="00F1200C"/>
    <w:rsid w:val="00F12137"/>
    <w:rsid w:val="00F127D4"/>
    <w:rsid w:val="00F12AC4"/>
    <w:rsid w:val="00F12D49"/>
    <w:rsid w:val="00F12EA0"/>
    <w:rsid w:val="00F1315E"/>
    <w:rsid w:val="00F133EB"/>
    <w:rsid w:val="00F13600"/>
    <w:rsid w:val="00F1397B"/>
    <w:rsid w:val="00F13C11"/>
    <w:rsid w:val="00F13C7A"/>
    <w:rsid w:val="00F14738"/>
    <w:rsid w:val="00F15305"/>
    <w:rsid w:val="00F1561B"/>
    <w:rsid w:val="00F15A36"/>
    <w:rsid w:val="00F15A5C"/>
    <w:rsid w:val="00F15B15"/>
    <w:rsid w:val="00F1640A"/>
    <w:rsid w:val="00F16CBA"/>
    <w:rsid w:val="00F1702C"/>
    <w:rsid w:val="00F170FE"/>
    <w:rsid w:val="00F17145"/>
    <w:rsid w:val="00F17463"/>
    <w:rsid w:val="00F17B4D"/>
    <w:rsid w:val="00F17D85"/>
    <w:rsid w:val="00F17DA4"/>
    <w:rsid w:val="00F20402"/>
    <w:rsid w:val="00F2052E"/>
    <w:rsid w:val="00F20960"/>
    <w:rsid w:val="00F2098D"/>
    <w:rsid w:val="00F20B67"/>
    <w:rsid w:val="00F20CCE"/>
    <w:rsid w:val="00F21012"/>
    <w:rsid w:val="00F21114"/>
    <w:rsid w:val="00F2127D"/>
    <w:rsid w:val="00F212D8"/>
    <w:rsid w:val="00F21381"/>
    <w:rsid w:val="00F21A37"/>
    <w:rsid w:val="00F21A3E"/>
    <w:rsid w:val="00F21B6C"/>
    <w:rsid w:val="00F220BD"/>
    <w:rsid w:val="00F229C0"/>
    <w:rsid w:val="00F234E3"/>
    <w:rsid w:val="00F23597"/>
    <w:rsid w:val="00F244DB"/>
    <w:rsid w:val="00F2467A"/>
    <w:rsid w:val="00F24C9F"/>
    <w:rsid w:val="00F24D8C"/>
    <w:rsid w:val="00F24F15"/>
    <w:rsid w:val="00F25316"/>
    <w:rsid w:val="00F256A9"/>
    <w:rsid w:val="00F25796"/>
    <w:rsid w:val="00F257E2"/>
    <w:rsid w:val="00F25EBD"/>
    <w:rsid w:val="00F2620D"/>
    <w:rsid w:val="00F26228"/>
    <w:rsid w:val="00F2651E"/>
    <w:rsid w:val="00F265E3"/>
    <w:rsid w:val="00F26746"/>
    <w:rsid w:val="00F26A51"/>
    <w:rsid w:val="00F26A6D"/>
    <w:rsid w:val="00F26B70"/>
    <w:rsid w:val="00F26F0E"/>
    <w:rsid w:val="00F270D8"/>
    <w:rsid w:val="00F2717A"/>
    <w:rsid w:val="00F27C1C"/>
    <w:rsid w:val="00F30197"/>
    <w:rsid w:val="00F303F7"/>
    <w:rsid w:val="00F31063"/>
    <w:rsid w:val="00F31248"/>
    <w:rsid w:val="00F326EC"/>
    <w:rsid w:val="00F32766"/>
    <w:rsid w:val="00F328AC"/>
    <w:rsid w:val="00F32C18"/>
    <w:rsid w:val="00F335F7"/>
    <w:rsid w:val="00F33A61"/>
    <w:rsid w:val="00F34348"/>
    <w:rsid w:val="00F34658"/>
    <w:rsid w:val="00F34F01"/>
    <w:rsid w:val="00F3500D"/>
    <w:rsid w:val="00F3521F"/>
    <w:rsid w:val="00F35A1E"/>
    <w:rsid w:val="00F35B19"/>
    <w:rsid w:val="00F360B4"/>
    <w:rsid w:val="00F3774E"/>
    <w:rsid w:val="00F37D4B"/>
    <w:rsid w:val="00F37E8F"/>
    <w:rsid w:val="00F40167"/>
    <w:rsid w:val="00F40250"/>
    <w:rsid w:val="00F40375"/>
    <w:rsid w:val="00F407AD"/>
    <w:rsid w:val="00F40CC1"/>
    <w:rsid w:val="00F41010"/>
    <w:rsid w:val="00F41246"/>
    <w:rsid w:val="00F41600"/>
    <w:rsid w:val="00F417A3"/>
    <w:rsid w:val="00F423BD"/>
    <w:rsid w:val="00F42477"/>
    <w:rsid w:val="00F4284A"/>
    <w:rsid w:val="00F42E55"/>
    <w:rsid w:val="00F435E1"/>
    <w:rsid w:val="00F44037"/>
    <w:rsid w:val="00F441AC"/>
    <w:rsid w:val="00F4437A"/>
    <w:rsid w:val="00F44484"/>
    <w:rsid w:val="00F445FF"/>
    <w:rsid w:val="00F44777"/>
    <w:rsid w:val="00F44AC5"/>
    <w:rsid w:val="00F44C95"/>
    <w:rsid w:val="00F44CE1"/>
    <w:rsid w:val="00F44D08"/>
    <w:rsid w:val="00F45040"/>
    <w:rsid w:val="00F453F6"/>
    <w:rsid w:val="00F457C7"/>
    <w:rsid w:val="00F4585D"/>
    <w:rsid w:val="00F45FC9"/>
    <w:rsid w:val="00F46492"/>
    <w:rsid w:val="00F465D3"/>
    <w:rsid w:val="00F465F9"/>
    <w:rsid w:val="00F4680B"/>
    <w:rsid w:val="00F46F0C"/>
    <w:rsid w:val="00F46FB8"/>
    <w:rsid w:val="00F4750E"/>
    <w:rsid w:val="00F4778B"/>
    <w:rsid w:val="00F479CD"/>
    <w:rsid w:val="00F506D5"/>
    <w:rsid w:val="00F507DB"/>
    <w:rsid w:val="00F50BCE"/>
    <w:rsid w:val="00F50E02"/>
    <w:rsid w:val="00F5114A"/>
    <w:rsid w:val="00F51F0A"/>
    <w:rsid w:val="00F52383"/>
    <w:rsid w:val="00F52F14"/>
    <w:rsid w:val="00F53827"/>
    <w:rsid w:val="00F53D2A"/>
    <w:rsid w:val="00F53DC3"/>
    <w:rsid w:val="00F53F82"/>
    <w:rsid w:val="00F5451B"/>
    <w:rsid w:val="00F54C14"/>
    <w:rsid w:val="00F55059"/>
    <w:rsid w:val="00F55527"/>
    <w:rsid w:val="00F55776"/>
    <w:rsid w:val="00F55823"/>
    <w:rsid w:val="00F559AE"/>
    <w:rsid w:val="00F55E6A"/>
    <w:rsid w:val="00F5625E"/>
    <w:rsid w:val="00F562B9"/>
    <w:rsid w:val="00F56465"/>
    <w:rsid w:val="00F5699B"/>
    <w:rsid w:val="00F56E83"/>
    <w:rsid w:val="00F60289"/>
    <w:rsid w:val="00F602C1"/>
    <w:rsid w:val="00F60B04"/>
    <w:rsid w:val="00F60DBD"/>
    <w:rsid w:val="00F60F8B"/>
    <w:rsid w:val="00F61175"/>
    <w:rsid w:val="00F61691"/>
    <w:rsid w:val="00F619D5"/>
    <w:rsid w:val="00F61CBB"/>
    <w:rsid w:val="00F61E61"/>
    <w:rsid w:val="00F6205B"/>
    <w:rsid w:val="00F62163"/>
    <w:rsid w:val="00F624C9"/>
    <w:rsid w:val="00F62915"/>
    <w:rsid w:val="00F629F3"/>
    <w:rsid w:val="00F62AE1"/>
    <w:rsid w:val="00F62D37"/>
    <w:rsid w:val="00F62F49"/>
    <w:rsid w:val="00F63251"/>
    <w:rsid w:val="00F6355B"/>
    <w:rsid w:val="00F63D19"/>
    <w:rsid w:val="00F63DBE"/>
    <w:rsid w:val="00F641C2"/>
    <w:rsid w:val="00F64C60"/>
    <w:rsid w:val="00F64D59"/>
    <w:rsid w:val="00F64EDA"/>
    <w:rsid w:val="00F64FB4"/>
    <w:rsid w:val="00F6568F"/>
    <w:rsid w:val="00F6579A"/>
    <w:rsid w:val="00F65977"/>
    <w:rsid w:val="00F65D03"/>
    <w:rsid w:val="00F662A7"/>
    <w:rsid w:val="00F665CA"/>
    <w:rsid w:val="00F66749"/>
    <w:rsid w:val="00F667C3"/>
    <w:rsid w:val="00F667F2"/>
    <w:rsid w:val="00F66A20"/>
    <w:rsid w:val="00F66E3C"/>
    <w:rsid w:val="00F66E71"/>
    <w:rsid w:val="00F673C0"/>
    <w:rsid w:val="00F67784"/>
    <w:rsid w:val="00F67997"/>
    <w:rsid w:val="00F67B6D"/>
    <w:rsid w:val="00F67E24"/>
    <w:rsid w:val="00F70652"/>
    <w:rsid w:val="00F7066A"/>
    <w:rsid w:val="00F70800"/>
    <w:rsid w:val="00F70857"/>
    <w:rsid w:val="00F70D0C"/>
    <w:rsid w:val="00F711D5"/>
    <w:rsid w:val="00F71870"/>
    <w:rsid w:val="00F718DF"/>
    <w:rsid w:val="00F71928"/>
    <w:rsid w:val="00F71C17"/>
    <w:rsid w:val="00F7208A"/>
    <w:rsid w:val="00F720D3"/>
    <w:rsid w:val="00F730D6"/>
    <w:rsid w:val="00F731BF"/>
    <w:rsid w:val="00F732CC"/>
    <w:rsid w:val="00F734A5"/>
    <w:rsid w:val="00F73788"/>
    <w:rsid w:val="00F738C5"/>
    <w:rsid w:val="00F739EB"/>
    <w:rsid w:val="00F73E83"/>
    <w:rsid w:val="00F745BB"/>
    <w:rsid w:val="00F746B3"/>
    <w:rsid w:val="00F747B2"/>
    <w:rsid w:val="00F74CBC"/>
    <w:rsid w:val="00F75368"/>
    <w:rsid w:val="00F755F2"/>
    <w:rsid w:val="00F75DBB"/>
    <w:rsid w:val="00F76914"/>
    <w:rsid w:val="00F76DD5"/>
    <w:rsid w:val="00F7701B"/>
    <w:rsid w:val="00F77665"/>
    <w:rsid w:val="00F77C47"/>
    <w:rsid w:val="00F77EEB"/>
    <w:rsid w:val="00F8000D"/>
    <w:rsid w:val="00F80398"/>
    <w:rsid w:val="00F80923"/>
    <w:rsid w:val="00F80B4E"/>
    <w:rsid w:val="00F80C4A"/>
    <w:rsid w:val="00F8148E"/>
    <w:rsid w:val="00F81677"/>
    <w:rsid w:val="00F81B28"/>
    <w:rsid w:val="00F81E74"/>
    <w:rsid w:val="00F830F3"/>
    <w:rsid w:val="00F83E40"/>
    <w:rsid w:val="00F840AE"/>
    <w:rsid w:val="00F843AB"/>
    <w:rsid w:val="00F847B2"/>
    <w:rsid w:val="00F84A08"/>
    <w:rsid w:val="00F85357"/>
    <w:rsid w:val="00F8562A"/>
    <w:rsid w:val="00F85B6F"/>
    <w:rsid w:val="00F85C99"/>
    <w:rsid w:val="00F85DE0"/>
    <w:rsid w:val="00F86260"/>
    <w:rsid w:val="00F86287"/>
    <w:rsid w:val="00F8640B"/>
    <w:rsid w:val="00F86599"/>
    <w:rsid w:val="00F8670E"/>
    <w:rsid w:val="00F86AD4"/>
    <w:rsid w:val="00F86C68"/>
    <w:rsid w:val="00F86ECB"/>
    <w:rsid w:val="00F87537"/>
    <w:rsid w:val="00F875BF"/>
    <w:rsid w:val="00F87713"/>
    <w:rsid w:val="00F87B8E"/>
    <w:rsid w:val="00F87E5B"/>
    <w:rsid w:val="00F90504"/>
    <w:rsid w:val="00F9058E"/>
    <w:rsid w:val="00F906F5"/>
    <w:rsid w:val="00F9094F"/>
    <w:rsid w:val="00F90A53"/>
    <w:rsid w:val="00F90AE5"/>
    <w:rsid w:val="00F90C2C"/>
    <w:rsid w:val="00F9122E"/>
    <w:rsid w:val="00F916D9"/>
    <w:rsid w:val="00F91B46"/>
    <w:rsid w:val="00F91D84"/>
    <w:rsid w:val="00F9203B"/>
    <w:rsid w:val="00F922C9"/>
    <w:rsid w:val="00F923FA"/>
    <w:rsid w:val="00F92784"/>
    <w:rsid w:val="00F92864"/>
    <w:rsid w:val="00F9290E"/>
    <w:rsid w:val="00F931D3"/>
    <w:rsid w:val="00F933B7"/>
    <w:rsid w:val="00F93B25"/>
    <w:rsid w:val="00F93F18"/>
    <w:rsid w:val="00F93F6F"/>
    <w:rsid w:val="00F94098"/>
    <w:rsid w:val="00F94EAD"/>
    <w:rsid w:val="00F94EE5"/>
    <w:rsid w:val="00F952CC"/>
    <w:rsid w:val="00F95BE8"/>
    <w:rsid w:val="00F95BFB"/>
    <w:rsid w:val="00F960C6"/>
    <w:rsid w:val="00F969D0"/>
    <w:rsid w:val="00F96DB3"/>
    <w:rsid w:val="00F970C5"/>
    <w:rsid w:val="00F97197"/>
    <w:rsid w:val="00F97488"/>
    <w:rsid w:val="00F9764A"/>
    <w:rsid w:val="00FA04D1"/>
    <w:rsid w:val="00FA076E"/>
    <w:rsid w:val="00FA07AA"/>
    <w:rsid w:val="00FA0EE1"/>
    <w:rsid w:val="00FA14B5"/>
    <w:rsid w:val="00FA1532"/>
    <w:rsid w:val="00FA1FCA"/>
    <w:rsid w:val="00FA22FC"/>
    <w:rsid w:val="00FA2681"/>
    <w:rsid w:val="00FA275A"/>
    <w:rsid w:val="00FA27C1"/>
    <w:rsid w:val="00FA29E8"/>
    <w:rsid w:val="00FA2B66"/>
    <w:rsid w:val="00FA2F68"/>
    <w:rsid w:val="00FA335D"/>
    <w:rsid w:val="00FA3386"/>
    <w:rsid w:val="00FA347C"/>
    <w:rsid w:val="00FA3784"/>
    <w:rsid w:val="00FA3A32"/>
    <w:rsid w:val="00FA3D47"/>
    <w:rsid w:val="00FA4009"/>
    <w:rsid w:val="00FA4499"/>
    <w:rsid w:val="00FA46B7"/>
    <w:rsid w:val="00FA49C3"/>
    <w:rsid w:val="00FA509A"/>
    <w:rsid w:val="00FA5116"/>
    <w:rsid w:val="00FA5793"/>
    <w:rsid w:val="00FA594F"/>
    <w:rsid w:val="00FA5BA3"/>
    <w:rsid w:val="00FA5BE9"/>
    <w:rsid w:val="00FA5D3B"/>
    <w:rsid w:val="00FA6300"/>
    <w:rsid w:val="00FA6A2D"/>
    <w:rsid w:val="00FA6ACD"/>
    <w:rsid w:val="00FA7036"/>
    <w:rsid w:val="00FA7C0C"/>
    <w:rsid w:val="00FA7F7B"/>
    <w:rsid w:val="00FB002D"/>
    <w:rsid w:val="00FB025D"/>
    <w:rsid w:val="00FB02CA"/>
    <w:rsid w:val="00FB0966"/>
    <w:rsid w:val="00FB0BD1"/>
    <w:rsid w:val="00FB0EBA"/>
    <w:rsid w:val="00FB143E"/>
    <w:rsid w:val="00FB18A6"/>
    <w:rsid w:val="00FB1D15"/>
    <w:rsid w:val="00FB1EC1"/>
    <w:rsid w:val="00FB2100"/>
    <w:rsid w:val="00FB2F98"/>
    <w:rsid w:val="00FB345B"/>
    <w:rsid w:val="00FB3493"/>
    <w:rsid w:val="00FB35A0"/>
    <w:rsid w:val="00FB36A0"/>
    <w:rsid w:val="00FB3AA9"/>
    <w:rsid w:val="00FB41A8"/>
    <w:rsid w:val="00FB424D"/>
    <w:rsid w:val="00FB44D1"/>
    <w:rsid w:val="00FB4541"/>
    <w:rsid w:val="00FB48DF"/>
    <w:rsid w:val="00FB4D36"/>
    <w:rsid w:val="00FB4DC2"/>
    <w:rsid w:val="00FB4FAE"/>
    <w:rsid w:val="00FB53B2"/>
    <w:rsid w:val="00FB54DD"/>
    <w:rsid w:val="00FB5544"/>
    <w:rsid w:val="00FB5D6B"/>
    <w:rsid w:val="00FB6040"/>
    <w:rsid w:val="00FB6390"/>
    <w:rsid w:val="00FB6803"/>
    <w:rsid w:val="00FB71C6"/>
    <w:rsid w:val="00FB724A"/>
    <w:rsid w:val="00FB74E0"/>
    <w:rsid w:val="00FB7672"/>
    <w:rsid w:val="00FB786F"/>
    <w:rsid w:val="00FB790E"/>
    <w:rsid w:val="00FB7ECA"/>
    <w:rsid w:val="00FC0320"/>
    <w:rsid w:val="00FC03D2"/>
    <w:rsid w:val="00FC0632"/>
    <w:rsid w:val="00FC065D"/>
    <w:rsid w:val="00FC0752"/>
    <w:rsid w:val="00FC0916"/>
    <w:rsid w:val="00FC0A37"/>
    <w:rsid w:val="00FC0F68"/>
    <w:rsid w:val="00FC1624"/>
    <w:rsid w:val="00FC1790"/>
    <w:rsid w:val="00FC1B2A"/>
    <w:rsid w:val="00FC1BF8"/>
    <w:rsid w:val="00FC1F75"/>
    <w:rsid w:val="00FC254C"/>
    <w:rsid w:val="00FC27B3"/>
    <w:rsid w:val="00FC27F1"/>
    <w:rsid w:val="00FC2A10"/>
    <w:rsid w:val="00FC2B7B"/>
    <w:rsid w:val="00FC3360"/>
    <w:rsid w:val="00FC34A2"/>
    <w:rsid w:val="00FC34BD"/>
    <w:rsid w:val="00FC3694"/>
    <w:rsid w:val="00FC375D"/>
    <w:rsid w:val="00FC3C8C"/>
    <w:rsid w:val="00FC3D1B"/>
    <w:rsid w:val="00FC40FF"/>
    <w:rsid w:val="00FC428C"/>
    <w:rsid w:val="00FC455E"/>
    <w:rsid w:val="00FC459B"/>
    <w:rsid w:val="00FC4743"/>
    <w:rsid w:val="00FC4BA4"/>
    <w:rsid w:val="00FC4C85"/>
    <w:rsid w:val="00FC4DE1"/>
    <w:rsid w:val="00FC55FC"/>
    <w:rsid w:val="00FC5C0A"/>
    <w:rsid w:val="00FC5D47"/>
    <w:rsid w:val="00FC5FAC"/>
    <w:rsid w:val="00FC71D0"/>
    <w:rsid w:val="00FC71EC"/>
    <w:rsid w:val="00FD0239"/>
    <w:rsid w:val="00FD0303"/>
    <w:rsid w:val="00FD0831"/>
    <w:rsid w:val="00FD0AD1"/>
    <w:rsid w:val="00FD0CEE"/>
    <w:rsid w:val="00FD1259"/>
    <w:rsid w:val="00FD12E1"/>
    <w:rsid w:val="00FD1587"/>
    <w:rsid w:val="00FD1746"/>
    <w:rsid w:val="00FD1E41"/>
    <w:rsid w:val="00FD2224"/>
    <w:rsid w:val="00FD24C6"/>
    <w:rsid w:val="00FD287F"/>
    <w:rsid w:val="00FD2A0E"/>
    <w:rsid w:val="00FD2C48"/>
    <w:rsid w:val="00FD2E6E"/>
    <w:rsid w:val="00FD2E74"/>
    <w:rsid w:val="00FD3007"/>
    <w:rsid w:val="00FD30A9"/>
    <w:rsid w:val="00FD34BD"/>
    <w:rsid w:val="00FD36EA"/>
    <w:rsid w:val="00FD38AA"/>
    <w:rsid w:val="00FD3BA8"/>
    <w:rsid w:val="00FD40B4"/>
    <w:rsid w:val="00FD40D3"/>
    <w:rsid w:val="00FD4585"/>
    <w:rsid w:val="00FD48DE"/>
    <w:rsid w:val="00FD4980"/>
    <w:rsid w:val="00FD4E12"/>
    <w:rsid w:val="00FD519D"/>
    <w:rsid w:val="00FD663C"/>
    <w:rsid w:val="00FD66F9"/>
    <w:rsid w:val="00FD7117"/>
    <w:rsid w:val="00FD712E"/>
    <w:rsid w:val="00FD723C"/>
    <w:rsid w:val="00FD7D11"/>
    <w:rsid w:val="00FE019B"/>
    <w:rsid w:val="00FE06C8"/>
    <w:rsid w:val="00FE091E"/>
    <w:rsid w:val="00FE0D58"/>
    <w:rsid w:val="00FE0DE1"/>
    <w:rsid w:val="00FE14FB"/>
    <w:rsid w:val="00FE1BD9"/>
    <w:rsid w:val="00FE1D1A"/>
    <w:rsid w:val="00FE2303"/>
    <w:rsid w:val="00FE237C"/>
    <w:rsid w:val="00FE28D8"/>
    <w:rsid w:val="00FE2FDC"/>
    <w:rsid w:val="00FE30CF"/>
    <w:rsid w:val="00FE30ED"/>
    <w:rsid w:val="00FE35E4"/>
    <w:rsid w:val="00FE440B"/>
    <w:rsid w:val="00FE4B62"/>
    <w:rsid w:val="00FE4EC6"/>
    <w:rsid w:val="00FE518D"/>
    <w:rsid w:val="00FE57D0"/>
    <w:rsid w:val="00FE6065"/>
    <w:rsid w:val="00FE6420"/>
    <w:rsid w:val="00FE6482"/>
    <w:rsid w:val="00FE67FC"/>
    <w:rsid w:val="00FE73B6"/>
    <w:rsid w:val="00FE772F"/>
    <w:rsid w:val="00FE7773"/>
    <w:rsid w:val="00FE7883"/>
    <w:rsid w:val="00FE7C60"/>
    <w:rsid w:val="00FF036E"/>
    <w:rsid w:val="00FF049E"/>
    <w:rsid w:val="00FF1D95"/>
    <w:rsid w:val="00FF1DB8"/>
    <w:rsid w:val="00FF2561"/>
    <w:rsid w:val="00FF28C0"/>
    <w:rsid w:val="00FF295A"/>
    <w:rsid w:val="00FF2E26"/>
    <w:rsid w:val="00FF2F6A"/>
    <w:rsid w:val="00FF2F76"/>
    <w:rsid w:val="00FF35A5"/>
    <w:rsid w:val="00FF3C02"/>
    <w:rsid w:val="00FF41CA"/>
    <w:rsid w:val="00FF4A22"/>
    <w:rsid w:val="00FF4E9B"/>
    <w:rsid w:val="00FF52AB"/>
    <w:rsid w:val="00FF572C"/>
    <w:rsid w:val="00FF57DE"/>
    <w:rsid w:val="00FF6095"/>
    <w:rsid w:val="00FF64C9"/>
    <w:rsid w:val="00FF6C22"/>
    <w:rsid w:val="00FF6DE1"/>
    <w:rsid w:val="00FF7D5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7" type="connector" idref="#AutoShape 16"/>
        <o:r id="V:Rule8" type="connector" idref="#AutoShape 21"/>
        <o:r id="V:Rule9" type="connector" idref="#AutoShape 19"/>
        <o:r id="V:Rule10" type="connector" idref="#AutoShape 20"/>
        <o:r id="V:Rule11" type="connector" idref="#AutoShape 17"/>
        <o:r id="V:Rule12"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uiPriority="0"/>
    <w:lsdException w:name="footer" w:locked="1"/>
    <w:lsdException w:name="caption" w:locked="1" w:qFormat="1"/>
    <w:lsdException w:name="footnote reference" w:locked="1"/>
    <w:lsdException w:name="page number" w:uiPriority="0"/>
    <w:lsdException w:name="Title" w:locked="1" w:semiHidden="0" w:uiPriority="0" w:unhideWhenUsed="0" w:qFormat="1"/>
    <w:lsdException w:name="Default Paragraph Font" w:uiPriority="1"/>
    <w:lsdException w:name="Body Text" w:uiPriority="0"/>
    <w:lsdException w:name="Body Text Indent" w:locked="1" w:uiPriority="0"/>
    <w:lsdException w:name="Subtitle" w:locked="1" w:semiHidden="0" w:uiPriority="0" w:unhideWhenUsed="0" w:qFormat="1"/>
    <w:lsdException w:name="Date" w:uiPriority="0"/>
    <w:lsdException w:name="Body Text 2" w:uiPriority="0"/>
    <w:lsdException w:name="Body Text 3" w:uiPriority="0"/>
    <w:lsdException w:name="Body Text Indent 2" w:locked="1" w:uiPriority="0"/>
    <w:lsdException w:name="Body Text Indent 3" w:uiPriority="0"/>
    <w:lsdException w:name="Hyperlink" w:locked="1"/>
    <w:lsdException w:name="Strong" w:locked="1" w:semiHidden="0" w:uiPriority="0" w:unhideWhenUsed="0" w:qFormat="1"/>
    <w:lsdException w:name="Emphasis" w:locked="1" w:semiHidden="0" w:uiPriority="0" w:unhideWhenUsed="0" w:qFormat="1"/>
    <w:lsdException w:name="Normal (Web)" w:locked="1"/>
    <w:lsdException w:name="annotation subject" w:uiPriority="0"/>
    <w:lsdException w:name="No List" w:locked="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7306F"/>
    <w:pPr>
      <w:spacing w:before="120"/>
      <w:ind w:firstLine="567"/>
      <w:jc w:val="both"/>
    </w:pPr>
    <w:rPr>
      <w:sz w:val="28"/>
      <w:szCs w:val="28"/>
    </w:rPr>
  </w:style>
  <w:style w:type="paragraph" w:styleId="Heading1">
    <w:name w:val="heading 1"/>
    <w:basedOn w:val="Normal"/>
    <w:next w:val="Normal"/>
    <w:link w:val="Heading1Char"/>
    <w:qFormat/>
    <w:rsid w:val="00A31964"/>
    <w:pPr>
      <w:ind w:left="567" w:right="569" w:firstLine="0"/>
      <w:jc w:val="center"/>
      <w:outlineLvl w:val="0"/>
    </w:pPr>
    <w:rPr>
      <w:b/>
      <w:bCs/>
      <w:lang w:val="nl-NL"/>
    </w:rPr>
  </w:style>
  <w:style w:type="paragraph" w:styleId="Heading2">
    <w:name w:val="heading 2"/>
    <w:aliases w:val=" Char Char"/>
    <w:basedOn w:val="Normal"/>
    <w:next w:val="Normal"/>
    <w:link w:val="Heading2Char"/>
    <w:qFormat/>
    <w:rsid w:val="007F105D"/>
    <w:pPr>
      <w:ind w:left="851" w:right="852" w:firstLine="0"/>
      <w:jc w:val="center"/>
      <w:outlineLvl w:val="1"/>
    </w:pPr>
    <w:rPr>
      <w:b/>
      <w:bCs/>
      <w:lang w:val="nl-NL"/>
    </w:rPr>
  </w:style>
  <w:style w:type="paragraph" w:styleId="Heading3">
    <w:name w:val="heading 3"/>
    <w:basedOn w:val="Heading2"/>
    <w:next w:val="Normal"/>
    <w:link w:val="Heading3Char"/>
    <w:qFormat/>
    <w:rsid w:val="007F105D"/>
    <w:pPr>
      <w:outlineLvl w:val="2"/>
    </w:pPr>
  </w:style>
  <w:style w:type="paragraph" w:styleId="Heading4">
    <w:name w:val="heading 4"/>
    <w:basedOn w:val="Normal"/>
    <w:next w:val="Normal"/>
    <w:link w:val="Heading4Char"/>
    <w:qFormat/>
    <w:rsid w:val="00CB73FD"/>
    <w:pPr>
      <w:numPr>
        <w:numId w:val="2"/>
      </w:numPr>
      <w:outlineLvl w:val="3"/>
    </w:pPr>
    <w:rPr>
      <w:b/>
      <w:bCs/>
      <w:lang w:val="nl-NL"/>
    </w:rPr>
  </w:style>
  <w:style w:type="paragraph" w:styleId="Heading5">
    <w:name w:val="heading 5"/>
    <w:basedOn w:val="Normal"/>
    <w:next w:val="Normal"/>
    <w:link w:val="Heading5Char"/>
    <w:qFormat/>
    <w:rsid w:val="00593AFC"/>
    <w:pPr>
      <w:keepNext/>
      <w:numPr>
        <w:numId w:val="3"/>
      </w:numPr>
      <w:ind w:right="569"/>
      <w:jc w:val="center"/>
      <w:outlineLvl w:val="4"/>
    </w:pPr>
    <w:rPr>
      <w:b/>
      <w:bCs/>
      <w:lang w:val="nl-NL"/>
    </w:rPr>
  </w:style>
  <w:style w:type="paragraph" w:styleId="Heading6">
    <w:name w:val="heading 6"/>
    <w:basedOn w:val="Normal"/>
    <w:next w:val="Normal"/>
    <w:link w:val="Heading6Char"/>
    <w:qFormat/>
    <w:rsid w:val="000661B7"/>
    <w:pPr>
      <w:keepNext/>
      <w:spacing w:line="312" w:lineRule="auto"/>
      <w:jc w:val="center"/>
      <w:outlineLvl w:val="5"/>
    </w:pPr>
    <w:rPr>
      <w:rFonts w:ascii=".VnTimeH" w:hAnsi=".VnTimeH" w:cs=".VnTimeH"/>
      <w:sz w:val="26"/>
      <w:szCs w:val="26"/>
    </w:rPr>
  </w:style>
  <w:style w:type="paragraph" w:styleId="Heading7">
    <w:name w:val="heading 7"/>
    <w:basedOn w:val="Normal"/>
    <w:next w:val="Normal"/>
    <w:link w:val="Heading7Char"/>
    <w:qFormat/>
    <w:rsid w:val="000661B7"/>
    <w:pPr>
      <w:keepNext/>
      <w:outlineLvl w:val="6"/>
    </w:pPr>
    <w:rPr>
      <w:rFonts w:ascii=".VnTime" w:hAnsi=".VnTime" w:cs=".VnTime"/>
      <w:sz w:val="32"/>
      <w:szCs w:val="32"/>
    </w:rPr>
  </w:style>
  <w:style w:type="paragraph" w:styleId="Heading8">
    <w:name w:val="heading 8"/>
    <w:basedOn w:val="Normal"/>
    <w:next w:val="Normal"/>
    <w:link w:val="Heading8Char"/>
    <w:qFormat/>
    <w:rsid w:val="000661B7"/>
    <w:pPr>
      <w:keepNext/>
      <w:ind w:firstLine="576"/>
      <w:jc w:val="center"/>
      <w:outlineLvl w:val="7"/>
    </w:pPr>
    <w:rPr>
      <w:rFonts w:ascii=".VnTimeH" w:hAnsi=".VnTimeH" w:cs=".VnTimeH"/>
    </w:rPr>
  </w:style>
  <w:style w:type="paragraph" w:styleId="Heading9">
    <w:name w:val="heading 9"/>
    <w:basedOn w:val="Normal"/>
    <w:next w:val="Normal"/>
    <w:link w:val="Heading9Char"/>
    <w:qFormat/>
    <w:rsid w:val="000661B7"/>
    <w:pPr>
      <w:keepNext/>
      <w:jc w:val="center"/>
      <w:outlineLvl w:val="8"/>
    </w:pPr>
    <w:rPr>
      <w:rFonts w:ascii=".VnTimeH" w:hAnsi=".VnTimeH" w:cs=".VnTime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31964"/>
    <w:rPr>
      <w:b/>
      <w:bCs/>
      <w:sz w:val="28"/>
      <w:szCs w:val="28"/>
      <w:lang w:val="nl-NL"/>
    </w:rPr>
  </w:style>
  <w:style w:type="character" w:customStyle="1" w:styleId="Heading2Char">
    <w:name w:val="Heading 2 Char"/>
    <w:aliases w:val=" Char Char Char"/>
    <w:basedOn w:val="DefaultParagraphFont"/>
    <w:link w:val="Heading2"/>
    <w:rsid w:val="00EC30B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locked/>
    <w:rsid w:val="007F105D"/>
    <w:rPr>
      <w:b/>
      <w:bCs/>
      <w:sz w:val="28"/>
      <w:szCs w:val="28"/>
      <w:lang w:val="nl-NL"/>
    </w:rPr>
  </w:style>
  <w:style w:type="character" w:customStyle="1" w:styleId="Heading4Char">
    <w:name w:val="Heading 4 Char"/>
    <w:basedOn w:val="DefaultParagraphFont"/>
    <w:link w:val="Heading4"/>
    <w:rsid w:val="00CB73FD"/>
    <w:rPr>
      <w:b/>
      <w:bCs/>
      <w:sz w:val="28"/>
      <w:szCs w:val="28"/>
      <w:lang w:val="nl-NL"/>
    </w:rPr>
  </w:style>
  <w:style w:type="character" w:customStyle="1" w:styleId="Heading5Char">
    <w:name w:val="Heading 5 Char"/>
    <w:basedOn w:val="DefaultParagraphFont"/>
    <w:link w:val="Heading5"/>
    <w:locked/>
    <w:rsid w:val="00593AFC"/>
    <w:rPr>
      <w:b/>
      <w:bCs/>
      <w:sz w:val="28"/>
      <w:szCs w:val="28"/>
      <w:lang w:val="nl-NL"/>
    </w:rPr>
  </w:style>
  <w:style w:type="character" w:customStyle="1" w:styleId="Heading6Char">
    <w:name w:val="Heading 6 Char"/>
    <w:basedOn w:val="DefaultParagraphFont"/>
    <w:link w:val="Heading6"/>
    <w:rsid w:val="00EC30BC"/>
    <w:rPr>
      <w:rFonts w:asciiTheme="minorHAnsi" w:eastAsiaTheme="minorEastAsia" w:hAnsiTheme="minorHAnsi" w:cstheme="minorBidi"/>
      <w:b/>
      <w:bCs/>
    </w:rPr>
  </w:style>
  <w:style w:type="character" w:customStyle="1" w:styleId="Heading7Char">
    <w:name w:val="Heading 7 Char"/>
    <w:basedOn w:val="DefaultParagraphFont"/>
    <w:link w:val="Heading7"/>
    <w:locked/>
    <w:rsid w:val="00C81AF5"/>
    <w:rPr>
      <w:rFonts w:ascii=".VnTime" w:hAnsi=".VnTime" w:cs=".VnTime"/>
      <w:b/>
      <w:bCs/>
      <w:sz w:val="32"/>
      <w:szCs w:val="32"/>
    </w:rPr>
  </w:style>
  <w:style w:type="character" w:customStyle="1" w:styleId="Heading8Char">
    <w:name w:val="Heading 8 Char"/>
    <w:basedOn w:val="DefaultParagraphFont"/>
    <w:link w:val="Heading8"/>
    <w:rsid w:val="00EC30B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EC30BC"/>
    <w:rPr>
      <w:rFonts w:asciiTheme="majorHAnsi" w:eastAsiaTheme="majorEastAsia" w:hAnsiTheme="majorHAnsi" w:cstheme="majorBidi"/>
    </w:rPr>
  </w:style>
  <w:style w:type="paragraph" w:styleId="BodyTextIndent3">
    <w:name w:val="Body Text Indent 3"/>
    <w:basedOn w:val="Normal"/>
    <w:link w:val="BodyTextIndent3Char"/>
    <w:rsid w:val="000661B7"/>
    <w:pPr>
      <w:spacing w:after="120"/>
      <w:ind w:firstLine="562"/>
    </w:pPr>
    <w:rPr>
      <w:rFonts w:ascii=".VnTime" w:hAnsi=".VnTime" w:cs=".VnTime"/>
      <w:color w:val="000000"/>
    </w:rPr>
  </w:style>
  <w:style w:type="character" w:customStyle="1" w:styleId="BodyTextIndent3Char">
    <w:name w:val="Body Text Indent 3 Char"/>
    <w:basedOn w:val="DefaultParagraphFont"/>
    <w:link w:val="BodyTextIndent3"/>
    <w:locked/>
    <w:rsid w:val="0011349F"/>
    <w:rPr>
      <w:rFonts w:ascii=".VnTime" w:hAnsi=".VnTime" w:cs=".VnTime"/>
      <w:color w:val="000000"/>
      <w:sz w:val="28"/>
      <w:szCs w:val="28"/>
    </w:rPr>
  </w:style>
  <w:style w:type="paragraph" w:styleId="BodyTextIndent2">
    <w:name w:val="Body Text Indent 2"/>
    <w:basedOn w:val="Normal"/>
    <w:link w:val="BodyTextIndent2Char"/>
    <w:rsid w:val="000661B7"/>
    <w:pPr>
      <w:spacing w:after="120"/>
      <w:ind w:firstLine="720"/>
    </w:pPr>
    <w:rPr>
      <w:rFonts w:ascii=".VnTime" w:hAnsi=".VnTime" w:cs=".VnTime"/>
    </w:rPr>
  </w:style>
  <w:style w:type="character" w:customStyle="1" w:styleId="BodyTextIndent2Char">
    <w:name w:val="Body Text Indent 2 Char"/>
    <w:basedOn w:val="DefaultParagraphFont"/>
    <w:link w:val="BodyTextIndent2"/>
    <w:locked/>
    <w:rsid w:val="00505EE7"/>
    <w:rPr>
      <w:rFonts w:ascii=".VnTime" w:hAnsi=".VnTime" w:cs=".VnTime"/>
      <w:sz w:val="28"/>
      <w:szCs w:val="28"/>
    </w:rPr>
  </w:style>
  <w:style w:type="paragraph" w:styleId="BodyText3">
    <w:name w:val="Body Text 3"/>
    <w:basedOn w:val="Normal"/>
    <w:link w:val="BodyText3Char"/>
    <w:rsid w:val="000661B7"/>
    <w:rPr>
      <w:rFonts w:ascii=".VnTime" w:hAnsi=".VnTime" w:cs=".VnTime"/>
    </w:rPr>
  </w:style>
  <w:style w:type="character" w:customStyle="1" w:styleId="BodyText3Char">
    <w:name w:val="Body Text 3 Char"/>
    <w:basedOn w:val="DefaultParagraphFont"/>
    <w:link w:val="BodyText3"/>
    <w:rsid w:val="00EC30BC"/>
    <w:rPr>
      <w:sz w:val="16"/>
      <w:szCs w:val="16"/>
    </w:rPr>
  </w:style>
  <w:style w:type="paragraph" w:styleId="Footer">
    <w:name w:val="footer"/>
    <w:basedOn w:val="Normal"/>
    <w:link w:val="FooterChar"/>
    <w:uiPriority w:val="99"/>
    <w:rsid w:val="000661B7"/>
    <w:pPr>
      <w:tabs>
        <w:tab w:val="center" w:pos="4320"/>
        <w:tab w:val="right" w:pos="8640"/>
      </w:tabs>
    </w:pPr>
  </w:style>
  <w:style w:type="character" w:customStyle="1" w:styleId="FooterChar">
    <w:name w:val="Footer Char"/>
    <w:basedOn w:val="DefaultParagraphFont"/>
    <w:link w:val="Footer"/>
    <w:uiPriority w:val="99"/>
    <w:locked/>
    <w:rsid w:val="00F423BD"/>
    <w:rPr>
      <w:b/>
      <w:bCs/>
      <w:sz w:val="24"/>
      <w:szCs w:val="24"/>
    </w:rPr>
  </w:style>
  <w:style w:type="character" w:styleId="PageNumber">
    <w:name w:val="page number"/>
    <w:basedOn w:val="DefaultParagraphFont"/>
    <w:rsid w:val="000661B7"/>
  </w:style>
  <w:style w:type="paragraph" w:styleId="BodyText2">
    <w:name w:val="Body Text 2"/>
    <w:basedOn w:val="Normal"/>
    <w:link w:val="BodyText2Char"/>
    <w:rsid w:val="000661B7"/>
    <w:pPr>
      <w:spacing w:after="120" w:line="480" w:lineRule="auto"/>
    </w:pPr>
    <w:rPr>
      <w:rFonts w:ascii=".VnTime" w:hAnsi=".VnTime" w:cs=".VnTime"/>
      <w:color w:val="000000"/>
    </w:rPr>
  </w:style>
  <w:style w:type="character" w:customStyle="1" w:styleId="BodyText2Char">
    <w:name w:val="Body Text 2 Char"/>
    <w:basedOn w:val="DefaultParagraphFont"/>
    <w:link w:val="BodyText2"/>
    <w:rsid w:val="00EC30BC"/>
    <w:rPr>
      <w:sz w:val="28"/>
      <w:szCs w:val="28"/>
    </w:rPr>
  </w:style>
  <w:style w:type="paragraph" w:styleId="Header">
    <w:name w:val="header"/>
    <w:basedOn w:val="Normal"/>
    <w:link w:val="HeaderChar"/>
    <w:rsid w:val="000661B7"/>
    <w:pPr>
      <w:tabs>
        <w:tab w:val="center" w:pos="4320"/>
        <w:tab w:val="right" w:pos="8640"/>
      </w:tabs>
    </w:pPr>
  </w:style>
  <w:style w:type="character" w:customStyle="1" w:styleId="HeaderChar">
    <w:name w:val="Header Char"/>
    <w:basedOn w:val="DefaultParagraphFont"/>
    <w:link w:val="Header"/>
    <w:rsid w:val="00EC30BC"/>
    <w:rPr>
      <w:sz w:val="28"/>
      <w:szCs w:val="28"/>
    </w:rPr>
  </w:style>
  <w:style w:type="character" w:styleId="FollowedHyperlink">
    <w:name w:val="FollowedHyperlink"/>
    <w:basedOn w:val="DefaultParagraphFont"/>
    <w:uiPriority w:val="99"/>
    <w:rsid w:val="000661B7"/>
    <w:rPr>
      <w:color w:val="800080"/>
      <w:u w:val="single"/>
    </w:rPr>
  </w:style>
  <w:style w:type="paragraph" w:customStyle="1" w:styleId="b-dieu">
    <w:name w:val="b-dieu"/>
    <w:basedOn w:val="BodyText"/>
    <w:uiPriority w:val="99"/>
    <w:rsid w:val="000661B7"/>
    <w:pPr>
      <w:ind w:left="1797" w:hanging="1077"/>
    </w:pPr>
    <w:rPr>
      <w:b/>
      <w:bCs/>
      <w:color w:val="000000"/>
      <w:lang w:val="nl-NL"/>
    </w:rPr>
  </w:style>
  <w:style w:type="paragraph" w:styleId="BodyText">
    <w:name w:val="Body Text"/>
    <w:basedOn w:val="Normal"/>
    <w:link w:val="BodyTextChar"/>
    <w:rsid w:val="000661B7"/>
    <w:pPr>
      <w:spacing w:after="120"/>
    </w:pPr>
  </w:style>
  <w:style w:type="character" w:customStyle="1" w:styleId="BodyTextChar">
    <w:name w:val="Body Text Char"/>
    <w:basedOn w:val="DefaultParagraphFont"/>
    <w:link w:val="BodyText"/>
    <w:locked/>
    <w:rsid w:val="00463F45"/>
    <w:rPr>
      <w:sz w:val="24"/>
      <w:szCs w:val="24"/>
    </w:rPr>
  </w:style>
  <w:style w:type="paragraph" w:styleId="NormalWeb">
    <w:name w:val="Normal (Web)"/>
    <w:basedOn w:val="Normal"/>
    <w:uiPriority w:val="99"/>
    <w:rsid w:val="000661B7"/>
    <w:pPr>
      <w:spacing w:before="100" w:beforeAutospacing="1" w:after="100" w:afterAutospacing="1"/>
    </w:pPr>
  </w:style>
  <w:style w:type="paragraph" w:styleId="BodyTextIndent">
    <w:name w:val="Body Text Indent"/>
    <w:basedOn w:val="Normal"/>
    <w:link w:val="BodyTextIndentChar"/>
    <w:rsid w:val="000661B7"/>
    <w:pPr>
      <w:ind w:firstLine="576"/>
      <w:jc w:val="center"/>
    </w:pPr>
    <w:rPr>
      <w:rFonts w:ascii=".VnTimeH" w:hAnsi=".VnTimeH" w:cs=".VnTimeH"/>
    </w:rPr>
  </w:style>
  <w:style w:type="character" w:customStyle="1" w:styleId="BodyTextIndentChar">
    <w:name w:val="Body Text Indent Char"/>
    <w:basedOn w:val="DefaultParagraphFont"/>
    <w:link w:val="BodyTextIndent"/>
    <w:locked/>
    <w:rsid w:val="00687FEA"/>
    <w:rPr>
      <w:rFonts w:ascii=".VnTimeH" w:hAnsi=".VnTimeH" w:cs=".VnTimeH"/>
      <w:sz w:val="28"/>
      <w:szCs w:val="28"/>
    </w:rPr>
  </w:style>
  <w:style w:type="character" w:styleId="CommentReference">
    <w:name w:val="annotation reference"/>
    <w:basedOn w:val="DefaultParagraphFont"/>
    <w:uiPriority w:val="99"/>
    <w:rsid w:val="000661B7"/>
    <w:rPr>
      <w:sz w:val="16"/>
      <w:szCs w:val="16"/>
    </w:rPr>
  </w:style>
  <w:style w:type="paragraph" w:styleId="CommentText">
    <w:name w:val="annotation text"/>
    <w:basedOn w:val="Normal"/>
    <w:link w:val="CommentTextChar"/>
    <w:uiPriority w:val="99"/>
    <w:rsid w:val="000661B7"/>
    <w:rPr>
      <w:sz w:val="20"/>
      <w:szCs w:val="20"/>
    </w:rPr>
  </w:style>
  <w:style w:type="character" w:customStyle="1" w:styleId="CommentTextChar">
    <w:name w:val="Comment Text Char"/>
    <w:basedOn w:val="DefaultParagraphFont"/>
    <w:link w:val="CommentText"/>
    <w:uiPriority w:val="99"/>
    <w:rsid w:val="00EC30BC"/>
    <w:rPr>
      <w:sz w:val="20"/>
      <w:szCs w:val="20"/>
    </w:rPr>
  </w:style>
  <w:style w:type="paragraph" w:styleId="BalloonText">
    <w:name w:val="Balloon Text"/>
    <w:basedOn w:val="Normal"/>
    <w:link w:val="BalloonTextChar"/>
    <w:semiHidden/>
    <w:rsid w:val="000661B7"/>
    <w:rPr>
      <w:rFonts w:ascii="Tahoma" w:hAnsi="Tahoma" w:cs="Tahoma"/>
      <w:sz w:val="16"/>
      <w:szCs w:val="16"/>
    </w:rPr>
  </w:style>
  <w:style w:type="character" w:customStyle="1" w:styleId="BalloonTextChar">
    <w:name w:val="Balloon Text Char"/>
    <w:basedOn w:val="DefaultParagraphFont"/>
    <w:link w:val="BalloonText"/>
    <w:uiPriority w:val="99"/>
    <w:semiHidden/>
    <w:rsid w:val="00EC30BC"/>
    <w:rPr>
      <w:sz w:val="0"/>
      <w:szCs w:val="0"/>
    </w:rPr>
  </w:style>
  <w:style w:type="paragraph" w:styleId="CommentSubject">
    <w:name w:val="annotation subject"/>
    <w:basedOn w:val="CommentText"/>
    <w:next w:val="CommentText"/>
    <w:link w:val="CommentSubjectChar"/>
    <w:rsid w:val="000661B7"/>
  </w:style>
  <w:style w:type="character" w:customStyle="1" w:styleId="CommentSubjectChar">
    <w:name w:val="Comment Subject Char"/>
    <w:basedOn w:val="CommentTextChar"/>
    <w:link w:val="CommentSubject"/>
    <w:rsid w:val="00EC30BC"/>
    <w:rPr>
      <w:b/>
      <w:bCs/>
      <w:sz w:val="20"/>
      <w:szCs w:val="20"/>
    </w:rPr>
  </w:style>
  <w:style w:type="paragraph" w:customStyle="1" w:styleId="Body1">
    <w:name w:val="Body 1"/>
    <w:basedOn w:val="Heading1"/>
    <w:rsid w:val="000661B7"/>
    <w:pPr>
      <w:spacing w:after="240" w:line="280" w:lineRule="atLeast"/>
      <w:ind w:left="720"/>
      <w:outlineLvl w:val="9"/>
    </w:pPr>
    <w:rPr>
      <w:kern w:val="28"/>
      <w:sz w:val="24"/>
      <w:szCs w:val="24"/>
      <w:lang w:val="en-GB"/>
    </w:rPr>
  </w:style>
  <w:style w:type="paragraph" w:customStyle="1" w:styleId="Style4">
    <w:name w:val="Style4"/>
    <w:basedOn w:val="Normal"/>
    <w:uiPriority w:val="99"/>
    <w:rsid w:val="000661B7"/>
    <w:pPr>
      <w:ind w:left="567" w:hanging="567"/>
    </w:pPr>
    <w:rPr>
      <w:sz w:val="22"/>
      <w:szCs w:val="22"/>
    </w:rPr>
  </w:style>
  <w:style w:type="paragraph" w:customStyle="1" w:styleId="Style1">
    <w:name w:val="Style1"/>
    <w:basedOn w:val="Normal"/>
    <w:uiPriority w:val="99"/>
    <w:rsid w:val="000661B7"/>
    <w:pPr>
      <w:jc w:val="center"/>
    </w:pPr>
    <w:rPr>
      <w:rFonts w:ascii="VNI-Aptima" w:hAnsi="VNI-Aptima" w:cs="VNI-Aptima"/>
      <w:color w:val="0000FF"/>
      <w:sz w:val="22"/>
      <w:szCs w:val="22"/>
      <w:u w:val="words"/>
    </w:rPr>
  </w:style>
  <w:style w:type="paragraph" w:styleId="TOC1">
    <w:name w:val="toc 1"/>
    <w:basedOn w:val="Normal"/>
    <w:next w:val="Normal"/>
    <w:autoRedefine/>
    <w:uiPriority w:val="39"/>
    <w:rsid w:val="00052405"/>
    <w:pPr>
      <w:spacing w:after="120"/>
      <w:jc w:val="left"/>
    </w:pPr>
    <w:rPr>
      <w:rFonts w:ascii="Calibri" w:hAnsi="Calibri" w:cs="Calibri"/>
      <w:b/>
      <w:bCs/>
      <w:sz w:val="20"/>
      <w:szCs w:val="20"/>
    </w:rPr>
  </w:style>
  <w:style w:type="paragraph" w:styleId="PlainText">
    <w:name w:val="Plain Text"/>
    <w:basedOn w:val="Normal"/>
    <w:link w:val="PlainTextChar"/>
    <w:uiPriority w:val="99"/>
    <w:rsid w:val="000661B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C30BC"/>
    <w:rPr>
      <w:rFonts w:ascii="Courier New" w:hAnsi="Courier New" w:cs="Courier New"/>
      <w:sz w:val="20"/>
      <w:szCs w:val="20"/>
    </w:rPr>
  </w:style>
  <w:style w:type="character" w:customStyle="1" w:styleId="PlainTextCharChar">
    <w:name w:val="Plain Text Char Char"/>
    <w:basedOn w:val="DefaultParagraphFont"/>
    <w:uiPriority w:val="99"/>
    <w:rsid w:val="000661B7"/>
    <w:rPr>
      <w:rFonts w:ascii="Courier New" w:hAnsi="Courier New" w:cs="Courier New"/>
      <w:lang w:val="en-US" w:eastAsia="en-US"/>
    </w:rPr>
  </w:style>
  <w:style w:type="paragraph" w:customStyle="1" w:styleId="Style2">
    <w:name w:val="Style2"/>
    <w:uiPriority w:val="99"/>
    <w:rsid w:val="000661B7"/>
    <w:pPr>
      <w:ind w:left="14" w:firstLine="14"/>
      <w:jc w:val="both"/>
    </w:pPr>
    <w:rPr>
      <w:rFonts w:ascii="VNI-Times" w:hAnsi="VNI-Times" w:cs="VNI-Times"/>
      <w:sz w:val="24"/>
      <w:szCs w:val="24"/>
    </w:rPr>
  </w:style>
  <w:style w:type="paragraph" w:styleId="FootnoteText">
    <w:name w:val="footnote text"/>
    <w:basedOn w:val="Normal"/>
    <w:link w:val="FootnoteTextChar"/>
    <w:semiHidden/>
    <w:rsid w:val="000661B7"/>
    <w:rPr>
      <w:rFonts w:ascii="VNI-Times" w:hAnsi="VNI-Times" w:cs="VNI-Times"/>
      <w:sz w:val="20"/>
      <w:szCs w:val="20"/>
    </w:rPr>
  </w:style>
  <w:style w:type="character" w:customStyle="1" w:styleId="FootnoteTextChar">
    <w:name w:val="Footnote Text Char"/>
    <w:basedOn w:val="DefaultParagraphFont"/>
    <w:link w:val="FootnoteText"/>
    <w:semiHidden/>
    <w:locked/>
    <w:rsid w:val="00620AD8"/>
    <w:rPr>
      <w:rFonts w:ascii="VNI-Times" w:hAnsi="VNI-Times" w:cs="VNI-Times"/>
      <w:b/>
      <w:bCs/>
    </w:rPr>
  </w:style>
  <w:style w:type="character" w:styleId="Hyperlink">
    <w:name w:val="Hyperlink"/>
    <w:basedOn w:val="DefaultParagraphFont"/>
    <w:uiPriority w:val="99"/>
    <w:rsid w:val="000661B7"/>
    <w:rPr>
      <w:rFonts w:ascii="Book Antiqua" w:hAnsi="Book Antiqua" w:cs="Book Antiqua"/>
      <w:color w:val="000000"/>
      <w:sz w:val="24"/>
      <w:szCs w:val="24"/>
      <w:u w:val="none"/>
      <w:effect w:val="none"/>
    </w:rPr>
  </w:style>
  <w:style w:type="character" w:styleId="FootnoteReference">
    <w:name w:val="footnote reference"/>
    <w:basedOn w:val="DefaultParagraphFont"/>
    <w:uiPriority w:val="99"/>
    <w:semiHidden/>
    <w:rsid w:val="000661B7"/>
    <w:rPr>
      <w:vertAlign w:val="superscript"/>
    </w:rPr>
  </w:style>
  <w:style w:type="character" w:customStyle="1" w:styleId="Char">
    <w:name w:val="Char"/>
    <w:basedOn w:val="DefaultParagraphFont"/>
    <w:uiPriority w:val="99"/>
    <w:rsid w:val="000661B7"/>
    <w:rPr>
      <w:sz w:val="24"/>
      <w:szCs w:val="24"/>
      <w:lang w:val="en-US" w:eastAsia="en-US"/>
    </w:rPr>
  </w:style>
  <w:style w:type="paragraph" w:styleId="TOC3">
    <w:name w:val="toc 3"/>
    <w:basedOn w:val="Normal"/>
    <w:next w:val="Normal"/>
    <w:autoRedefine/>
    <w:uiPriority w:val="39"/>
    <w:rsid w:val="00052405"/>
    <w:pPr>
      <w:spacing w:before="0"/>
      <w:ind w:left="560"/>
      <w:jc w:val="left"/>
    </w:pPr>
    <w:rPr>
      <w:rFonts w:ascii="Calibri" w:hAnsi="Calibri" w:cs="Calibri"/>
      <w:i/>
      <w:iCs/>
      <w:sz w:val="20"/>
      <w:szCs w:val="20"/>
    </w:rPr>
  </w:style>
  <w:style w:type="paragraph" w:customStyle="1" w:styleId="Default">
    <w:name w:val="Default"/>
    <w:rsid w:val="000661B7"/>
    <w:pPr>
      <w:autoSpaceDE w:val="0"/>
      <w:autoSpaceDN w:val="0"/>
      <w:adjustRightInd w:val="0"/>
    </w:pPr>
    <w:rPr>
      <w:color w:val="000000"/>
      <w:sz w:val="24"/>
      <w:szCs w:val="24"/>
    </w:rPr>
  </w:style>
  <w:style w:type="character" w:customStyle="1" w:styleId="articletext">
    <w:name w:val="articletext"/>
    <w:basedOn w:val="DefaultParagraphFont"/>
    <w:uiPriority w:val="99"/>
    <w:rsid w:val="000661B7"/>
  </w:style>
  <w:style w:type="paragraph" w:styleId="DocumentMap">
    <w:name w:val="Document Map"/>
    <w:basedOn w:val="Normal"/>
    <w:link w:val="DocumentMapChar"/>
    <w:uiPriority w:val="99"/>
    <w:semiHidden/>
    <w:rsid w:val="000661B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C30BC"/>
    <w:rPr>
      <w:sz w:val="0"/>
      <w:szCs w:val="0"/>
    </w:rPr>
  </w:style>
  <w:style w:type="table" w:styleId="TableGrid">
    <w:name w:val="Table Grid"/>
    <w:basedOn w:val="TableNormal"/>
    <w:rsid w:val="00497F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373"/>
    <w:pPr>
      <w:numPr>
        <w:numId w:val="5"/>
      </w:numPr>
    </w:pPr>
    <w:rPr>
      <w:lang w:val="nl-NL"/>
    </w:rPr>
  </w:style>
  <w:style w:type="paragraph" w:customStyle="1" w:styleId="dieu">
    <w:name w:val="dieu"/>
    <w:basedOn w:val="Normal"/>
    <w:link w:val="dieuChar"/>
    <w:rsid w:val="00663A14"/>
    <w:pPr>
      <w:spacing w:after="120"/>
      <w:ind w:firstLine="720"/>
    </w:pPr>
    <w:rPr>
      <w:color w:val="0000FF"/>
      <w:sz w:val="26"/>
      <w:szCs w:val="26"/>
    </w:rPr>
  </w:style>
  <w:style w:type="character" w:customStyle="1" w:styleId="dieuChar">
    <w:name w:val="dieu Char"/>
    <w:basedOn w:val="DefaultParagraphFont"/>
    <w:link w:val="dieu"/>
    <w:locked/>
    <w:rsid w:val="00663A14"/>
    <w:rPr>
      <w:b/>
      <w:bCs/>
      <w:color w:val="0000FF"/>
      <w:sz w:val="26"/>
      <w:szCs w:val="26"/>
    </w:rPr>
  </w:style>
  <w:style w:type="character" w:customStyle="1" w:styleId="BodyTextChar1">
    <w:name w:val="Body Text Char1"/>
    <w:aliases w:val="Body Text Char Char"/>
    <w:basedOn w:val="DefaultParagraphFont"/>
    <w:uiPriority w:val="99"/>
    <w:rsid w:val="00A77CF5"/>
    <w:rPr>
      <w:rFonts w:ascii=".VnTimeH" w:hAnsi=".VnTimeH" w:cs=".VnTimeH"/>
      <w:sz w:val="26"/>
      <w:szCs w:val="26"/>
      <w:lang w:val="en-US" w:eastAsia="en-US"/>
    </w:rPr>
  </w:style>
  <w:style w:type="character" w:customStyle="1" w:styleId="blue18">
    <w:name w:val="blue_18"/>
    <w:basedOn w:val="DefaultParagraphFont"/>
    <w:uiPriority w:val="99"/>
    <w:rsid w:val="00F423BD"/>
  </w:style>
  <w:style w:type="character" w:styleId="PlaceholderText">
    <w:name w:val="Placeholder Text"/>
    <w:basedOn w:val="DefaultParagraphFont"/>
    <w:uiPriority w:val="99"/>
    <w:semiHidden/>
    <w:rsid w:val="00C3292F"/>
    <w:rPr>
      <w:color w:val="808080"/>
    </w:rPr>
  </w:style>
  <w:style w:type="paragraph" w:styleId="Caption">
    <w:name w:val="caption"/>
    <w:basedOn w:val="Normal"/>
    <w:next w:val="Normal"/>
    <w:uiPriority w:val="99"/>
    <w:qFormat/>
    <w:rsid w:val="00BB35EA"/>
    <w:pPr>
      <w:jc w:val="center"/>
    </w:pPr>
    <w:rPr>
      <w:lang w:eastAsia="vi-VN"/>
    </w:rPr>
  </w:style>
  <w:style w:type="character" w:customStyle="1" w:styleId="apple-converted-space">
    <w:name w:val="apple-converted-space"/>
    <w:basedOn w:val="DefaultParagraphFont"/>
    <w:rsid w:val="00694BF4"/>
  </w:style>
  <w:style w:type="paragraph" w:styleId="TOCHeading">
    <w:name w:val="TOC Heading"/>
    <w:basedOn w:val="Heading1"/>
    <w:next w:val="Normal"/>
    <w:uiPriority w:val="99"/>
    <w:qFormat/>
    <w:rsid w:val="00420022"/>
    <w:pPr>
      <w:keepNext/>
      <w:keepLines/>
      <w:spacing w:before="480" w:line="276" w:lineRule="auto"/>
      <w:jc w:val="left"/>
      <w:outlineLvl w:val="9"/>
    </w:pPr>
    <w:rPr>
      <w:rFonts w:ascii="Cambria" w:hAnsi="Cambria" w:cs="Cambria"/>
      <w:color w:val="365F91"/>
    </w:rPr>
  </w:style>
  <w:style w:type="paragraph" w:styleId="TOC2">
    <w:name w:val="toc 2"/>
    <w:basedOn w:val="Normal"/>
    <w:next w:val="Normal"/>
    <w:autoRedefine/>
    <w:uiPriority w:val="39"/>
    <w:rsid w:val="00052405"/>
    <w:pPr>
      <w:spacing w:before="0"/>
      <w:ind w:left="280"/>
      <w:jc w:val="left"/>
    </w:pPr>
    <w:rPr>
      <w:rFonts w:ascii="Calibri" w:hAnsi="Calibri" w:cs="Calibri"/>
      <w:sz w:val="20"/>
      <w:szCs w:val="20"/>
    </w:rPr>
  </w:style>
  <w:style w:type="paragraph" w:styleId="TOC4">
    <w:name w:val="toc 4"/>
    <w:basedOn w:val="Normal"/>
    <w:next w:val="Normal"/>
    <w:autoRedefine/>
    <w:uiPriority w:val="39"/>
    <w:rsid w:val="00420022"/>
    <w:pPr>
      <w:spacing w:before="0"/>
      <w:ind w:left="840"/>
      <w:jc w:val="left"/>
    </w:pPr>
    <w:rPr>
      <w:rFonts w:ascii="Calibri" w:hAnsi="Calibri" w:cs="Calibri"/>
      <w:sz w:val="18"/>
      <w:szCs w:val="18"/>
    </w:rPr>
  </w:style>
  <w:style w:type="paragraph" w:styleId="TOC5">
    <w:name w:val="toc 5"/>
    <w:basedOn w:val="Normal"/>
    <w:next w:val="Normal"/>
    <w:autoRedefine/>
    <w:uiPriority w:val="39"/>
    <w:rsid w:val="00420022"/>
    <w:pPr>
      <w:spacing w:before="0"/>
      <w:ind w:left="1120"/>
      <w:jc w:val="left"/>
    </w:pPr>
    <w:rPr>
      <w:rFonts w:ascii="Calibri" w:hAnsi="Calibri" w:cs="Calibri"/>
      <w:sz w:val="18"/>
      <w:szCs w:val="18"/>
    </w:rPr>
  </w:style>
  <w:style w:type="paragraph" w:styleId="TOC6">
    <w:name w:val="toc 6"/>
    <w:basedOn w:val="Normal"/>
    <w:next w:val="Normal"/>
    <w:autoRedefine/>
    <w:uiPriority w:val="39"/>
    <w:rsid w:val="00420022"/>
    <w:pPr>
      <w:spacing w:before="0"/>
      <w:ind w:left="1400"/>
      <w:jc w:val="left"/>
    </w:pPr>
    <w:rPr>
      <w:rFonts w:ascii="Calibri" w:hAnsi="Calibri" w:cs="Calibri"/>
      <w:sz w:val="18"/>
      <w:szCs w:val="18"/>
    </w:rPr>
  </w:style>
  <w:style w:type="paragraph" w:styleId="TOC7">
    <w:name w:val="toc 7"/>
    <w:basedOn w:val="Normal"/>
    <w:next w:val="Normal"/>
    <w:autoRedefine/>
    <w:uiPriority w:val="39"/>
    <w:rsid w:val="00420022"/>
    <w:pPr>
      <w:spacing w:before="0"/>
      <w:ind w:left="1680"/>
      <w:jc w:val="left"/>
    </w:pPr>
    <w:rPr>
      <w:rFonts w:ascii="Calibri" w:hAnsi="Calibri" w:cs="Calibri"/>
      <w:sz w:val="18"/>
      <w:szCs w:val="18"/>
    </w:rPr>
  </w:style>
  <w:style w:type="paragraph" w:styleId="TOC8">
    <w:name w:val="toc 8"/>
    <w:basedOn w:val="Normal"/>
    <w:next w:val="Normal"/>
    <w:autoRedefine/>
    <w:uiPriority w:val="39"/>
    <w:rsid w:val="00420022"/>
    <w:pPr>
      <w:spacing w:before="0"/>
      <w:ind w:left="1960"/>
      <w:jc w:val="left"/>
    </w:pPr>
    <w:rPr>
      <w:rFonts w:ascii="Calibri" w:hAnsi="Calibri" w:cs="Calibri"/>
      <w:sz w:val="18"/>
      <w:szCs w:val="18"/>
    </w:rPr>
  </w:style>
  <w:style w:type="paragraph" w:styleId="TOC9">
    <w:name w:val="toc 9"/>
    <w:basedOn w:val="Normal"/>
    <w:next w:val="Normal"/>
    <w:autoRedefine/>
    <w:uiPriority w:val="39"/>
    <w:rsid w:val="00420022"/>
    <w:pPr>
      <w:spacing w:before="0"/>
      <w:ind w:left="2240"/>
      <w:jc w:val="left"/>
    </w:pPr>
    <w:rPr>
      <w:rFonts w:ascii="Calibri" w:hAnsi="Calibri" w:cs="Calibri"/>
      <w:sz w:val="18"/>
      <w:szCs w:val="18"/>
    </w:rPr>
  </w:style>
  <w:style w:type="paragraph" w:styleId="Quote">
    <w:name w:val="Quote"/>
    <w:basedOn w:val="Normal"/>
    <w:next w:val="Normal"/>
    <w:link w:val="QuoteChar"/>
    <w:uiPriority w:val="29"/>
    <w:qFormat/>
    <w:rsid w:val="007F105D"/>
    <w:rPr>
      <w:i/>
      <w:iCs/>
      <w:color w:val="000000"/>
    </w:rPr>
  </w:style>
  <w:style w:type="character" w:customStyle="1" w:styleId="QuoteChar">
    <w:name w:val="Quote Char"/>
    <w:basedOn w:val="DefaultParagraphFont"/>
    <w:link w:val="Quote"/>
    <w:uiPriority w:val="29"/>
    <w:locked/>
    <w:rsid w:val="007F105D"/>
    <w:rPr>
      <w:i/>
      <w:iCs/>
      <w:color w:val="000000"/>
      <w:sz w:val="28"/>
      <w:szCs w:val="28"/>
    </w:rPr>
  </w:style>
  <w:style w:type="paragraph" w:styleId="Revision">
    <w:name w:val="Revision"/>
    <w:hidden/>
    <w:uiPriority w:val="99"/>
    <w:semiHidden/>
    <w:rsid w:val="00840775"/>
    <w:rPr>
      <w:sz w:val="28"/>
      <w:szCs w:val="28"/>
    </w:rPr>
  </w:style>
  <w:style w:type="numbering" w:customStyle="1" w:styleId="TTStyle">
    <w:name w:val="TTStyle"/>
    <w:rsid w:val="00EC30BC"/>
    <w:pPr>
      <w:numPr>
        <w:numId w:val="1"/>
      </w:numPr>
    </w:pPr>
  </w:style>
  <w:style w:type="numbering" w:customStyle="1" w:styleId="Khoan">
    <w:name w:val="Khoan"/>
    <w:uiPriority w:val="99"/>
    <w:rsid w:val="00594373"/>
    <w:pPr>
      <w:numPr>
        <w:numId w:val="4"/>
      </w:numPr>
    </w:pPr>
  </w:style>
  <w:style w:type="character" w:styleId="SubtleEmphasis">
    <w:name w:val="Subtle Emphasis"/>
    <w:basedOn w:val="DefaultParagraphFont"/>
    <w:uiPriority w:val="19"/>
    <w:qFormat/>
    <w:rsid w:val="000946CE"/>
    <w:rPr>
      <w:i/>
      <w:iCs/>
      <w:color w:val="808080" w:themeColor="text1" w:themeTint="7F"/>
    </w:rPr>
  </w:style>
  <w:style w:type="paragraph" w:customStyle="1" w:styleId="DefaultParagraphFontParaCharCharCharCharChar">
    <w:name w:val="Default Paragraph Font Para Char Char Char Char Char"/>
    <w:autoRedefine/>
    <w:rsid w:val="00B10330"/>
    <w:pPr>
      <w:tabs>
        <w:tab w:val="left" w:pos="1152"/>
      </w:tabs>
      <w:spacing w:before="120" w:after="120" w:line="312" w:lineRule="auto"/>
    </w:pPr>
    <w:rPr>
      <w:rFonts w:ascii="Arial" w:hAnsi="Arial" w:cs="Arial"/>
      <w:sz w:val="26"/>
      <w:szCs w:val="26"/>
    </w:rPr>
  </w:style>
  <w:style w:type="paragraph" w:customStyle="1" w:styleId="9">
    <w:name w:val="스타일9"/>
    <w:basedOn w:val="Normal"/>
    <w:link w:val="9Char"/>
    <w:qFormat/>
    <w:rsid w:val="00562738"/>
    <w:pPr>
      <w:keepNext/>
      <w:keepLines/>
      <w:widowControl w:val="0"/>
      <w:wordWrap w:val="0"/>
      <w:autoSpaceDE w:val="0"/>
      <w:autoSpaceDN w:val="0"/>
      <w:snapToGrid w:val="0"/>
      <w:spacing w:before="200" w:line="294" w:lineRule="exact"/>
      <w:ind w:firstLine="0"/>
      <w:outlineLvl w:val="1"/>
    </w:pPr>
    <w:rPr>
      <w:rFonts w:ascii="Arial" w:eastAsia="Arial" w:hAnsi="Arial"/>
      <w:b/>
      <w:bCs/>
      <w:color w:val="4F81BD"/>
      <w:kern w:val="2"/>
      <w:sz w:val="24"/>
      <w:szCs w:val="26"/>
      <w:lang w:eastAsia="ko-KR"/>
    </w:rPr>
  </w:style>
  <w:style w:type="character" w:customStyle="1" w:styleId="9Char">
    <w:name w:val="스타일9 Char"/>
    <w:basedOn w:val="DefaultParagraphFont"/>
    <w:link w:val="9"/>
    <w:rsid w:val="00562738"/>
    <w:rPr>
      <w:rFonts w:ascii="Arial" w:eastAsia="Arial" w:hAnsi="Arial"/>
      <w:b/>
      <w:bCs/>
      <w:color w:val="4F81BD"/>
      <w:kern w:val="2"/>
      <w:sz w:val="24"/>
      <w:szCs w:val="26"/>
      <w:lang w:eastAsia="ko-KR"/>
    </w:rPr>
  </w:style>
  <w:style w:type="paragraph" w:customStyle="1" w:styleId="listparagraph0">
    <w:name w:val="listparagraph"/>
    <w:basedOn w:val="Normal"/>
    <w:rsid w:val="007C2261"/>
    <w:pPr>
      <w:spacing w:before="100" w:beforeAutospacing="1" w:after="100" w:afterAutospacing="1"/>
      <w:ind w:firstLine="0"/>
      <w:jc w:val="left"/>
    </w:pPr>
    <w:rPr>
      <w:sz w:val="24"/>
      <w:szCs w:val="24"/>
      <w:lang w:val="vi-VN" w:eastAsia="vi-VN"/>
    </w:rPr>
  </w:style>
  <w:style w:type="paragraph" w:styleId="Date">
    <w:name w:val="Date"/>
    <w:basedOn w:val="Normal"/>
    <w:next w:val="Normal"/>
    <w:link w:val="DateChar"/>
    <w:rsid w:val="00B24B4B"/>
    <w:pPr>
      <w:spacing w:before="0"/>
      <w:ind w:firstLine="0"/>
      <w:jc w:val="left"/>
    </w:pPr>
    <w:rPr>
      <w:rFonts w:ascii=".VnTime" w:hAnsi=".VnTime"/>
      <w:szCs w:val="20"/>
    </w:rPr>
  </w:style>
  <w:style w:type="character" w:customStyle="1" w:styleId="DateChar">
    <w:name w:val="Date Char"/>
    <w:basedOn w:val="DefaultParagraphFont"/>
    <w:link w:val="Date"/>
    <w:rsid w:val="00B24B4B"/>
    <w:rPr>
      <w:rFonts w:ascii=".VnTime" w:hAnsi=".VnTime"/>
      <w:sz w:val="28"/>
      <w:szCs w:val="20"/>
    </w:rPr>
  </w:style>
  <w:style w:type="character" w:customStyle="1" w:styleId="CharCharCharChar">
    <w:name w:val="Char Char Char Char"/>
    <w:basedOn w:val="DefaultParagraphFont"/>
    <w:rsid w:val="00B24B4B"/>
    <w:rPr>
      <w:b/>
      <w:sz w:val="28"/>
      <w:lang w:val="en-US" w:eastAsia="en-US" w:bidi="ar-SA"/>
    </w:rPr>
  </w:style>
  <w:style w:type="paragraph" w:customStyle="1" w:styleId="normal-p">
    <w:name w:val="normal-p"/>
    <w:basedOn w:val="Normal"/>
    <w:rsid w:val="00B24B4B"/>
    <w:pPr>
      <w:spacing w:before="0"/>
      <w:ind w:firstLine="0"/>
      <w:jc w:val="left"/>
    </w:pPr>
    <w:rPr>
      <w:sz w:val="20"/>
      <w:szCs w:val="20"/>
    </w:rPr>
  </w:style>
  <w:style w:type="character" w:customStyle="1" w:styleId="normal-h1">
    <w:name w:val="normal-h1"/>
    <w:basedOn w:val="DefaultParagraphFont"/>
    <w:rsid w:val="00B24B4B"/>
    <w:rPr>
      <w:rFonts w:ascii="Times New Roman" w:hAnsi="Times New Roman" w:cs="Times New Roman" w:hint="default"/>
      <w:sz w:val="24"/>
      <w:szCs w:val="24"/>
    </w:rPr>
  </w:style>
  <w:style w:type="character" w:customStyle="1" w:styleId="longtext">
    <w:name w:val="long_text"/>
    <w:basedOn w:val="DefaultParagraphFont"/>
    <w:rsid w:val="00B24B4B"/>
  </w:style>
  <w:style w:type="character" w:customStyle="1" w:styleId="CharChar9">
    <w:name w:val="Char Char9"/>
    <w:basedOn w:val="DefaultParagraphFont"/>
    <w:rsid w:val="00B24B4B"/>
    <w:rPr>
      <w:rFonts w:eastAsia="Times New Roman" w:cs="Times New Roman"/>
      <w:szCs w:val="20"/>
    </w:rPr>
  </w:style>
  <w:style w:type="character" w:customStyle="1" w:styleId="CharChar11">
    <w:name w:val="Char Char11"/>
    <w:basedOn w:val="DefaultParagraphFont"/>
    <w:rsid w:val="00B24B4B"/>
    <w:rPr>
      <w:rFonts w:eastAsia="Times New Roman" w:cs="Times New Roman"/>
      <w:szCs w:val="20"/>
      <w:lang w:val="nl-NL"/>
    </w:rPr>
  </w:style>
  <w:style w:type="character" w:styleId="Strong">
    <w:name w:val="Strong"/>
    <w:qFormat/>
    <w:locked/>
    <w:rsid w:val="00B24B4B"/>
    <w:rPr>
      <w:b/>
      <w:bCs/>
    </w:rPr>
  </w:style>
  <w:style w:type="paragraph" w:styleId="Title">
    <w:name w:val="Title"/>
    <w:basedOn w:val="Normal"/>
    <w:next w:val="Normal"/>
    <w:link w:val="TitleChar"/>
    <w:qFormat/>
    <w:locked/>
    <w:rsid w:val="00B24B4B"/>
    <w:pPr>
      <w:spacing w:before="240" w:after="60"/>
      <w:ind w:firstLine="0"/>
      <w:jc w:val="center"/>
      <w:outlineLvl w:val="0"/>
    </w:pPr>
    <w:rPr>
      <w:rFonts w:ascii="Calibri" w:eastAsia="MS Gothic" w:hAnsi="Calibri"/>
      <w:b/>
      <w:bCs/>
      <w:kern w:val="28"/>
      <w:sz w:val="32"/>
      <w:szCs w:val="32"/>
    </w:rPr>
  </w:style>
  <w:style w:type="character" w:customStyle="1" w:styleId="TitleChar">
    <w:name w:val="Title Char"/>
    <w:basedOn w:val="DefaultParagraphFont"/>
    <w:link w:val="Title"/>
    <w:rsid w:val="00B24B4B"/>
    <w:rPr>
      <w:rFonts w:ascii="Calibri" w:eastAsia="MS Gothic" w:hAnsi="Calibri"/>
      <w:b/>
      <w:bCs/>
      <w:kern w:val="28"/>
      <w:sz w:val="32"/>
      <w:szCs w:val="32"/>
    </w:rPr>
  </w:style>
  <w:style w:type="paragraph" w:customStyle="1" w:styleId="oncaDanhsch1">
    <w:name w:val="Đoạn của Danh sách1"/>
    <w:basedOn w:val="Normal"/>
    <w:uiPriority w:val="34"/>
    <w:qFormat/>
    <w:rsid w:val="00C84F54"/>
    <w:pPr>
      <w:spacing w:before="0" w:after="200" w:line="276" w:lineRule="auto"/>
      <w:ind w:left="720" w:firstLine="0"/>
      <w:contextualSpacing/>
      <w:jc w:val="left"/>
    </w:pPr>
    <w:rPr>
      <w:rFonts w:eastAsia="Calibri"/>
      <w:szCs w:val="22"/>
    </w:rPr>
  </w:style>
  <w:style w:type="paragraph" w:customStyle="1" w:styleId="styleheading3before6pt">
    <w:name w:val="styleheading3before6pt"/>
    <w:basedOn w:val="Normal"/>
    <w:rsid w:val="006B7E9F"/>
    <w:pPr>
      <w:spacing w:before="100" w:beforeAutospacing="1" w:after="100" w:afterAutospacing="1"/>
      <w:ind w:firstLine="0"/>
      <w:jc w:val="left"/>
    </w:pPr>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uiPriority="0"/>
    <w:lsdException w:name="footer" w:locked="1"/>
    <w:lsdException w:name="caption" w:locked="1" w:qFormat="1"/>
    <w:lsdException w:name="footnote reference" w:locked="1"/>
    <w:lsdException w:name="page number" w:uiPriority="0"/>
    <w:lsdException w:name="Title" w:locked="1" w:semiHidden="0" w:uiPriority="0" w:unhideWhenUsed="0" w:qFormat="1"/>
    <w:lsdException w:name="Default Paragraph Font" w:uiPriority="1"/>
    <w:lsdException w:name="Body Text" w:uiPriority="0"/>
    <w:lsdException w:name="Body Text Indent" w:locked="1" w:uiPriority="0"/>
    <w:lsdException w:name="Subtitle" w:locked="1" w:semiHidden="0" w:uiPriority="0" w:unhideWhenUsed="0" w:qFormat="1"/>
    <w:lsdException w:name="Date" w:uiPriority="0"/>
    <w:lsdException w:name="Body Text 2" w:uiPriority="0"/>
    <w:lsdException w:name="Body Text 3" w:uiPriority="0"/>
    <w:lsdException w:name="Body Text Indent 2" w:locked="1" w:uiPriority="0"/>
    <w:lsdException w:name="Body Text Indent 3" w:uiPriority="0"/>
    <w:lsdException w:name="Hyperlink" w:locked="1"/>
    <w:lsdException w:name="Strong" w:locked="1" w:semiHidden="0" w:uiPriority="0" w:unhideWhenUsed="0" w:qFormat="1"/>
    <w:lsdException w:name="Emphasis" w:locked="1" w:semiHidden="0" w:uiPriority="0" w:unhideWhenUsed="0" w:qFormat="1"/>
    <w:lsdException w:name="Normal (Web)" w:locked="1"/>
    <w:lsdException w:name="annotation subject" w:uiPriority="0"/>
    <w:lsdException w:name="No List" w:locked="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7306F"/>
    <w:pPr>
      <w:spacing w:before="120"/>
      <w:ind w:firstLine="567"/>
      <w:jc w:val="both"/>
    </w:pPr>
    <w:rPr>
      <w:sz w:val="28"/>
      <w:szCs w:val="28"/>
    </w:rPr>
  </w:style>
  <w:style w:type="paragraph" w:styleId="Heading1">
    <w:name w:val="heading 1"/>
    <w:basedOn w:val="Normal"/>
    <w:next w:val="Normal"/>
    <w:link w:val="Heading1Char"/>
    <w:qFormat/>
    <w:rsid w:val="00A31964"/>
    <w:pPr>
      <w:ind w:left="567" w:right="569" w:firstLine="0"/>
      <w:jc w:val="center"/>
      <w:outlineLvl w:val="0"/>
    </w:pPr>
    <w:rPr>
      <w:b/>
      <w:bCs/>
      <w:lang w:val="nl-NL"/>
    </w:rPr>
  </w:style>
  <w:style w:type="paragraph" w:styleId="Heading2">
    <w:name w:val="heading 2"/>
    <w:aliases w:val=" Char Char"/>
    <w:basedOn w:val="Normal"/>
    <w:next w:val="Normal"/>
    <w:link w:val="Heading2Char"/>
    <w:qFormat/>
    <w:rsid w:val="007F105D"/>
    <w:pPr>
      <w:ind w:left="851" w:right="852" w:firstLine="0"/>
      <w:jc w:val="center"/>
      <w:outlineLvl w:val="1"/>
    </w:pPr>
    <w:rPr>
      <w:b/>
      <w:bCs/>
      <w:lang w:val="nl-NL"/>
    </w:rPr>
  </w:style>
  <w:style w:type="paragraph" w:styleId="Heading3">
    <w:name w:val="heading 3"/>
    <w:basedOn w:val="Heading2"/>
    <w:next w:val="Normal"/>
    <w:link w:val="Heading3Char"/>
    <w:qFormat/>
    <w:rsid w:val="007F105D"/>
    <w:pPr>
      <w:outlineLvl w:val="2"/>
    </w:pPr>
  </w:style>
  <w:style w:type="paragraph" w:styleId="Heading4">
    <w:name w:val="heading 4"/>
    <w:basedOn w:val="Normal"/>
    <w:next w:val="Normal"/>
    <w:link w:val="Heading4Char"/>
    <w:qFormat/>
    <w:rsid w:val="00CB73FD"/>
    <w:pPr>
      <w:numPr>
        <w:numId w:val="2"/>
      </w:numPr>
      <w:outlineLvl w:val="3"/>
    </w:pPr>
    <w:rPr>
      <w:b/>
      <w:bCs/>
      <w:lang w:val="nl-NL"/>
    </w:rPr>
  </w:style>
  <w:style w:type="paragraph" w:styleId="Heading5">
    <w:name w:val="heading 5"/>
    <w:basedOn w:val="Normal"/>
    <w:next w:val="Normal"/>
    <w:link w:val="Heading5Char"/>
    <w:qFormat/>
    <w:rsid w:val="00593AFC"/>
    <w:pPr>
      <w:keepNext/>
      <w:numPr>
        <w:numId w:val="3"/>
      </w:numPr>
      <w:ind w:right="569"/>
      <w:jc w:val="center"/>
      <w:outlineLvl w:val="4"/>
    </w:pPr>
    <w:rPr>
      <w:b/>
      <w:bCs/>
      <w:lang w:val="nl-NL"/>
    </w:rPr>
  </w:style>
  <w:style w:type="paragraph" w:styleId="Heading6">
    <w:name w:val="heading 6"/>
    <w:basedOn w:val="Normal"/>
    <w:next w:val="Normal"/>
    <w:link w:val="Heading6Char"/>
    <w:qFormat/>
    <w:rsid w:val="000661B7"/>
    <w:pPr>
      <w:keepNext/>
      <w:spacing w:line="312" w:lineRule="auto"/>
      <w:jc w:val="center"/>
      <w:outlineLvl w:val="5"/>
    </w:pPr>
    <w:rPr>
      <w:rFonts w:ascii=".VnTimeH" w:hAnsi=".VnTimeH" w:cs=".VnTimeH"/>
      <w:sz w:val="26"/>
      <w:szCs w:val="26"/>
    </w:rPr>
  </w:style>
  <w:style w:type="paragraph" w:styleId="Heading7">
    <w:name w:val="heading 7"/>
    <w:basedOn w:val="Normal"/>
    <w:next w:val="Normal"/>
    <w:link w:val="Heading7Char"/>
    <w:qFormat/>
    <w:rsid w:val="000661B7"/>
    <w:pPr>
      <w:keepNext/>
      <w:outlineLvl w:val="6"/>
    </w:pPr>
    <w:rPr>
      <w:rFonts w:ascii=".VnTime" w:hAnsi=".VnTime" w:cs=".VnTime"/>
      <w:sz w:val="32"/>
      <w:szCs w:val="32"/>
    </w:rPr>
  </w:style>
  <w:style w:type="paragraph" w:styleId="Heading8">
    <w:name w:val="heading 8"/>
    <w:basedOn w:val="Normal"/>
    <w:next w:val="Normal"/>
    <w:link w:val="Heading8Char"/>
    <w:qFormat/>
    <w:rsid w:val="000661B7"/>
    <w:pPr>
      <w:keepNext/>
      <w:ind w:firstLine="576"/>
      <w:jc w:val="center"/>
      <w:outlineLvl w:val="7"/>
    </w:pPr>
    <w:rPr>
      <w:rFonts w:ascii=".VnTimeH" w:hAnsi=".VnTimeH" w:cs=".VnTimeH"/>
    </w:rPr>
  </w:style>
  <w:style w:type="paragraph" w:styleId="Heading9">
    <w:name w:val="heading 9"/>
    <w:basedOn w:val="Normal"/>
    <w:next w:val="Normal"/>
    <w:link w:val="Heading9Char"/>
    <w:qFormat/>
    <w:rsid w:val="000661B7"/>
    <w:pPr>
      <w:keepNext/>
      <w:jc w:val="center"/>
      <w:outlineLvl w:val="8"/>
    </w:pPr>
    <w:rPr>
      <w:rFonts w:ascii=".VnTimeH" w:hAnsi=".VnTimeH" w:cs=".VnTime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31964"/>
    <w:rPr>
      <w:b/>
      <w:bCs/>
      <w:sz w:val="28"/>
      <w:szCs w:val="28"/>
      <w:lang w:val="nl-NL"/>
    </w:rPr>
  </w:style>
  <w:style w:type="character" w:customStyle="1" w:styleId="Heading2Char">
    <w:name w:val="Heading 2 Char"/>
    <w:aliases w:val=" Char Char Char"/>
    <w:basedOn w:val="DefaultParagraphFont"/>
    <w:link w:val="Heading2"/>
    <w:rsid w:val="00EC30B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locked/>
    <w:rsid w:val="007F105D"/>
    <w:rPr>
      <w:b/>
      <w:bCs/>
      <w:sz w:val="28"/>
      <w:szCs w:val="28"/>
      <w:lang w:val="nl-NL"/>
    </w:rPr>
  </w:style>
  <w:style w:type="character" w:customStyle="1" w:styleId="Heading4Char">
    <w:name w:val="Heading 4 Char"/>
    <w:basedOn w:val="DefaultParagraphFont"/>
    <w:link w:val="Heading4"/>
    <w:rsid w:val="00CB73FD"/>
    <w:rPr>
      <w:b/>
      <w:bCs/>
      <w:sz w:val="28"/>
      <w:szCs w:val="28"/>
      <w:lang w:val="nl-NL"/>
    </w:rPr>
  </w:style>
  <w:style w:type="character" w:customStyle="1" w:styleId="Heading5Char">
    <w:name w:val="Heading 5 Char"/>
    <w:basedOn w:val="DefaultParagraphFont"/>
    <w:link w:val="Heading5"/>
    <w:locked/>
    <w:rsid w:val="00593AFC"/>
    <w:rPr>
      <w:b/>
      <w:bCs/>
      <w:sz w:val="28"/>
      <w:szCs w:val="28"/>
      <w:lang w:val="nl-NL"/>
    </w:rPr>
  </w:style>
  <w:style w:type="character" w:customStyle="1" w:styleId="Heading6Char">
    <w:name w:val="Heading 6 Char"/>
    <w:basedOn w:val="DefaultParagraphFont"/>
    <w:link w:val="Heading6"/>
    <w:rsid w:val="00EC30BC"/>
    <w:rPr>
      <w:rFonts w:asciiTheme="minorHAnsi" w:eastAsiaTheme="minorEastAsia" w:hAnsiTheme="minorHAnsi" w:cstheme="minorBidi"/>
      <w:b/>
      <w:bCs/>
    </w:rPr>
  </w:style>
  <w:style w:type="character" w:customStyle="1" w:styleId="Heading7Char">
    <w:name w:val="Heading 7 Char"/>
    <w:basedOn w:val="DefaultParagraphFont"/>
    <w:link w:val="Heading7"/>
    <w:locked/>
    <w:rsid w:val="00C81AF5"/>
    <w:rPr>
      <w:rFonts w:ascii=".VnTime" w:hAnsi=".VnTime" w:cs=".VnTime"/>
      <w:b/>
      <w:bCs/>
      <w:sz w:val="32"/>
      <w:szCs w:val="32"/>
    </w:rPr>
  </w:style>
  <w:style w:type="character" w:customStyle="1" w:styleId="Heading8Char">
    <w:name w:val="Heading 8 Char"/>
    <w:basedOn w:val="DefaultParagraphFont"/>
    <w:link w:val="Heading8"/>
    <w:rsid w:val="00EC30B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EC30BC"/>
    <w:rPr>
      <w:rFonts w:asciiTheme="majorHAnsi" w:eastAsiaTheme="majorEastAsia" w:hAnsiTheme="majorHAnsi" w:cstheme="majorBidi"/>
    </w:rPr>
  </w:style>
  <w:style w:type="paragraph" w:styleId="BodyTextIndent3">
    <w:name w:val="Body Text Indent 3"/>
    <w:basedOn w:val="Normal"/>
    <w:link w:val="BodyTextIndent3Char"/>
    <w:rsid w:val="000661B7"/>
    <w:pPr>
      <w:spacing w:after="120"/>
      <w:ind w:firstLine="562"/>
    </w:pPr>
    <w:rPr>
      <w:rFonts w:ascii=".VnTime" w:hAnsi=".VnTime" w:cs=".VnTime"/>
      <w:color w:val="000000"/>
    </w:rPr>
  </w:style>
  <w:style w:type="character" w:customStyle="1" w:styleId="BodyTextIndent3Char">
    <w:name w:val="Body Text Indent 3 Char"/>
    <w:basedOn w:val="DefaultParagraphFont"/>
    <w:link w:val="BodyTextIndent3"/>
    <w:locked/>
    <w:rsid w:val="0011349F"/>
    <w:rPr>
      <w:rFonts w:ascii=".VnTime" w:hAnsi=".VnTime" w:cs=".VnTime"/>
      <w:color w:val="000000"/>
      <w:sz w:val="28"/>
      <w:szCs w:val="28"/>
    </w:rPr>
  </w:style>
  <w:style w:type="paragraph" w:styleId="BodyTextIndent2">
    <w:name w:val="Body Text Indent 2"/>
    <w:basedOn w:val="Normal"/>
    <w:link w:val="BodyTextIndent2Char"/>
    <w:rsid w:val="000661B7"/>
    <w:pPr>
      <w:spacing w:after="120"/>
      <w:ind w:firstLine="720"/>
    </w:pPr>
    <w:rPr>
      <w:rFonts w:ascii=".VnTime" w:hAnsi=".VnTime" w:cs=".VnTime"/>
    </w:rPr>
  </w:style>
  <w:style w:type="character" w:customStyle="1" w:styleId="BodyTextIndent2Char">
    <w:name w:val="Body Text Indent 2 Char"/>
    <w:basedOn w:val="DefaultParagraphFont"/>
    <w:link w:val="BodyTextIndent2"/>
    <w:locked/>
    <w:rsid w:val="00505EE7"/>
    <w:rPr>
      <w:rFonts w:ascii=".VnTime" w:hAnsi=".VnTime" w:cs=".VnTime"/>
      <w:sz w:val="28"/>
      <w:szCs w:val="28"/>
    </w:rPr>
  </w:style>
  <w:style w:type="paragraph" w:styleId="BodyText3">
    <w:name w:val="Body Text 3"/>
    <w:basedOn w:val="Normal"/>
    <w:link w:val="BodyText3Char"/>
    <w:rsid w:val="000661B7"/>
    <w:rPr>
      <w:rFonts w:ascii=".VnTime" w:hAnsi=".VnTime" w:cs=".VnTime"/>
    </w:rPr>
  </w:style>
  <w:style w:type="character" w:customStyle="1" w:styleId="BodyText3Char">
    <w:name w:val="Body Text 3 Char"/>
    <w:basedOn w:val="DefaultParagraphFont"/>
    <w:link w:val="BodyText3"/>
    <w:rsid w:val="00EC30BC"/>
    <w:rPr>
      <w:sz w:val="16"/>
      <w:szCs w:val="16"/>
    </w:rPr>
  </w:style>
  <w:style w:type="paragraph" w:styleId="Footer">
    <w:name w:val="footer"/>
    <w:basedOn w:val="Normal"/>
    <w:link w:val="FooterChar"/>
    <w:uiPriority w:val="99"/>
    <w:rsid w:val="000661B7"/>
    <w:pPr>
      <w:tabs>
        <w:tab w:val="center" w:pos="4320"/>
        <w:tab w:val="right" w:pos="8640"/>
      </w:tabs>
    </w:pPr>
  </w:style>
  <w:style w:type="character" w:customStyle="1" w:styleId="FooterChar">
    <w:name w:val="Footer Char"/>
    <w:basedOn w:val="DefaultParagraphFont"/>
    <w:link w:val="Footer"/>
    <w:uiPriority w:val="99"/>
    <w:locked/>
    <w:rsid w:val="00F423BD"/>
    <w:rPr>
      <w:b/>
      <w:bCs/>
      <w:sz w:val="24"/>
      <w:szCs w:val="24"/>
    </w:rPr>
  </w:style>
  <w:style w:type="character" w:styleId="PageNumber">
    <w:name w:val="page number"/>
    <w:basedOn w:val="DefaultParagraphFont"/>
    <w:rsid w:val="000661B7"/>
  </w:style>
  <w:style w:type="paragraph" w:styleId="BodyText2">
    <w:name w:val="Body Text 2"/>
    <w:basedOn w:val="Normal"/>
    <w:link w:val="BodyText2Char"/>
    <w:rsid w:val="000661B7"/>
    <w:pPr>
      <w:spacing w:after="120" w:line="480" w:lineRule="auto"/>
    </w:pPr>
    <w:rPr>
      <w:rFonts w:ascii=".VnTime" w:hAnsi=".VnTime" w:cs=".VnTime"/>
      <w:color w:val="000000"/>
    </w:rPr>
  </w:style>
  <w:style w:type="character" w:customStyle="1" w:styleId="BodyText2Char">
    <w:name w:val="Body Text 2 Char"/>
    <w:basedOn w:val="DefaultParagraphFont"/>
    <w:link w:val="BodyText2"/>
    <w:rsid w:val="00EC30BC"/>
    <w:rPr>
      <w:sz w:val="28"/>
      <w:szCs w:val="28"/>
    </w:rPr>
  </w:style>
  <w:style w:type="paragraph" w:styleId="Header">
    <w:name w:val="header"/>
    <w:basedOn w:val="Normal"/>
    <w:link w:val="HeaderChar"/>
    <w:rsid w:val="000661B7"/>
    <w:pPr>
      <w:tabs>
        <w:tab w:val="center" w:pos="4320"/>
        <w:tab w:val="right" w:pos="8640"/>
      </w:tabs>
    </w:pPr>
  </w:style>
  <w:style w:type="character" w:customStyle="1" w:styleId="HeaderChar">
    <w:name w:val="Header Char"/>
    <w:basedOn w:val="DefaultParagraphFont"/>
    <w:link w:val="Header"/>
    <w:rsid w:val="00EC30BC"/>
    <w:rPr>
      <w:sz w:val="28"/>
      <w:szCs w:val="28"/>
    </w:rPr>
  </w:style>
  <w:style w:type="character" w:styleId="FollowedHyperlink">
    <w:name w:val="FollowedHyperlink"/>
    <w:basedOn w:val="DefaultParagraphFont"/>
    <w:uiPriority w:val="99"/>
    <w:rsid w:val="000661B7"/>
    <w:rPr>
      <w:color w:val="800080"/>
      <w:u w:val="single"/>
    </w:rPr>
  </w:style>
  <w:style w:type="paragraph" w:customStyle="1" w:styleId="b-dieu">
    <w:name w:val="b-dieu"/>
    <w:basedOn w:val="BodyText"/>
    <w:uiPriority w:val="99"/>
    <w:rsid w:val="000661B7"/>
    <w:pPr>
      <w:ind w:left="1797" w:hanging="1077"/>
    </w:pPr>
    <w:rPr>
      <w:b/>
      <w:bCs/>
      <w:color w:val="000000"/>
      <w:lang w:val="nl-NL"/>
    </w:rPr>
  </w:style>
  <w:style w:type="paragraph" w:styleId="BodyText">
    <w:name w:val="Body Text"/>
    <w:basedOn w:val="Normal"/>
    <w:link w:val="BodyTextChar"/>
    <w:rsid w:val="000661B7"/>
    <w:pPr>
      <w:spacing w:after="120"/>
    </w:pPr>
  </w:style>
  <w:style w:type="character" w:customStyle="1" w:styleId="BodyTextChar">
    <w:name w:val="Body Text Char"/>
    <w:basedOn w:val="DefaultParagraphFont"/>
    <w:link w:val="BodyText"/>
    <w:locked/>
    <w:rsid w:val="00463F45"/>
    <w:rPr>
      <w:sz w:val="24"/>
      <w:szCs w:val="24"/>
    </w:rPr>
  </w:style>
  <w:style w:type="paragraph" w:styleId="NormalWeb">
    <w:name w:val="Normal (Web)"/>
    <w:basedOn w:val="Normal"/>
    <w:uiPriority w:val="99"/>
    <w:rsid w:val="000661B7"/>
    <w:pPr>
      <w:spacing w:before="100" w:beforeAutospacing="1" w:after="100" w:afterAutospacing="1"/>
    </w:pPr>
  </w:style>
  <w:style w:type="paragraph" w:styleId="BodyTextIndent">
    <w:name w:val="Body Text Indent"/>
    <w:basedOn w:val="Normal"/>
    <w:link w:val="BodyTextIndentChar"/>
    <w:rsid w:val="000661B7"/>
    <w:pPr>
      <w:ind w:firstLine="576"/>
      <w:jc w:val="center"/>
    </w:pPr>
    <w:rPr>
      <w:rFonts w:ascii=".VnTimeH" w:hAnsi=".VnTimeH" w:cs=".VnTimeH"/>
    </w:rPr>
  </w:style>
  <w:style w:type="character" w:customStyle="1" w:styleId="BodyTextIndentChar">
    <w:name w:val="Body Text Indent Char"/>
    <w:basedOn w:val="DefaultParagraphFont"/>
    <w:link w:val="BodyTextIndent"/>
    <w:locked/>
    <w:rsid w:val="00687FEA"/>
    <w:rPr>
      <w:rFonts w:ascii=".VnTimeH" w:hAnsi=".VnTimeH" w:cs=".VnTimeH"/>
      <w:sz w:val="28"/>
      <w:szCs w:val="28"/>
    </w:rPr>
  </w:style>
  <w:style w:type="character" w:styleId="CommentReference">
    <w:name w:val="annotation reference"/>
    <w:basedOn w:val="DefaultParagraphFont"/>
    <w:uiPriority w:val="99"/>
    <w:rsid w:val="000661B7"/>
    <w:rPr>
      <w:sz w:val="16"/>
      <w:szCs w:val="16"/>
    </w:rPr>
  </w:style>
  <w:style w:type="paragraph" w:styleId="CommentText">
    <w:name w:val="annotation text"/>
    <w:basedOn w:val="Normal"/>
    <w:link w:val="CommentTextChar"/>
    <w:uiPriority w:val="99"/>
    <w:rsid w:val="000661B7"/>
    <w:rPr>
      <w:sz w:val="20"/>
      <w:szCs w:val="20"/>
    </w:rPr>
  </w:style>
  <w:style w:type="character" w:customStyle="1" w:styleId="CommentTextChar">
    <w:name w:val="Comment Text Char"/>
    <w:basedOn w:val="DefaultParagraphFont"/>
    <w:link w:val="CommentText"/>
    <w:uiPriority w:val="99"/>
    <w:rsid w:val="00EC30BC"/>
    <w:rPr>
      <w:sz w:val="20"/>
      <w:szCs w:val="20"/>
    </w:rPr>
  </w:style>
  <w:style w:type="paragraph" w:styleId="BalloonText">
    <w:name w:val="Balloon Text"/>
    <w:basedOn w:val="Normal"/>
    <w:link w:val="BalloonTextChar"/>
    <w:semiHidden/>
    <w:rsid w:val="000661B7"/>
    <w:rPr>
      <w:rFonts w:ascii="Tahoma" w:hAnsi="Tahoma" w:cs="Tahoma"/>
      <w:sz w:val="16"/>
      <w:szCs w:val="16"/>
    </w:rPr>
  </w:style>
  <w:style w:type="character" w:customStyle="1" w:styleId="BalloonTextChar">
    <w:name w:val="Balloon Text Char"/>
    <w:basedOn w:val="DefaultParagraphFont"/>
    <w:link w:val="BalloonText"/>
    <w:uiPriority w:val="99"/>
    <w:semiHidden/>
    <w:rsid w:val="00EC30BC"/>
    <w:rPr>
      <w:sz w:val="0"/>
      <w:szCs w:val="0"/>
    </w:rPr>
  </w:style>
  <w:style w:type="paragraph" w:styleId="CommentSubject">
    <w:name w:val="annotation subject"/>
    <w:basedOn w:val="CommentText"/>
    <w:next w:val="CommentText"/>
    <w:link w:val="CommentSubjectChar"/>
    <w:rsid w:val="000661B7"/>
  </w:style>
  <w:style w:type="character" w:customStyle="1" w:styleId="CommentSubjectChar">
    <w:name w:val="Comment Subject Char"/>
    <w:basedOn w:val="CommentTextChar"/>
    <w:link w:val="CommentSubject"/>
    <w:rsid w:val="00EC30BC"/>
    <w:rPr>
      <w:b/>
      <w:bCs/>
      <w:sz w:val="20"/>
      <w:szCs w:val="20"/>
    </w:rPr>
  </w:style>
  <w:style w:type="paragraph" w:customStyle="1" w:styleId="Body1">
    <w:name w:val="Body 1"/>
    <w:basedOn w:val="Heading1"/>
    <w:rsid w:val="000661B7"/>
    <w:pPr>
      <w:spacing w:after="240" w:line="280" w:lineRule="atLeast"/>
      <w:ind w:left="720"/>
      <w:outlineLvl w:val="9"/>
    </w:pPr>
    <w:rPr>
      <w:kern w:val="28"/>
      <w:sz w:val="24"/>
      <w:szCs w:val="24"/>
      <w:lang w:val="en-GB"/>
    </w:rPr>
  </w:style>
  <w:style w:type="paragraph" w:customStyle="1" w:styleId="Style4">
    <w:name w:val="Style4"/>
    <w:basedOn w:val="Normal"/>
    <w:uiPriority w:val="99"/>
    <w:rsid w:val="000661B7"/>
    <w:pPr>
      <w:ind w:left="567" w:hanging="567"/>
    </w:pPr>
    <w:rPr>
      <w:sz w:val="22"/>
      <w:szCs w:val="22"/>
    </w:rPr>
  </w:style>
  <w:style w:type="paragraph" w:customStyle="1" w:styleId="Style1">
    <w:name w:val="Style1"/>
    <w:basedOn w:val="Normal"/>
    <w:uiPriority w:val="99"/>
    <w:rsid w:val="000661B7"/>
    <w:pPr>
      <w:jc w:val="center"/>
    </w:pPr>
    <w:rPr>
      <w:rFonts w:ascii="VNI-Aptima" w:hAnsi="VNI-Aptima" w:cs="VNI-Aptima"/>
      <w:color w:val="0000FF"/>
      <w:sz w:val="22"/>
      <w:szCs w:val="22"/>
      <w:u w:val="words"/>
    </w:rPr>
  </w:style>
  <w:style w:type="paragraph" w:styleId="TOC1">
    <w:name w:val="toc 1"/>
    <w:basedOn w:val="Normal"/>
    <w:next w:val="Normal"/>
    <w:autoRedefine/>
    <w:uiPriority w:val="39"/>
    <w:rsid w:val="00052405"/>
    <w:pPr>
      <w:spacing w:after="120"/>
      <w:jc w:val="left"/>
    </w:pPr>
    <w:rPr>
      <w:rFonts w:ascii="Calibri" w:hAnsi="Calibri" w:cs="Calibri"/>
      <w:b/>
      <w:bCs/>
      <w:sz w:val="20"/>
      <w:szCs w:val="20"/>
    </w:rPr>
  </w:style>
  <w:style w:type="paragraph" w:styleId="PlainText">
    <w:name w:val="Plain Text"/>
    <w:basedOn w:val="Normal"/>
    <w:link w:val="PlainTextChar"/>
    <w:uiPriority w:val="99"/>
    <w:rsid w:val="000661B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C30BC"/>
    <w:rPr>
      <w:rFonts w:ascii="Courier New" w:hAnsi="Courier New" w:cs="Courier New"/>
      <w:sz w:val="20"/>
      <w:szCs w:val="20"/>
    </w:rPr>
  </w:style>
  <w:style w:type="character" w:customStyle="1" w:styleId="PlainTextCharChar">
    <w:name w:val="Plain Text Char Char"/>
    <w:basedOn w:val="DefaultParagraphFont"/>
    <w:uiPriority w:val="99"/>
    <w:rsid w:val="000661B7"/>
    <w:rPr>
      <w:rFonts w:ascii="Courier New" w:hAnsi="Courier New" w:cs="Courier New"/>
      <w:lang w:val="en-US" w:eastAsia="en-US"/>
    </w:rPr>
  </w:style>
  <w:style w:type="paragraph" w:customStyle="1" w:styleId="Style2">
    <w:name w:val="Style2"/>
    <w:uiPriority w:val="99"/>
    <w:rsid w:val="000661B7"/>
    <w:pPr>
      <w:ind w:left="14" w:firstLine="14"/>
      <w:jc w:val="both"/>
    </w:pPr>
    <w:rPr>
      <w:rFonts w:ascii="VNI-Times" w:hAnsi="VNI-Times" w:cs="VNI-Times"/>
      <w:sz w:val="24"/>
      <w:szCs w:val="24"/>
    </w:rPr>
  </w:style>
  <w:style w:type="paragraph" w:styleId="FootnoteText">
    <w:name w:val="footnote text"/>
    <w:basedOn w:val="Normal"/>
    <w:link w:val="FootnoteTextChar"/>
    <w:semiHidden/>
    <w:rsid w:val="000661B7"/>
    <w:rPr>
      <w:rFonts w:ascii="VNI-Times" w:hAnsi="VNI-Times" w:cs="VNI-Times"/>
      <w:sz w:val="20"/>
      <w:szCs w:val="20"/>
    </w:rPr>
  </w:style>
  <w:style w:type="character" w:customStyle="1" w:styleId="FootnoteTextChar">
    <w:name w:val="Footnote Text Char"/>
    <w:basedOn w:val="DefaultParagraphFont"/>
    <w:link w:val="FootnoteText"/>
    <w:semiHidden/>
    <w:locked/>
    <w:rsid w:val="00620AD8"/>
    <w:rPr>
      <w:rFonts w:ascii="VNI-Times" w:hAnsi="VNI-Times" w:cs="VNI-Times"/>
      <w:b/>
      <w:bCs/>
    </w:rPr>
  </w:style>
  <w:style w:type="character" w:styleId="Hyperlink">
    <w:name w:val="Hyperlink"/>
    <w:basedOn w:val="DefaultParagraphFont"/>
    <w:uiPriority w:val="99"/>
    <w:rsid w:val="000661B7"/>
    <w:rPr>
      <w:rFonts w:ascii="Book Antiqua" w:hAnsi="Book Antiqua" w:cs="Book Antiqua"/>
      <w:color w:val="000000"/>
      <w:sz w:val="24"/>
      <w:szCs w:val="24"/>
      <w:u w:val="none"/>
      <w:effect w:val="none"/>
    </w:rPr>
  </w:style>
  <w:style w:type="character" w:styleId="FootnoteReference">
    <w:name w:val="footnote reference"/>
    <w:basedOn w:val="DefaultParagraphFont"/>
    <w:uiPriority w:val="99"/>
    <w:semiHidden/>
    <w:rsid w:val="000661B7"/>
    <w:rPr>
      <w:vertAlign w:val="superscript"/>
    </w:rPr>
  </w:style>
  <w:style w:type="character" w:customStyle="1" w:styleId="Char">
    <w:name w:val="Char"/>
    <w:basedOn w:val="DefaultParagraphFont"/>
    <w:uiPriority w:val="99"/>
    <w:rsid w:val="000661B7"/>
    <w:rPr>
      <w:sz w:val="24"/>
      <w:szCs w:val="24"/>
      <w:lang w:val="en-US" w:eastAsia="en-US"/>
    </w:rPr>
  </w:style>
  <w:style w:type="paragraph" w:styleId="TOC3">
    <w:name w:val="toc 3"/>
    <w:basedOn w:val="Normal"/>
    <w:next w:val="Normal"/>
    <w:autoRedefine/>
    <w:uiPriority w:val="39"/>
    <w:rsid w:val="00052405"/>
    <w:pPr>
      <w:spacing w:before="0"/>
      <w:ind w:left="560"/>
      <w:jc w:val="left"/>
    </w:pPr>
    <w:rPr>
      <w:rFonts w:ascii="Calibri" w:hAnsi="Calibri" w:cs="Calibri"/>
      <w:i/>
      <w:iCs/>
      <w:sz w:val="20"/>
      <w:szCs w:val="20"/>
    </w:rPr>
  </w:style>
  <w:style w:type="paragraph" w:customStyle="1" w:styleId="Default">
    <w:name w:val="Default"/>
    <w:rsid w:val="000661B7"/>
    <w:pPr>
      <w:autoSpaceDE w:val="0"/>
      <w:autoSpaceDN w:val="0"/>
      <w:adjustRightInd w:val="0"/>
    </w:pPr>
    <w:rPr>
      <w:color w:val="000000"/>
      <w:sz w:val="24"/>
      <w:szCs w:val="24"/>
    </w:rPr>
  </w:style>
  <w:style w:type="character" w:customStyle="1" w:styleId="articletext">
    <w:name w:val="articletext"/>
    <w:basedOn w:val="DefaultParagraphFont"/>
    <w:uiPriority w:val="99"/>
    <w:rsid w:val="000661B7"/>
  </w:style>
  <w:style w:type="paragraph" w:styleId="DocumentMap">
    <w:name w:val="Document Map"/>
    <w:basedOn w:val="Normal"/>
    <w:link w:val="DocumentMapChar"/>
    <w:uiPriority w:val="99"/>
    <w:semiHidden/>
    <w:rsid w:val="000661B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C30BC"/>
    <w:rPr>
      <w:sz w:val="0"/>
      <w:szCs w:val="0"/>
    </w:rPr>
  </w:style>
  <w:style w:type="table" w:styleId="TableGrid">
    <w:name w:val="Table Grid"/>
    <w:basedOn w:val="TableNormal"/>
    <w:rsid w:val="00497F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373"/>
    <w:pPr>
      <w:numPr>
        <w:numId w:val="5"/>
      </w:numPr>
    </w:pPr>
    <w:rPr>
      <w:lang w:val="nl-NL"/>
    </w:rPr>
  </w:style>
  <w:style w:type="paragraph" w:customStyle="1" w:styleId="dieu">
    <w:name w:val="dieu"/>
    <w:basedOn w:val="Normal"/>
    <w:link w:val="dieuChar"/>
    <w:rsid w:val="00663A14"/>
    <w:pPr>
      <w:spacing w:after="120"/>
      <w:ind w:firstLine="720"/>
    </w:pPr>
    <w:rPr>
      <w:color w:val="0000FF"/>
      <w:sz w:val="26"/>
      <w:szCs w:val="26"/>
    </w:rPr>
  </w:style>
  <w:style w:type="character" w:customStyle="1" w:styleId="dieuChar">
    <w:name w:val="dieu Char"/>
    <w:basedOn w:val="DefaultParagraphFont"/>
    <w:link w:val="dieu"/>
    <w:locked/>
    <w:rsid w:val="00663A14"/>
    <w:rPr>
      <w:b/>
      <w:bCs/>
      <w:color w:val="0000FF"/>
      <w:sz w:val="26"/>
      <w:szCs w:val="26"/>
    </w:rPr>
  </w:style>
  <w:style w:type="character" w:customStyle="1" w:styleId="BodyTextChar1">
    <w:name w:val="Body Text Char1"/>
    <w:aliases w:val="Body Text Char Char"/>
    <w:basedOn w:val="DefaultParagraphFont"/>
    <w:uiPriority w:val="99"/>
    <w:rsid w:val="00A77CF5"/>
    <w:rPr>
      <w:rFonts w:ascii=".VnTimeH" w:hAnsi=".VnTimeH" w:cs=".VnTimeH"/>
      <w:sz w:val="26"/>
      <w:szCs w:val="26"/>
      <w:lang w:val="en-US" w:eastAsia="en-US"/>
    </w:rPr>
  </w:style>
  <w:style w:type="character" w:customStyle="1" w:styleId="blue18">
    <w:name w:val="blue_18"/>
    <w:basedOn w:val="DefaultParagraphFont"/>
    <w:uiPriority w:val="99"/>
    <w:rsid w:val="00F423BD"/>
  </w:style>
  <w:style w:type="character" w:styleId="PlaceholderText">
    <w:name w:val="Placeholder Text"/>
    <w:basedOn w:val="DefaultParagraphFont"/>
    <w:uiPriority w:val="99"/>
    <w:semiHidden/>
    <w:rsid w:val="00C3292F"/>
    <w:rPr>
      <w:color w:val="808080"/>
    </w:rPr>
  </w:style>
  <w:style w:type="paragraph" w:styleId="Caption">
    <w:name w:val="caption"/>
    <w:basedOn w:val="Normal"/>
    <w:next w:val="Normal"/>
    <w:uiPriority w:val="99"/>
    <w:qFormat/>
    <w:rsid w:val="00BB35EA"/>
    <w:pPr>
      <w:jc w:val="center"/>
    </w:pPr>
    <w:rPr>
      <w:lang w:eastAsia="vi-VN"/>
    </w:rPr>
  </w:style>
  <w:style w:type="character" w:customStyle="1" w:styleId="apple-converted-space">
    <w:name w:val="apple-converted-space"/>
    <w:basedOn w:val="DefaultParagraphFont"/>
    <w:rsid w:val="00694BF4"/>
  </w:style>
  <w:style w:type="paragraph" w:styleId="TOCHeading">
    <w:name w:val="TOC Heading"/>
    <w:basedOn w:val="Heading1"/>
    <w:next w:val="Normal"/>
    <w:uiPriority w:val="99"/>
    <w:qFormat/>
    <w:rsid w:val="00420022"/>
    <w:pPr>
      <w:keepNext/>
      <w:keepLines/>
      <w:spacing w:before="480" w:line="276" w:lineRule="auto"/>
      <w:jc w:val="left"/>
      <w:outlineLvl w:val="9"/>
    </w:pPr>
    <w:rPr>
      <w:rFonts w:ascii="Cambria" w:hAnsi="Cambria" w:cs="Cambria"/>
      <w:color w:val="365F91"/>
    </w:rPr>
  </w:style>
  <w:style w:type="paragraph" w:styleId="TOC2">
    <w:name w:val="toc 2"/>
    <w:basedOn w:val="Normal"/>
    <w:next w:val="Normal"/>
    <w:autoRedefine/>
    <w:uiPriority w:val="39"/>
    <w:rsid w:val="00052405"/>
    <w:pPr>
      <w:spacing w:before="0"/>
      <w:ind w:left="280"/>
      <w:jc w:val="left"/>
    </w:pPr>
    <w:rPr>
      <w:rFonts w:ascii="Calibri" w:hAnsi="Calibri" w:cs="Calibri"/>
      <w:sz w:val="20"/>
      <w:szCs w:val="20"/>
    </w:rPr>
  </w:style>
  <w:style w:type="paragraph" w:styleId="TOC4">
    <w:name w:val="toc 4"/>
    <w:basedOn w:val="Normal"/>
    <w:next w:val="Normal"/>
    <w:autoRedefine/>
    <w:uiPriority w:val="39"/>
    <w:rsid w:val="00420022"/>
    <w:pPr>
      <w:spacing w:before="0"/>
      <w:ind w:left="840"/>
      <w:jc w:val="left"/>
    </w:pPr>
    <w:rPr>
      <w:rFonts w:ascii="Calibri" w:hAnsi="Calibri" w:cs="Calibri"/>
      <w:sz w:val="18"/>
      <w:szCs w:val="18"/>
    </w:rPr>
  </w:style>
  <w:style w:type="paragraph" w:styleId="TOC5">
    <w:name w:val="toc 5"/>
    <w:basedOn w:val="Normal"/>
    <w:next w:val="Normal"/>
    <w:autoRedefine/>
    <w:uiPriority w:val="39"/>
    <w:rsid w:val="00420022"/>
    <w:pPr>
      <w:spacing w:before="0"/>
      <w:ind w:left="1120"/>
      <w:jc w:val="left"/>
    </w:pPr>
    <w:rPr>
      <w:rFonts w:ascii="Calibri" w:hAnsi="Calibri" w:cs="Calibri"/>
      <w:sz w:val="18"/>
      <w:szCs w:val="18"/>
    </w:rPr>
  </w:style>
  <w:style w:type="paragraph" w:styleId="TOC6">
    <w:name w:val="toc 6"/>
    <w:basedOn w:val="Normal"/>
    <w:next w:val="Normal"/>
    <w:autoRedefine/>
    <w:uiPriority w:val="39"/>
    <w:rsid w:val="00420022"/>
    <w:pPr>
      <w:spacing w:before="0"/>
      <w:ind w:left="1400"/>
      <w:jc w:val="left"/>
    </w:pPr>
    <w:rPr>
      <w:rFonts w:ascii="Calibri" w:hAnsi="Calibri" w:cs="Calibri"/>
      <w:sz w:val="18"/>
      <w:szCs w:val="18"/>
    </w:rPr>
  </w:style>
  <w:style w:type="paragraph" w:styleId="TOC7">
    <w:name w:val="toc 7"/>
    <w:basedOn w:val="Normal"/>
    <w:next w:val="Normal"/>
    <w:autoRedefine/>
    <w:uiPriority w:val="39"/>
    <w:rsid w:val="00420022"/>
    <w:pPr>
      <w:spacing w:before="0"/>
      <w:ind w:left="1680"/>
      <w:jc w:val="left"/>
    </w:pPr>
    <w:rPr>
      <w:rFonts w:ascii="Calibri" w:hAnsi="Calibri" w:cs="Calibri"/>
      <w:sz w:val="18"/>
      <w:szCs w:val="18"/>
    </w:rPr>
  </w:style>
  <w:style w:type="paragraph" w:styleId="TOC8">
    <w:name w:val="toc 8"/>
    <w:basedOn w:val="Normal"/>
    <w:next w:val="Normal"/>
    <w:autoRedefine/>
    <w:uiPriority w:val="39"/>
    <w:rsid w:val="00420022"/>
    <w:pPr>
      <w:spacing w:before="0"/>
      <w:ind w:left="1960"/>
      <w:jc w:val="left"/>
    </w:pPr>
    <w:rPr>
      <w:rFonts w:ascii="Calibri" w:hAnsi="Calibri" w:cs="Calibri"/>
      <w:sz w:val="18"/>
      <w:szCs w:val="18"/>
    </w:rPr>
  </w:style>
  <w:style w:type="paragraph" w:styleId="TOC9">
    <w:name w:val="toc 9"/>
    <w:basedOn w:val="Normal"/>
    <w:next w:val="Normal"/>
    <w:autoRedefine/>
    <w:uiPriority w:val="39"/>
    <w:rsid w:val="00420022"/>
    <w:pPr>
      <w:spacing w:before="0"/>
      <w:ind w:left="2240"/>
      <w:jc w:val="left"/>
    </w:pPr>
    <w:rPr>
      <w:rFonts w:ascii="Calibri" w:hAnsi="Calibri" w:cs="Calibri"/>
      <w:sz w:val="18"/>
      <w:szCs w:val="18"/>
    </w:rPr>
  </w:style>
  <w:style w:type="paragraph" w:styleId="Quote">
    <w:name w:val="Quote"/>
    <w:basedOn w:val="Normal"/>
    <w:next w:val="Normal"/>
    <w:link w:val="QuoteChar"/>
    <w:uiPriority w:val="29"/>
    <w:qFormat/>
    <w:rsid w:val="007F105D"/>
    <w:rPr>
      <w:i/>
      <w:iCs/>
      <w:color w:val="000000"/>
    </w:rPr>
  </w:style>
  <w:style w:type="character" w:customStyle="1" w:styleId="QuoteChar">
    <w:name w:val="Quote Char"/>
    <w:basedOn w:val="DefaultParagraphFont"/>
    <w:link w:val="Quote"/>
    <w:uiPriority w:val="29"/>
    <w:locked/>
    <w:rsid w:val="007F105D"/>
    <w:rPr>
      <w:i/>
      <w:iCs/>
      <w:color w:val="000000"/>
      <w:sz w:val="28"/>
      <w:szCs w:val="28"/>
    </w:rPr>
  </w:style>
  <w:style w:type="paragraph" w:styleId="Revision">
    <w:name w:val="Revision"/>
    <w:hidden/>
    <w:uiPriority w:val="99"/>
    <w:semiHidden/>
    <w:rsid w:val="00840775"/>
    <w:rPr>
      <w:sz w:val="28"/>
      <w:szCs w:val="28"/>
    </w:rPr>
  </w:style>
  <w:style w:type="numbering" w:customStyle="1" w:styleId="TTStyle">
    <w:name w:val="TTStyle"/>
    <w:rsid w:val="00EC30BC"/>
    <w:pPr>
      <w:numPr>
        <w:numId w:val="1"/>
      </w:numPr>
    </w:pPr>
  </w:style>
  <w:style w:type="numbering" w:customStyle="1" w:styleId="Khoan">
    <w:name w:val="Khoan"/>
    <w:uiPriority w:val="99"/>
    <w:rsid w:val="00594373"/>
    <w:pPr>
      <w:numPr>
        <w:numId w:val="4"/>
      </w:numPr>
    </w:pPr>
  </w:style>
  <w:style w:type="character" w:styleId="SubtleEmphasis">
    <w:name w:val="Subtle Emphasis"/>
    <w:basedOn w:val="DefaultParagraphFont"/>
    <w:uiPriority w:val="19"/>
    <w:qFormat/>
    <w:rsid w:val="000946CE"/>
    <w:rPr>
      <w:i/>
      <w:iCs/>
      <w:color w:val="808080" w:themeColor="text1" w:themeTint="7F"/>
    </w:rPr>
  </w:style>
  <w:style w:type="paragraph" w:customStyle="1" w:styleId="DefaultParagraphFontParaCharCharCharCharChar">
    <w:name w:val="Default Paragraph Font Para Char Char Char Char Char"/>
    <w:autoRedefine/>
    <w:rsid w:val="00B10330"/>
    <w:pPr>
      <w:tabs>
        <w:tab w:val="left" w:pos="1152"/>
      </w:tabs>
      <w:spacing w:before="120" w:after="120" w:line="312" w:lineRule="auto"/>
    </w:pPr>
    <w:rPr>
      <w:rFonts w:ascii="Arial" w:hAnsi="Arial" w:cs="Arial"/>
      <w:sz w:val="26"/>
      <w:szCs w:val="26"/>
    </w:rPr>
  </w:style>
  <w:style w:type="paragraph" w:customStyle="1" w:styleId="9">
    <w:name w:val="스타일9"/>
    <w:basedOn w:val="Normal"/>
    <w:link w:val="9Char"/>
    <w:qFormat/>
    <w:rsid w:val="00562738"/>
    <w:pPr>
      <w:keepNext/>
      <w:keepLines/>
      <w:widowControl w:val="0"/>
      <w:wordWrap w:val="0"/>
      <w:autoSpaceDE w:val="0"/>
      <w:autoSpaceDN w:val="0"/>
      <w:snapToGrid w:val="0"/>
      <w:spacing w:before="200" w:line="294" w:lineRule="exact"/>
      <w:ind w:firstLine="0"/>
      <w:outlineLvl w:val="1"/>
    </w:pPr>
    <w:rPr>
      <w:rFonts w:ascii="Arial" w:eastAsia="Arial" w:hAnsi="Arial"/>
      <w:b/>
      <w:bCs/>
      <w:color w:val="4F81BD"/>
      <w:kern w:val="2"/>
      <w:sz w:val="24"/>
      <w:szCs w:val="26"/>
      <w:lang w:eastAsia="ko-KR"/>
    </w:rPr>
  </w:style>
  <w:style w:type="character" w:customStyle="1" w:styleId="9Char">
    <w:name w:val="스타일9 Char"/>
    <w:basedOn w:val="DefaultParagraphFont"/>
    <w:link w:val="9"/>
    <w:rsid w:val="00562738"/>
    <w:rPr>
      <w:rFonts w:ascii="Arial" w:eastAsia="Arial" w:hAnsi="Arial"/>
      <w:b/>
      <w:bCs/>
      <w:color w:val="4F81BD"/>
      <w:kern w:val="2"/>
      <w:sz w:val="24"/>
      <w:szCs w:val="26"/>
      <w:lang w:eastAsia="ko-KR"/>
    </w:rPr>
  </w:style>
  <w:style w:type="paragraph" w:customStyle="1" w:styleId="listparagraph0">
    <w:name w:val="listparagraph"/>
    <w:basedOn w:val="Normal"/>
    <w:rsid w:val="007C2261"/>
    <w:pPr>
      <w:spacing w:before="100" w:beforeAutospacing="1" w:after="100" w:afterAutospacing="1"/>
      <w:ind w:firstLine="0"/>
      <w:jc w:val="left"/>
    </w:pPr>
    <w:rPr>
      <w:sz w:val="24"/>
      <w:szCs w:val="24"/>
      <w:lang w:val="vi-VN" w:eastAsia="vi-VN"/>
    </w:rPr>
  </w:style>
  <w:style w:type="paragraph" w:styleId="Date">
    <w:name w:val="Date"/>
    <w:basedOn w:val="Normal"/>
    <w:next w:val="Normal"/>
    <w:link w:val="DateChar"/>
    <w:rsid w:val="00B24B4B"/>
    <w:pPr>
      <w:spacing w:before="0"/>
      <w:ind w:firstLine="0"/>
      <w:jc w:val="left"/>
    </w:pPr>
    <w:rPr>
      <w:rFonts w:ascii=".VnTime" w:hAnsi=".VnTime"/>
      <w:szCs w:val="20"/>
    </w:rPr>
  </w:style>
  <w:style w:type="character" w:customStyle="1" w:styleId="DateChar">
    <w:name w:val="Date Char"/>
    <w:basedOn w:val="DefaultParagraphFont"/>
    <w:link w:val="Date"/>
    <w:rsid w:val="00B24B4B"/>
    <w:rPr>
      <w:rFonts w:ascii=".VnTime" w:hAnsi=".VnTime"/>
      <w:sz w:val="28"/>
      <w:szCs w:val="20"/>
    </w:rPr>
  </w:style>
  <w:style w:type="character" w:customStyle="1" w:styleId="CharCharCharChar">
    <w:name w:val="Char Char Char Char"/>
    <w:basedOn w:val="DefaultParagraphFont"/>
    <w:rsid w:val="00B24B4B"/>
    <w:rPr>
      <w:b/>
      <w:sz w:val="28"/>
      <w:lang w:val="en-US" w:eastAsia="en-US" w:bidi="ar-SA"/>
    </w:rPr>
  </w:style>
  <w:style w:type="paragraph" w:customStyle="1" w:styleId="normal-p">
    <w:name w:val="normal-p"/>
    <w:basedOn w:val="Normal"/>
    <w:rsid w:val="00B24B4B"/>
    <w:pPr>
      <w:spacing w:before="0"/>
      <w:ind w:firstLine="0"/>
      <w:jc w:val="left"/>
    </w:pPr>
    <w:rPr>
      <w:sz w:val="20"/>
      <w:szCs w:val="20"/>
    </w:rPr>
  </w:style>
  <w:style w:type="character" w:customStyle="1" w:styleId="normal-h1">
    <w:name w:val="normal-h1"/>
    <w:basedOn w:val="DefaultParagraphFont"/>
    <w:rsid w:val="00B24B4B"/>
    <w:rPr>
      <w:rFonts w:ascii="Times New Roman" w:hAnsi="Times New Roman" w:cs="Times New Roman" w:hint="default"/>
      <w:sz w:val="24"/>
      <w:szCs w:val="24"/>
    </w:rPr>
  </w:style>
  <w:style w:type="character" w:customStyle="1" w:styleId="longtext">
    <w:name w:val="long_text"/>
    <w:basedOn w:val="DefaultParagraphFont"/>
    <w:rsid w:val="00B24B4B"/>
  </w:style>
  <w:style w:type="character" w:customStyle="1" w:styleId="CharChar9">
    <w:name w:val="Char Char9"/>
    <w:basedOn w:val="DefaultParagraphFont"/>
    <w:rsid w:val="00B24B4B"/>
    <w:rPr>
      <w:rFonts w:eastAsia="Times New Roman" w:cs="Times New Roman"/>
      <w:szCs w:val="20"/>
    </w:rPr>
  </w:style>
  <w:style w:type="character" w:customStyle="1" w:styleId="CharChar11">
    <w:name w:val="Char Char11"/>
    <w:basedOn w:val="DefaultParagraphFont"/>
    <w:rsid w:val="00B24B4B"/>
    <w:rPr>
      <w:rFonts w:eastAsia="Times New Roman" w:cs="Times New Roman"/>
      <w:szCs w:val="20"/>
      <w:lang w:val="nl-NL"/>
    </w:rPr>
  </w:style>
  <w:style w:type="character" w:styleId="Strong">
    <w:name w:val="Strong"/>
    <w:qFormat/>
    <w:locked/>
    <w:rsid w:val="00B24B4B"/>
    <w:rPr>
      <w:b/>
      <w:bCs/>
    </w:rPr>
  </w:style>
  <w:style w:type="paragraph" w:styleId="Title">
    <w:name w:val="Title"/>
    <w:basedOn w:val="Normal"/>
    <w:next w:val="Normal"/>
    <w:link w:val="TitleChar"/>
    <w:qFormat/>
    <w:locked/>
    <w:rsid w:val="00B24B4B"/>
    <w:pPr>
      <w:spacing w:before="240" w:after="60"/>
      <w:ind w:firstLine="0"/>
      <w:jc w:val="center"/>
      <w:outlineLvl w:val="0"/>
    </w:pPr>
    <w:rPr>
      <w:rFonts w:ascii="Calibri" w:eastAsia="MS Gothic" w:hAnsi="Calibri"/>
      <w:b/>
      <w:bCs/>
      <w:kern w:val="28"/>
      <w:sz w:val="32"/>
      <w:szCs w:val="32"/>
    </w:rPr>
  </w:style>
  <w:style w:type="character" w:customStyle="1" w:styleId="TitleChar">
    <w:name w:val="Title Char"/>
    <w:basedOn w:val="DefaultParagraphFont"/>
    <w:link w:val="Title"/>
    <w:rsid w:val="00B24B4B"/>
    <w:rPr>
      <w:rFonts w:ascii="Calibri" w:eastAsia="MS Gothic" w:hAnsi="Calibri"/>
      <w:b/>
      <w:bCs/>
      <w:kern w:val="28"/>
      <w:sz w:val="32"/>
      <w:szCs w:val="32"/>
    </w:rPr>
  </w:style>
  <w:style w:type="paragraph" w:customStyle="1" w:styleId="oncaDanhsch1">
    <w:name w:val="Đoạn của Danh sách1"/>
    <w:basedOn w:val="Normal"/>
    <w:uiPriority w:val="34"/>
    <w:qFormat/>
    <w:rsid w:val="00C84F54"/>
    <w:pPr>
      <w:spacing w:before="0" w:after="200" w:line="276" w:lineRule="auto"/>
      <w:ind w:left="720" w:firstLine="0"/>
      <w:contextualSpacing/>
      <w:jc w:val="left"/>
    </w:pPr>
    <w:rPr>
      <w:rFonts w:eastAsia="Calibri"/>
      <w:szCs w:val="22"/>
    </w:rPr>
  </w:style>
  <w:style w:type="paragraph" w:customStyle="1" w:styleId="styleheading3before6pt">
    <w:name w:val="styleheading3before6pt"/>
    <w:basedOn w:val="Normal"/>
    <w:rsid w:val="006B7E9F"/>
    <w:pPr>
      <w:spacing w:before="100" w:beforeAutospacing="1" w:after="100" w:afterAutospacing="1"/>
      <w:ind w:firstLine="0"/>
      <w:jc w:val="left"/>
    </w:pPr>
    <w:rPr>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797726208">
      <w:bodyDiv w:val="1"/>
      <w:marLeft w:val="0"/>
      <w:marRight w:val="0"/>
      <w:marTop w:val="0"/>
      <w:marBottom w:val="0"/>
      <w:divBdr>
        <w:top w:val="none" w:sz="0" w:space="0" w:color="auto"/>
        <w:left w:val="none" w:sz="0" w:space="0" w:color="auto"/>
        <w:bottom w:val="none" w:sz="0" w:space="0" w:color="auto"/>
        <w:right w:val="none" w:sz="0" w:space="0" w:color="auto"/>
      </w:divBdr>
    </w:div>
    <w:div w:id="960383126">
      <w:bodyDiv w:val="1"/>
      <w:marLeft w:val="0"/>
      <w:marRight w:val="0"/>
      <w:marTop w:val="0"/>
      <w:marBottom w:val="0"/>
      <w:divBdr>
        <w:top w:val="none" w:sz="0" w:space="0" w:color="auto"/>
        <w:left w:val="none" w:sz="0" w:space="0" w:color="auto"/>
        <w:bottom w:val="none" w:sz="0" w:space="0" w:color="auto"/>
        <w:right w:val="none" w:sz="0" w:space="0" w:color="auto"/>
      </w:divBdr>
    </w:div>
    <w:div w:id="1138642385">
      <w:bodyDiv w:val="1"/>
      <w:marLeft w:val="0"/>
      <w:marRight w:val="0"/>
      <w:marTop w:val="0"/>
      <w:marBottom w:val="0"/>
      <w:divBdr>
        <w:top w:val="none" w:sz="0" w:space="0" w:color="auto"/>
        <w:left w:val="none" w:sz="0" w:space="0" w:color="auto"/>
        <w:bottom w:val="none" w:sz="0" w:space="0" w:color="auto"/>
        <w:right w:val="none" w:sz="0" w:space="0" w:color="auto"/>
      </w:divBdr>
    </w:div>
    <w:div w:id="1321160240">
      <w:bodyDiv w:val="1"/>
      <w:marLeft w:val="0"/>
      <w:marRight w:val="0"/>
      <w:marTop w:val="0"/>
      <w:marBottom w:val="0"/>
      <w:divBdr>
        <w:top w:val="none" w:sz="0" w:space="0" w:color="auto"/>
        <w:left w:val="none" w:sz="0" w:space="0" w:color="auto"/>
        <w:bottom w:val="none" w:sz="0" w:space="0" w:color="auto"/>
        <w:right w:val="none" w:sz="0" w:space="0" w:color="auto"/>
      </w:divBdr>
    </w:div>
    <w:div w:id="1444111100">
      <w:marLeft w:val="0"/>
      <w:marRight w:val="0"/>
      <w:marTop w:val="0"/>
      <w:marBottom w:val="0"/>
      <w:divBdr>
        <w:top w:val="none" w:sz="0" w:space="0" w:color="auto"/>
        <w:left w:val="none" w:sz="0" w:space="0" w:color="auto"/>
        <w:bottom w:val="none" w:sz="0" w:space="0" w:color="auto"/>
        <w:right w:val="none" w:sz="0" w:space="0" w:color="auto"/>
      </w:divBdr>
    </w:div>
    <w:div w:id="1444111101">
      <w:marLeft w:val="0"/>
      <w:marRight w:val="0"/>
      <w:marTop w:val="0"/>
      <w:marBottom w:val="0"/>
      <w:divBdr>
        <w:top w:val="none" w:sz="0" w:space="0" w:color="auto"/>
        <w:left w:val="none" w:sz="0" w:space="0" w:color="auto"/>
        <w:bottom w:val="none" w:sz="0" w:space="0" w:color="auto"/>
        <w:right w:val="none" w:sz="0" w:space="0" w:color="auto"/>
      </w:divBdr>
    </w:div>
    <w:div w:id="1444111102">
      <w:marLeft w:val="0"/>
      <w:marRight w:val="0"/>
      <w:marTop w:val="0"/>
      <w:marBottom w:val="0"/>
      <w:divBdr>
        <w:top w:val="none" w:sz="0" w:space="0" w:color="auto"/>
        <w:left w:val="none" w:sz="0" w:space="0" w:color="auto"/>
        <w:bottom w:val="none" w:sz="0" w:space="0" w:color="auto"/>
        <w:right w:val="none" w:sz="0" w:space="0" w:color="auto"/>
      </w:divBdr>
      <w:divsChild>
        <w:div w:id="1444111115">
          <w:marLeft w:val="0"/>
          <w:marRight w:val="0"/>
          <w:marTop w:val="0"/>
          <w:marBottom w:val="0"/>
          <w:divBdr>
            <w:top w:val="none" w:sz="0" w:space="0" w:color="auto"/>
            <w:left w:val="none" w:sz="0" w:space="0" w:color="auto"/>
            <w:bottom w:val="none" w:sz="0" w:space="0" w:color="auto"/>
            <w:right w:val="none" w:sz="0" w:space="0" w:color="auto"/>
          </w:divBdr>
          <w:divsChild>
            <w:div w:id="1444111104">
              <w:marLeft w:val="60"/>
              <w:marRight w:val="0"/>
              <w:marTop w:val="0"/>
              <w:marBottom w:val="0"/>
              <w:divBdr>
                <w:top w:val="none" w:sz="0" w:space="0" w:color="auto"/>
                <w:left w:val="none" w:sz="0" w:space="0" w:color="auto"/>
                <w:bottom w:val="none" w:sz="0" w:space="0" w:color="auto"/>
                <w:right w:val="none" w:sz="0" w:space="0" w:color="auto"/>
              </w:divBdr>
              <w:divsChild>
                <w:div w:id="1444111131">
                  <w:marLeft w:val="0"/>
                  <w:marRight w:val="0"/>
                  <w:marTop w:val="0"/>
                  <w:marBottom w:val="0"/>
                  <w:divBdr>
                    <w:top w:val="none" w:sz="0" w:space="0" w:color="auto"/>
                    <w:left w:val="none" w:sz="0" w:space="0" w:color="auto"/>
                    <w:bottom w:val="none" w:sz="0" w:space="0" w:color="auto"/>
                    <w:right w:val="none" w:sz="0" w:space="0" w:color="auto"/>
                  </w:divBdr>
                  <w:divsChild>
                    <w:div w:id="1444111135">
                      <w:marLeft w:val="0"/>
                      <w:marRight w:val="0"/>
                      <w:marTop w:val="0"/>
                      <w:marBottom w:val="120"/>
                      <w:divBdr>
                        <w:top w:val="single" w:sz="6" w:space="0" w:color="F5F5F5"/>
                        <w:left w:val="single" w:sz="6" w:space="0" w:color="F5F5F5"/>
                        <w:bottom w:val="single" w:sz="6" w:space="0" w:color="F5F5F5"/>
                        <w:right w:val="single" w:sz="6" w:space="0" w:color="F5F5F5"/>
                      </w:divBdr>
                      <w:divsChild>
                        <w:div w:id="1444111107">
                          <w:marLeft w:val="0"/>
                          <w:marRight w:val="0"/>
                          <w:marTop w:val="0"/>
                          <w:marBottom w:val="0"/>
                          <w:divBdr>
                            <w:top w:val="none" w:sz="0" w:space="0" w:color="auto"/>
                            <w:left w:val="none" w:sz="0" w:space="0" w:color="auto"/>
                            <w:bottom w:val="none" w:sz="0" w:space="0" w:color="auto"/>
                            <w:right w:val="none" w:sz="0" w:space="0" w:color="auto"/>
                          </w:divBdr>
                          <w:divsChild>
                            <w:div w:id="14441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11137">
          <w:marLeft w:val="0"/>
          <w:marRight w:val="0"/>
          <w:marTop w:val="0"/>
          <w:marBottom w:val="0"/>
          <w:divBdr>
            <w:top w:val="none" w:sz="0" w:space="0" w:color="auto"/>
            <w:left w:val="none" w:sz="0" w:space="0" w:color="auto"/>
            <w:bottom w:val="none" w:sz="0" w:space="0" w:color="auto"/>
            <w:right w:val="none" w:sz="0" w:space="0" w:color="auto"/>
          </w:divBdr>
          <w:divsChild>
            <w:div w:id="1444111108">
              <w:marLeft w:val="0"/>
              <w:marRight w:val="60"/>
              <w:marTop w:val="0"/>
              <w:marBottom w:val="0"/>
              <w:divBdr>
                <w:top w:val="none" w:sz="0" w:space="0" w:color="auto"/>
                <w:left w:val="none" w:sz="0" w:space="0" w:color="auto"/>
                <w:bottom w:val="none" w:sz="0" w:space="0" w:color="auto"/>
                <w:right w:val="none" w:sz="0" w:space="0" w:color="auto"/>
              </w:divBdr>
              <w:divsChild>
                <w:div w:id="1444111111">
                  <w:marLeft w:val="0"/>
                  <w:marRight w:val="0"/>
                  <w:marTop w:val="0"/>
                  <w:marBottom w:val="120"/>
                  <w:divBdr>
                    <w:top w:val="single" w:sz="6" w:space="0" w:color="C0C0C0"/>
                    <w:left w:val="single" w:sz="6" w:space="0" w:color="D9D9D9"/>
                    <w:bottom w:val="single" w:sz="6" w:space="0" w:color="D9D9D9"/>
                    <w:right w:val="single" w:sz="6" w:space="0" w:color="D9D9D9"/>
                  </w:divBdr>
                  <w:divsChild>
                    <w:div w:id="14441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1110">
      <w:marLeft w:val="0"/>
      <w:marRight w:val="0"/>
      <w:marTop w:val="0"/>
      <w:marBottom w:val="0"/>
      <w:divBdr>
        <w:top w:val="none" w:sz="0" w:space="0" w:color="auto"/>
        <w:left w:val="none" w:sz="0" w:space="0" w:color="auto"/>
        <w:bottom w:val="none" w:sz="0" w:space="0" w:color="auto"/>
        <w:right w:val="none" w:sz="0" w:space="0" w:color="auto"/>
      </w:divBdr>
    </w:div>
    <w:div w:id="1444111116">
      <w:marLeft w:val="0"/>
      <w:marRight w:val="0"/>
      <w:marTop w:val="0"/>
      <w:marBottom w:val="0"/>
      <w:divBdr>
        <w:top w:val="none" w:sz="0" w:space="0" w:color="auto"/>
        <w:left w:val="none" w:sz="0" w:space="0" w:color="auto"/>
        <w:bottom w:val="none" w:sz="0" w:space="0" w:color="auto"/>
        <w:right w:val="none" w:sz="0" w:space="0" w:color="auto"/>
      </w:divBdr>
    </w:div>
    <w:div w:id="1444111117">
      <w:marLeft w:val="0"/>
      <w:marRight w:val="0"/>
      <w:marTop w:val="0"/>
      <w:marBottom w:val="0"/>
      <w:divBdr>
        <w:top w:val="none" w:sz="0" w:space="0" w:color="auto"/>
        <w:left w:val="none" w:sz="0" w:space="0" w:color="auto"/>
        <w:bottom w:val="none" w:sz="0" w:space="0" w:color="auto"/>
        <w:right w:val="none" w:sz="0" w:space="0" w:color="auto"/>
      </w:divBdr>
      <w:divsChild>
        <w:div w:id="1444111106">
          <w:marLeft w:val="0"/>
          <w:marRight w:val="0"/>
          <w:marTop w:val="0"/>
          <w:marBottom w:val="0"/>
          <w:divBdr>
            <w:top w:val="none" w:sz="0" w:space="0" w:color="auto"/>
            <w:left w:val="none" w:sz="0" w:space="0" w:color="auto"/>
            <w:bottom w:val="none" w:sz="0" w:space="0" w:color="auto"/>
            <w:right w:val="none" w:sz="0" w:space="0" w:color="auto"/>
          </w:divBdr>
          <w:divsChild>
            <w:div w:id="1444111112">
              <w:marLeft w:val="60"/>
              <w:marRight w:val="0"/>
              <w:marTop w:val="0"/>
              <w:marBottom w:val="0"/>
              <w:divBdr>
                <w:top w:val="none" w:sz="0" w:space="0" w:color="auto"/>
                <w:left w:val="none" w:sz="0" w:space="0" w:color="auto"/>
                <w:bottom w:val="none" w:sz="0" w:space="0" w:color="auto"/>
                <w:right w:val="none" w:sz="0" w:space="0" w:color="auto"/>
              </w:divBdr>
              <w:divsChild>
                <w:div w:id="1444111113">
                  <w:marLeft w:val="0"/>
                  <w:marRight w:val="0"/>
                  <w:marTop w:val="0"/>
                  <w:marBottom w:val="0"/>
                  <w:divBdr>
                    <w:top w:val="none" w:sz="0" w:space="0" w:color="auto"/>
                    <w:left w:val="none" w:sz="0" w:space="0" w:color="auto"/>
                    <w:bottom w:val="none" w:sz="0" w:space="0" w:color="auto"/>
                    <w:right w:val="none" w:sz="0" w:space="0" w:color="auto"/>
                  </w:divBdr>
                  <w:divsChild>
                    <w:div w:id="1444111105">
                      <w:marLeft w:val="0"/>
                      <w:marRight w:val="0"/>
                      <w:marTop w:val="0"/>
                      <w:marBottom w:val="120"/>
                      <w:divBdr>
                        <w:top w:val="single" w:sz="6" w:space="0" w:color="F5F5F5"/>
                        <w:left w:val="single" w:sz="6" w:space="0" w:color="F5F5F5"/>
                        <w:bottom w:val="single" w:sz="6" w:space="0" w:color="F5F5F5"/>
                        <w:right w:val="single" w:sz="6" w:space="0" w:color="F5F5F5"/>
                      </w:divBdr>
                      <w:divsChild>
                        <w:div w:id="1444111138">
                          <w:marLeft w:val="0"/>
                          <w:marRight w:val="0"/>
                          <w:marTop w:val="0"/>
                          <w:marBottom w:val="0"/>
                          <w:divBdr>
                            <w:top w:val="none" w:sz="0" w:space="0" w:color="auto"/>
                            <w:left w:val="none" w:sz="0" w:space="0" w:color="auto"/>
                            <w:bottom w:val="none" w:sz="0" w:space="0" w:color="auto"/>
                            <w:right w:val="none" w:sz="0" w:space="0" w:color="auto"/>
                          </w:divBdr>
                          <w:divsChild>
                            <w:div w:id="14441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11119">
          <w:marLeft w:val="0"/>
          <w:marRight w:val="0"/>
          <w:marTop w:val="0"/>
          <w:marBottom w:val="0"/>
          <w:divBdr>
            <w:top w:val="none" w:sz="0" w:space="0" w:color="auto"/>
            <w:left w:val="none" w:sz="0" w:space="0" w:color="auto"/>
            <w:bottom w:val="none" w:sz="0" w:space="0" w:color="auto"/>
            <w:right w:val="none" w:sz="0" w:space="0" w:color="auto"/>
          </w:divBdr>
          <w:divsChild>
            <w:div w:id="1444111128">
              <w:marLeft w:val="0"/>
              <w:marRight w:val="60"/>
              <w:marTop w:val="0"/>
              <w:marBottom w:val="0"/>
              <w:divBdr>
                <w:top w:val="none" w:sz="0" w:space="0" w:color="auto"/>
                <w:left w:val="none" w:sz="0" w:space="0" w:color="auto"/>
                <w:bottom w:val="none" w:sz="0" w:space="0" w:color="auto"/>
                <w:right w:val="none" w:sz="0" w:space="0" w:color="auto"/>
              </w:divBdr>
              <w:divsChild>
                <w:div w:id="1444111109">
                  <w:marLeft w:val="0"/>
                  <w:marRight w:val="0"/>
                  <w:marTop w:val="0"/>
                  <w:marBottom w:val="120"/>
                  <w:divBdr>
                    <w:top w:val="single" w:sz="6" w:space="0" w:color="C0C0C0"/>
                    <w:left w:val="single" w:sz="6" w:space="0" w:color="D9D9D9"/>
                    <w:bottom w:val="single" w:sz="6" w:space="0" w:color="D9D9D9"/>
                    <w:right w:val="single" w:sz="6" w:space="0" w:color="D9D9D9"/>
                  </w:divBdr>
                  <w:divsChild>
                    <w:div w:id="14441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1118">
      <w:marLeft w:val="0"/>
      <w:marRight w:val="0"/>
      <w:marTop w:val="0"/>
      <w:marBottom w:val="0"/>
      <w:divBdr>
        <w:top w:val="none" w:sz="0" w:space="0" w:color="auto"/>
        <w:left w:val="none" w:sz="0" w:space="0" w:color="auto"/>
        <w:bottom w:val="none" w:sz="0" w:space="0" w:color="auto"/>
        <w:right w:val="none" w:sz="0" w:space="0" w:color="auto"/>
      </w:divBdr>
      <w:divsChild>
        <w:div w:id="1444111120">
          <w:marLeft w:val="0"/>
          <w:marRight w:val="0"/>
          <w:marTop w:val="0"/>
          <w:marBottom w:val="0"/>
          <w:divBdr>
            <w:top w:val="none" w:sz="0" w:space="0" w:color="auto"/>
            <w:left w:val="none" w:sz="0" w:space="0" w:color="auto"/>
            <w:bottom w:val="none" w:sz="0" w:space="0" w:color="auto"/>
            <w:right w:val="none" w:sz="0" w:space="0" w:color="auto"/>
          </w:divBdr>
        </w:div>
        <w:div w:id="1444111134">
          <w:marLeft w:val="0"/>
          <w:marRight w:val="0"/>
          <w:marTop w:val="0"/>
          <w:marBottom w:val="0"/>
          <w:divBdr>
            <w:top w:val="none" w:sz="0" w:space="0" w:color="auto"/>
            <w:left w:val="none" w:sz="0" w:space="0" w:color="auto"/>
            <w:bottom w:val="none" w:sz="0" w:space="0" w:color="auto"/>
            <w:right w:val="none" w:sz="0" w:space="0" w:color="auto"/>
          </w:divBdr>
        </w:div>
      </w:divsChild>
    </w:div>
    <w:div w:id="1444111121">
      <w:marLeft w:val="0"/>
      <w:marRight w:val="0"/>
      <w:marTop w:val="0"/>
      <w:marBottom w:val="0"/>
      <w:divBdr>
        <w:top w:val="none" w:sz="0" w:space="0" w:color="auto"/>
        <w:left w:val="none" w:sz="0" w:space="0" w:color="auto"/>
        <w:bottom w:val="none" w:sz="0" w:space="0" w:color="auto"/>
        <w:right w:val="none" w:sz="0" w:space="0" w:color="auto"/>
      </w:divBdr>
    </w:div>
    <w:div w:id="1444111122">
      <w:marLeft w:val="0"/>
      <w:marRight w:val="0"/>
      <w:marTop w:val="0"/>
      <w:marBottom w:val="0"/>
      <w:divBdr>
        <w:top w:val="none" w:sz="0" w:space="0" w:color="auto"/>
        <w:left w:val="none" w:sz="0" w:space="0" w:color="auto"/>
        <w:bottom w:val="none" w:sz="0" w:space="0" w:color="auto"/>
        <w:right w:val="none" w:sz="0" w:space="0" w:color="auto"/>
      </w:divBdr>
    </w:div>
    <w:div w:id="1444111123">
      <w:marLeft w:val="0"/>
      <w:marRight w:val="0"/>
      <w:marTop w:val="0"/>
      <w:marBottom w:val="0"/>
      <w:divBdr>
        <w:top w:val="none" w:sz="0" w:space="0" w:color="auto"/>
        <w:left w:val="none" w:sz="0" w:space="0" w:color="auto"/>
        <w:bottom w:val="none" w:sz="0" w:space="0" w:color="auto"/>
        <w:right w:val="none" w:sz="0" w:space="0" w:color="auto"/>
      </w:divBdr>
    </w:div>
    <w:div w:id="1444111125">
      <w:marLeft w:val="0"/>
      <w:marRight w:val="0"/>
      <w:marTop w:val="0"/>
      <w:marBottom w:val="0"/>
      <w:divBdr>
        <w:top w:val="none" w:sz="0" w:space="0" w:color="auto"/>
        <w:left w:val="none" w:sz="0" w:space="0" w:color="auto"/>
        <w:bottom w:val="none" w:sz="0" w:space="0" w:color="auto"/>
        <w:right w:val="none" w:sz="0" w:space="0" w:color="auto"/>
      </w:divBdr>
    </w:div>
    <w:div w:id="1444111126">
      <w:marLeft w:val="0"/>
      <w:marRight w:val="0"/>
      <w:marTop w:val="0"/>
      <w:marBottom w:val="0"/>
      <w:divBdr>
        <w:top w:val="none" w:sz="0" w:space="0" w:color="auto"/>
        <w:left w:val="none" w:sz="0" w:space="0" w:color="auto"/>
        <w:bottom w:val="none" w:sz="0" w:space="0" w:color="auto"/>
        <w:right w:val="none" w:sz="0" w:space="0" w:color="auto"/>
      </w:divBdr>
    </w:div>
    <w:div w:id="1444111127">
      <w:marLeft w:val="0"/>
      <w:marRight w:val="0"/>
      <w:marTop w:val="0"/>
      <w:marBottom w:val="0"/>
      <w:divBdr>
        <w:top w:val="none" w:sz="0" w:space="0" w:color="auto"/>
        <w:left w:val="none" w:sz="0" w:space="0" w:color="auto"/>
        <w:bottom w:val="none" w:sz="0" w:space="0" w:color="auto"/>
        <w:right w:val="none" w:sz="0" w:space="0" w:color="auto"/>
      </w:divBdr>
    </w:div>
    <w:div w:id="1444111129">
      <w:marLeft w:val="0"/>
      <w:marRight w:val="0"/>
      <w:marTop w:val="0"/>
      <w:marBottom w:val="0"/>
      <w:divBdr>
        <w:top w:val="none" w:sz="0" w:space="0" w:color="auto"/>
        <w:left w:val="none" w:sz="0" w:space="0" w:color="auto"/>
        <w:bottom w:val="none" w:sz="0" w:space="0" w:color="auto"/>
        <w:right w:val="none" w:sz="0" w:space="0" w:color="auto"/>
      </w:divBdr>
    </w:div>
    <w:div w:id="1444111132">
      <w:marLeft w:val="0"/>
      <w:marRight w:val="0"/>
      <w:marTop w:val="0"/>
      <w:marBottom w:val="0"/>
      <w:divBdr>
        <w:top w:val="none" w:sz="0" w:space="0" w:color="auto"/>
        <w:left w:val="none" w:sz="0" w:space="0" w:color="auto"/>
        <w:bottom w:val="none" w:sz="0" w:space="0" w:color="auto"/>
        <w:right w:val="none" w:sz="0" w:space="0" w:color="auto"/>
      </w:divBdr>
    </w:div>
    <w:div w:id="1444111133">
      <w:marLeft w:val="0"/>
      <w:marRight w:val="0"/>
      <w:marTop w:val="0"/>
      <w:marBottom w:val="0"/>
      <w:divBdr>
        <w:top w:val="none" w:sz="0" w:space="0" w:color="auto"/>
        <w:left w:val="none" w:sz="0" w:space="0" w:color="auto"/>
        <w:bottom w:val="none" w:sz="0" w:space="0" w:color="auto"/>
        <w:right w:val="none" w:sz="0" w:space="0" w:color="auto"/>
      </w:divBdr>
    </w:div>
    <w:div w:id="1444111136">
      <w:marLeft w:val="0"/>
      <w:marRight w:val="0"/>
      <w:marTop w:val="0"/>
      <w:marBottom w:val="0"/>
      <w:divBdr>
        <w:top w:val="none" w:sz="0" w:space="0" w:color="auto"/>
        <w:left w:val="none" w:sz="0" w:space="0" w:color="auto"/>
        <w:bottom w:val="none" w:sz="0" w:space="0" w:color="auto"/>
        <w:right w:val="none" w:sz="0" w:space="0" w:color="auto"/>
      </w:divBdr>
    </w:div>
    <w:div w:id="1444111139">
      <w:marLeft w:val="0"/>
      <w:marRight w:val="0"/>
      <w:marTop w:val="0"/>
      <w:marBottom w:val="0"/>
      <w:divBdr>
        <w:top w:val="none" w:sz="0" w:space="0" w:color="auto"/>
        <w:left w:val="none" w:sz="0" w:space="0" w:color="auto"/>
        <w:bottom w:val="none" w:sz="0" w:space="0" w:color="auto"/>
        <w:right w:val="none" w:sz="0" w:space="0" w:color="auto"/>
      </w:divBdr>
    </w:div>
    <w:div w:id="16455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C5848-5AE9-42E6-B73E-17615D15F1ED}">
  <ds:schemaRefs>
    <ds:schemaRef ds:uri="http://schemas.openxmlformats.org/officeDocument/2006/bibliography"/>
  </ds:schemaRefs>
</ds:datastoreItem>
</file>

<file path=customXml/itemProps2.xml><?xml version="1.0" encoding="utf-8"?>
<ds:datastoreItem xmlns:ds="http://schemas.openxmlformats.org/officeDocument/2006/customXml" ds:itemID="{C60F4B90-5482-4EFA-B432-9DD891651BB3}">
  <ds:schemaRefs>
    <ds:schemaRef ds:uri="http://schemas.openxmlformats.org/officeDocument/2006/bibliography"/>
  </ds:schemaRefs>
</ds:datastoreItem>
</file>

<file path=customXml/itemProps3.xml><?xml version="1.0" encoding="utf-8"?>
<ds:datastoreItem xmlns:ds="http://schemas.openxmlformats.org/officeDocument/2006/customXml" ds:itemID="{E1766518-A053-417B-9835-5DAE5EAEA99C}">
  <ds:schemaRefs>
    <ds:schemaRef ds:uri="http://schemas.openxmlformats.org/officeDocument/2006/bibliography"/>
  </ds:schemaRefs>
</ds:datastoreItem>
</file>

<file path=customXml/itemProps4.xml><?xml version="1.0" encoding="utf-8"?>
<ds:datastoreItem xmlns:ds="http://schemas.openxmlformats.org/officeDocument/2006/customXml" ds:itemID="{921D6BD2-F864-4B4E-AD02-0D2179CC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185</Pages>
  <Words>47670</Words>
  <Characters>271725</Characters>
  <Application>Microsoft Office Word</Application>
  <DocSecurity>0</DocSecurity>
  <Lines>2264</Lines>
  <Paragraphs>637</Paragraphs>
  <ScaleCrop>false</ScaleCrop>
  <HeadingPairs>
    <vt:vector size="2" baseType="variant">
      <vt:variant>
        <vt:lpstr>Title</vt:lpstr>
      </vt:variant>
      <vt:variant>
        <vt:i4>1</vt:i4>
      </vt:variant>
    </vt:vector>
  </HeadingPairs>
  <TitlesOfParts>
    <vt:vector size="1" baseType="lpstr">
      <vt:lpstr>Quy chế tổ chức và hoạt động của công ty quản lý quỹ&amp;công ty đầu tư chứng khoán</vt:lpstr>
    </vt:vector>
  </TitlesOfParts>
  <Company>164A</Company>
  <LinksUpToDate>false</LinksUpToDate>
  <CharactersWithSpaces>318758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tổ chức và hoạt động của công ty quản lý quỹ&amp;công ty đầu tư chứng khoán</dc:title>
  <dc:creator>NTL</dc:creator>
  <cp:lastModifiedBy>UBCK</cp:lastModifiedBy>
  <cp:revision>152</cp:revision>
  <cp:lastPrinted>2015-06-22T08:21:00Z</cp:lastPrinted>
  <dcterms:created xsi:type="dcterms:W3CDTF">2015-06-20T05:21:00Z</dcterms:created>
  <dcterms:modified xsi:type="dcterms:W3CDTF">2015-06-22T08:59:00Z</dcterms:modified>
</cp:coreProperties>
</file>